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8"/>
          <w:sz w:val="32"/>
          <w:szCs w:val="32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8"/>
          <w:sz w:val="44"/>
          <w:szCs w:val="44"/>
          <w:bdr w:val="none" w:color="auto" w:sz="0" w:space="0"/>
          <w:shd w:val="clear" w:fill="FFFFFF"/>
        </w:rPr>
        <w:t>【开平百企风采】嘉士利：用心耕耘63载 成民族饼干品牌领头羊</w:t>
      </w:r>
    </w:p>
    <w:p>
      <w:pPr>
        <w:ind w:firstLine="672" w:firstLineChars="200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8"/>
          <w:sz w:val="32"/>
          <w:szCs w:val="32"/>
          <w:shd w:val="clear" w:fill="FFFFFF"/>
        </w:rPr>
        <w:t>香脆可口、果酱幽香；口感饱满、回味悠长，这些是消费者对嘉士利饼干的印象和好评。多年来，广东嘉士利集团成功转型，作为全国首家糖饼业民营公司成功在香港上市，它不断“开疆拓土”：强大的研发团队不断推出新产品及改良现有产品，满足消费者的新需求；庞大的经销及销售网络遍布全国31个省、自治区及直辖市，产品已在超过16万个终端销售网点出售，而客户亦可透过网上平台购买。此外，在广东省、江苏省及河南省兴建三个生产基地，建立了超过23条饼干生产线，总设计年产能超过12万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0" w:afterAutospacing="0" w:line="368" w:lineRule="atLeast"/>
        <w:ind w:left="0" w:right="0" w:firstLine="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8"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8"/>
          <w:sz w:val="32"/>
          <w:szCs w:val="32"/>
          <w:lang w:eastAsia="zh-CN"/>
        </w:rPr>
        <w:drawing>
          <wp:inline distT="0" distB="0" distL="114300" distR="114300">
            <wp:extent cx="5266690" cy="3188970"/>
            <wp:effectExtent l="0" t="0" r="10160" b="11430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18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ind w:firstLine="672" w:firstLineChars="200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“嘉士利，利万家”。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走过63载的嘉士利集团向“百年企业”进发，让“民族饼干第一品牌”这个名字再焕发出新的光彩。</w:t>
      </w:r>
    </w:p>
    <w:p>
      <w:pPr>
        <w:ind w:firstLine="672" w:firstLineChars="200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8"/>
          <w:sz w:val="32"/>
          <w:szCs w:val="32"/>
          <w:lang w:eastAsia="zh-CN"/>
        </w:rPr>
        <w:drawing>
          <wp:inline distT="0" distB="0" distL="114300" distR="114300">
            <wp:extent cx="5273040" cy="2966085"/>
            <wp:effectExtent l="0" t="0" r="3810" b="571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6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72" w:firstLineChars="200"/>
        <w:rPr>
          <w:rStyle w:val="6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广东嘉士利食品集团有限公司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8"/>
          <w:sz w:val="32"/>
          <w:szCs w:val="32"/>
          <w:shd w:val="clear" w:fill="FFFFFF"/>
        </w:rPr>
        <w:t>吴敬勤表示，未来嘉士利还会努力发挥传统地方民族品牌力，第一是会加大传统企业的转型升级力度，第二是加快产业两化融合的投入，第三是迎合现代消费需求，将增加功能性的产品开发，还有向多元化的产业“进军”。一直以来嘉士利只是单纯的饼干产业，这几年将逐渐向糖果、甚至延伸到儿童系列，还有老年系列，向多维度全产业的发展方向去走</w:t>
      </w:r>
      <w:r>
        <w:rPr>
          <w:rStyle w:val="6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。</w:t>
      </w:r>
    </w:p>
    <w:p>
      <w:pPr>
        <w:ind w:firstLine="672" w:firstLineChars="200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8"/>
          <w:sz w:val="32"/>
          <w:szCs w:val="32"/>
          <w:lang w:eastAsia="zh-CN"/>
        </w:rPr>
      </w:pPr>
    </w:p>
    <w:p>
      <w:pPr>
        <w:ind w:firstLine="672" w:firstLineChars="200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8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0E7778"/>
    <w:rsid w:val="23826C50"/>
    <w:rsid w:val="2F4B061A"/>
    <w:rsid w:val="410614AE"/>
    <w:rsid w:val="664D4592"/>
    <w:rsid w:val="7511728F"/>
    <w:rsid w:val="7B5515E3"/>
    <w:rsid w:val="7E46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2019-10-29T03:30:03Z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