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032"/>
        <w:gridCol w:w="784"/>
        <w:gridCol w:w="1360"/>
        <w:gridCol w:w="3687"/>
        <w:gridCol w:w="484"/>
        <w:gridCol w:w="611"/>
        <w:gridCol w:w="1080"/>
        <w:gridCol w:w="77"/>
        <w:gridCol w:w="2229"/>
        <w:gridCol w:w="1301"/>
        <w:gridCol w:w="420"/>
        <w:gridCol w:w="423"/>
        <w:gridCol w:w="232"/>
        <w:gridCol w:w="164"/>
        <w:gridCol w:w="177"/>
        <w:gridCol w:w="226"/>
        <w:gridCol w:w="155"/>
        <w:gridCol w:w="339"/>
        <w:gridCol w:w="90"/>
        <w:gridCol w:w="406"/>
        <w:gridCol w:w="83"/>
        <w:gridCol w:w="369"/>
        <w:gridCol w:w="36"/>
      </w:tblGrid>
      <w:tr w:rsidR="00DE5F0F" w:rsidTr="00DE5F0F">
        <w:trPr>
          <w:trHeight w:val="886"/>
        </w:trPr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510DE" w:rsidTr="00DE5F0F">
        <w:trPr>
          <w:gridAfter w:val="3"/>
          <w:wAfter w:w="161" w:type="pct"/>
          <w:trHeight w:val="1476"/>
        </w:trPr>
        <w:tc>
          <w:tcPr>
            <w:tcW w:w="4839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DE5F0F" w:rsidRDefault="00DE5F0F" w:rsidP="00B510DE">
            <w:pPr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8"/>
              </w:rPr>
            </w:pPr>
            <w:r w:rsidRPr="00057922"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48"/>
              </w:rPr>
              <w:t>（九）</w:t>
            </w:r>
            <w:r w:rsidR="00B510DE" w:rsidRPr="00057922"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48"/>
              </w:rPr>
              <w:t>就业创业领域基层政务公开标准目录</w:t>
            </w:r>
          </w:p>
        </w:tc>
      </w:tr>
      <w:tr w:rsidR="00DE5F0F" w:rsidRPr="00320138" w:rsidTr="00DE5F0F">
        <w:trPr>
          <w:gridAfter w:val="3"/>
          <w:wAfter w:w="161" w:type="pct"/>
          <w:trHeight w:val="284"/>
        </w:trPr>
        <w:tc>
          <w:tcPr>
            <w:tcW w:w="1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序号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公开事项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公开内容</w:t>
            </w:r>
            <w:r w:rsidRPr="00320138">
              <w:rPr>
                <w:rFonts w:ascii="黑体" w:eastAsia="黑体" w:hAnsi="宋体" w:cs="黑体" w:hint="eastAsia"/>
                <w:szCs w:val="18"/>
              </w:rPr>
              <w:br/>
              <w:t>（要素）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公开依据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公开时限</w:t>
            </w:r>
          </w:p>
        </w:tc>
        <w:tc>
          <w:tcPr>
            <w:tcW w:w="3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公开主体</w:t>
            </w:r>
          </w:p>
        </w:tc>
        <w:tc>
          <w:tcPr>
            <w:tcW w:w="10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公开渠道和载体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公开对象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公开方式</w:t>
            </w:r>
          </w:p>
        </w:tc>
        <w:tc>
          <w:tcPr>
            <w:tcW w:w="2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公开层级</w:t>
            </w:r>
          </w:p>
        </w:tc>
      </w:tr>
      <w:tr w:rsidR="00DE5F0F" w:rsidRPr="00320138" w:rsidTr="00320138">
        <w:trPr>
          <w:gridAfter w:val="3"/>
          <w:wAfter w:w="161" w:type="pct"/>
          <w:trHeight w:val="1437"/>
        </w:trPr>
        <w:tc>
          <w:tcPr>
            <w:tcW w:w="1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一级</w:t>
            </w:r>
          </w:p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事项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二级</w:t>
            </w:r>
          </w:p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事项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3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黑体" w:eastAsia="黑体" w:hAnsi="宋体" w:cs="黑体"/>
                <w:szCs w:val="18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全社会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特定群体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主动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依申请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县级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黑体" w:eastAsia="黑体" w:hAnsi="宋体" w:cs="黑体"/>
                <w:szCs w:val="18"/>
              </w:rPr>
            </w:pPr>
            <w:r w:rsidRPr="00320138">
              <w:rPr>
                <w:rFonts w:ascii="黑体" w:eastAsia="黑体" w:hAnsi="宋体" w:cs="黑体" w:hint="eastAsia"/>
                <w:szCs w:val="18"/>
              </w:rPr>
              <w:t>乡级</w:t>
            </w:r>
          </w:p>
        </w:tc>
      </w:tr>
      <w:tr w:rsidR="00DE5F0F" w:rsidTr="00320138">
        <w:trPr>
          <w:gridAfter w:val="3"/>
          <w:wAfter w:w="161" w:type="pct"/>
          <w:trHeight w:val="4379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1.就业信息服务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1.1就业创业政策法规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1.就业创业政策项目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3.政策申请条件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4.政策申请材料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836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1.2岗位信息发布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1.招聘单位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2.岗位要求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3.福利待遇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382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1.3求职信息登记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1.服务对象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2.提交材料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4.服务时间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5.服务地点（方式）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4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1.4职业培训信息发布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1.培训项目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3.培训内容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4.培训课时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5.授课地点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7.报名材料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8.报名地点（方式）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382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2.职业介绍、职业指导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2.1职业介绍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1.服务内容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2.服务对象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3.提交材料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4.服务时间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5.服务地点（方式）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2.2职业指导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1.服务内容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2.服务对象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3.提交材料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4.服务时间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5.服务地点（方式）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382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2.3创业开业指导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1.服务内容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2.服务对象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3.提交材料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4.服务时间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5.服务地点（方式）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3.公共就业服务专项活动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3.1公共就业服务专项活动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1.活动通知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2.活动时间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3.参与方式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4.相关材料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5.活动地址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4.就业失业登记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4.1失业登记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2.申请人权利和义务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4.2就业登记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2.办理条件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3.办理材料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39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11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4.3《就业创业证》申领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2.证件使用注意事项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3.申领条件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4.申领材料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8.证件送达方式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5.创业服务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5.1创业培训补贴申领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95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13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5.2一次性创业资助申领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836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5.3租金补贴申领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3.《人力资源市场暂行条例》（中华人民共和国国务院令第700号）4.《广东省实施〈中华人民共和国就业促进法〉办法》（2009年11月28日广东省第十一届人民代表大会常务委员会第十四次会议通过）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95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15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5.4创业带动就业补贴申领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3.《人力资源市场暂行条例》（中华人民共和国国务院令第700号）4.《广东省实施〈中华人民共和国就业促进法〉办法》（2009年11月30日广东省第十一届人民代表大会常务委员会第十四次会议通过）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550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5.创业服务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5.5创业孵化补贴申领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3.《人力资源市场暂行条例》（中华人民共和国国务院令第700号）4.《广东省实施〈中华人民共和国就业促进法〉办法》（2009年11月31日广东省第十一届人民代表大会常务委员会第十四次会议通过）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17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5.6创业担保贷款申请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3.贷款额度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6.对就业困难人员（含建档立</w:t>
            </w:r>
            <w:proofErr w:type="gramStart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卡贫困</w:t>
            </w:r>
            <w:proofErr w:type="gramEnd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劳动力）实施就业援助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6.1就业困难人员认定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19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6.对就业困难人员（含建档立</w:t>
            </w:r>
            <w:proofErr w:type="gramStart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卡贫困</w:t>
            </w:r>
            <w:proofErr w:type="gramEnd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劳动力）实施就业援助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6.2就业困难人员社会保险补贴申领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20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6.3一般性岗位补贴申领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9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21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6.4公益性岗位补贴申领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22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6.5公益性岗位社保个人缴费补贴申领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6.对就业困难人员（含建档立</w:t>
            </w:r>
            <w:proofErr w:type="gramStart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卡贫困</w:t>
            </w:r>
            <w:proofErr w:type="gramEnd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劳动力）实施就业援助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6.6求职创业补贴申领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6.7吸纳建档立</w:t>
            </w:r>
            <w:proofErr w:type="gramStart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卡贫困</w:t>
            </w:r>
            <w:proofErr w:type="gramEnd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劳动力就业补助和省级示范性就业扶贫基地补助申领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</w:t>
            </w:r>
            <w:proofErr w:type="gramStart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奖补标准</w:t>
            </w:r>
            <w:proofErr w:type="gramEnd"/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7.高校毕业生就业服务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7.1高等学校等毕业生接收手续办理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2.对象范围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3.办理条件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4.办理材料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8.办理结果告知方式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26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7.2吸纳应届高校毕业生社保补贴申领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7.高校毕业生就业服务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7.3应届高校毕业生到基层就业补贴申领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3.《人力资源市场暂行条例》（中华人民共和国国务院令第700号）4.《广东省实施〈中华人民共和国就业促进法〉办法》（2009年11月28日广东省第十一届人民代表大会常务委员会第十四次会议通过）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28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7.4高校毕业生基层就业岗位补贴申领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3.《人力资源市场暂行条例》（中华人民共和国国务院令第700号）4.《广东省实施〈中华人民共和国就业促进法〉办法》（2009年11月29日广东省第十一届人民代表大会常务委员会第十四次会议通过）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40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29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7.5求职创业补贴申领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836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30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7.6高校毕业生职业培训补贴申领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836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31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7.高校毕业生就业服务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7.7就业见习补贴申领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978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7.8就业见习生活费补贴申领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3.《人力资源市场暂行条例》（中华人民共和国国务院令第700号）4.《广东省实施〈中华人民共和国就业促进法〉办法》（2009年11月27日广东省第十一届人民代表大会常务委员会第十四次会议通过）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264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33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7.9见习留用补贴申领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3.《人力资源市场暂行条例》（中华人民共和国国务院令第700号）4.《广东省实施〈中华人民共和国就业促进法〉办法》（2009年11月28日广东省第十一届人民代表大会常务委员会第十四次会议通过）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8.流动人员人事档案管理服务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8.1流动人员人事档案管理服务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1.服务内容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2.服务对象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3.提交材料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4.服务时间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5.服务地点（方式）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3.《人力资源市场暂行条例》（中华人民共和国国务院令第700号）4.《广东省实施〈中华人民共和国就业促进法〉办法》（2009年11月26日广东省第十一届人民代表大会常务委员会第十四次会议通过）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023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9.其他补贴申领服务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9.1职业介绍补贴申领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3.《人力资源市场暂行条例》（中华人民共和国国务院令第700号）4.《广东省实施〈中华人民共和国就业促进法〉办法》（2009年11月29日广东省第十一届人民代表大会常务委员会第十四次会议通过）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36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9.2劳动力职业技能提升补贴申领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3.《人力资源市场暂行条例》（中华人民共和国国务院令第700号）4.《广东省实施〈中华人民共和国就业促进法〉办法》（2009年11月30日广东省第十一届人民代表大会常务委员会第十四次会议通过）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967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37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9.3灵活就业社会保险补贴申领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3.《人力资源市场暂行条例》（中华人民共和国国务院令第700号）4.《广东省实施〈中华人民共和国就业促进法〉办法》（2009年11月32日广东省第十一届人民代表大会常务委员会第十四次会议通过）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4121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lastRenderedPageBreak/>
              <w:t>38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9.4员工制家家政服务企业社会保险补贴（试点）和省级家庭服务培训示范基地补助申领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3.《人力资源市场暂行条例》（中华人民共和国国务院令第700号）4.《广东省实施〈中华人民共和国就业促进法〉办法》（2009年11月30日广东省第十一届人民代表大会常务委员会第十四次会议通过）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公开事项信息形成或变更之日起21个工作日内公开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3836"/>
        </w:trPr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39</w:t>
            </w: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9.5省内（省际）劳务协作和就业扶贫服务补助申领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1.文件依据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2.政策对象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3.补贴标准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4.申请条件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5.申请材料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6.办理流程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7.办理时限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8.办理地点（方式）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9.办理结果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10.咨询电话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1.《中华人民共和国政府信息公开条例》（中华人民共和国国务院令第711号）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>2.《中华人民共和国就业促进法》（2007年8月30日第十届全国人民代表大会常务委员会第二十九次会议通过 根据2015年4月24日第十二届全国人民代表大会常务委员会第十四次《关于修改〈中华人民共和国电力法〉等六部法律的决定》修正）</w:t>
            </w: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br/>
              <w:t xml:space="preserve">3.《人力资源市场暂行条例》（中华人民共和国国务院令第700号）4.《广东省实施〈中华人民共和国就业促进法〉办法》（2009年11月30日广东省第十一届人民代表大会常务委员会第十四次会议通过）                                                      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公开事项信息形成或变更之日起20个工作日内公开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地方人力资源社会保障部门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B510DE">
            <w:pPr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t>■政府网站    □政府公报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□两微一端    □发布会/听证会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□广播电视    □纸质媒体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□公开查阅点  ■政务服务中心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□便民服务站  □入户/现场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□社区/企事业单位/村公示栏（电子屏）</w:t>
            </w:r>
            <w:r w:rsidRPr="00320138">
              <w:rPr>
                <w:rStyle w:val="font01"/>
                <w:rFonts w:ascii="仿宋" w:eastAsia="仿宋" w:hAnsi="仿宋" w:hint="default"/>
                <w:sz w:val="20"/>
                <w:szCs w:val="20"/>
              </w:rPr>
              <w:br/>
              <w:t>□精准推送    ■其他</w:t>
            </w:r>
            <w:r w:rsidRPr="00320138">
              <w:rPr>
                <w:rStyle w:val="font261"/>
                <w:rFonts w:ascii="仿宋" w:eastAsia="仿宋" w:hAnsi="仿宋" w:hint="default"/>
                <w:sz w:val="20"/>
                <w:szCs w:val="20"/>
              </w:rPr>
              <w:t xml:space="preserve"> 基层公共服务平台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Pr="00320138" w:rsidRDefault="00B510DE" w:rsidP="00DE5F0F">
            <w:pPr>
              <w:jc w:val="center"/>
              <w:textAlignment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320138">
              <w:rPr>
                <w:rFonts w:ascii="仿宋" w:eastAsia="仿宋" w:hAnsi="仿宋" w:cs="宋体" w:hint="eastAsia"/>
                <w:sz w:val="20"/>
                <w:szCs w:val="20"/>
              </w:rPr>
              <w:t>√</w:t>
            </w:r>
          </w:p>
        </w:tc>
      </w:tr>
      <w:tr w:rsidR="00DE5F0F" w:rsidTr="00DE5F0F">
        <w:trPr>
          <w:gridAfter w:val="3"/>
          <w:wAfter w:w="161" w:type="pct"/>
          <w:trHeight w:val="267"/>
          <w:hidden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0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10DE" w:rsidRDefault="00B510DE" w:rsidP="00B510DE">
            <w:pPr>
              <w:rPr>
                <w:rFonts w:ascii="宋体" w:eastAsia="宋体" w:hAnsi="宋体" w:cs="宋体"/>
                <w:vanish/>
              </w:rPr>
            </w:pPr>
          </w:p>
        </w:tc>
        <w:tc>
          <w:tcPr>
            <w:tcW w:w="131" w:type="pct"/>
            <w:gridSpan w:val="2"/>
            <w:shd w:val="clear" w:color="auto" w:fill="auto"/>
            <w:vAlign w:val="center"/>
          </w:tcPr>
          <w:p w:rsidR="00B510DE" w:rsidRDefault="00B510DE" w:rsidP="00B510DE">
            <w:pPr>
              <w:rPr>
                <w:rFonts w:ascii="宋体"/>
                <w:vanish/>
              </w:rPr>
            </w:pPr>
          </w:p>
        </w:tc>
        <w:tc>
          <w:tcPr>
            <w:tcW w:w="132" w:type="pct"/>
            <w:gridSpan w:val="2"/>
            <w:shd w:val="clear" w:color="auto" w:fill="auto"/>
            <w:vAlign w:val="center"/>
          </w:tcPr>
          <w:p w:rsidR="00B510DE" w:rsidRDefault="00B510DE" w:rsidP="00B510DE">
            <w:pPr>
              <w:rPr>
                <w:rFonts w:ascii="宋体"/>
                <w:vanish/>
              </w:rPr>
            </w:pPr>
          </w:p>
        </w:tc>
      </w:tr>
    </w:tbl>
    <w:p w:rsidR="0023642C" w:rsidRDefault="0023642C" w:rsidP="00DE5F0F"/>
    <w:sectPr w:rsidR="0023642C" w:rsidSect="00DE5F0F">
      <w:pgSz w:w="16839" w:h="11907" w:orient="landscape" w:code="9"/>
      <w:pgMar w:top="851" w:right="720" w:bottom="851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6C" w:rsidRDefault="00B86A6C" w:rsidP="00057922">
      <w:r>
        <w:separator/>
      </w:r>
    </w:p>
  </w:endnote>
  <w:endnote w:type="continuationSeparator" w:id="0">
    <w:p w:rsidR="00B86A6C" w:rsidRDefault="00B86A6C" w:rsidP="0005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6C" w:rsidRDefault="00B86A6C" w:rsidP="00057922">
      <w:r>
        <w:separator/>
      </w:r>
    </w:p>
  </w:footnote>
  <w:footnote w:type="continuationSeparator" w:id="0">
    <w:p w:rsidR="00B86A6C" w:rsidRDefault="00B86A6C" w:rsidP="0005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DE"/>
    <w:rsid w:val="00057922"/>
    <w:rsid w:val="0023642C"/>
    <w:rsid w:val="0030682A"/>
    <w:rsid w:val="00320138"/>
    <w:rsid w:val="00B3510C"/>
    <w:rsid w:val="00B510DE"/>
    <w:rsid w:val="00B86A6C"/>
    <w:rsid w:val="00DE5F0F"/>
    <w:rsid w:val="00D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DE"/>
    <w:rPr>
      <w:rFonts w:asciiTheme="minorEastAsia" w:hAnsiTheme="minorEastAs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B510DE"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font261">
    <w:name w:val="font261"/>
    <w:basedOn w:val="a0"/>
    <w:rsid w:val="00B510DE"/>
    <w:rPr>
      <w:rFonts w:ascii="宋体" w:eastAsia="宋体" w:hAnsi="宋体" w:cs="宋体" w:hint="eastAsia"/>
      <w:color w:val="auto"/>
      <w:sz w:val="24"/>
      <w:szCs w:val="24"/>
      <w:u w:val="single"/>
    </w:rPr>
  </w:style>
  <w:style w:type="paragraph" w:styleId="a3">
    <w:name w:val="header"/>
    <w:basedOn w:val="a"/>
    <w:link w:val="Char"/>
    <w:uiPriority w:val="99"/>
    <w:unhideWhenUsed/>
    <w:rsid w:val="0005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922"/>
    <w:rPr>
      <w:rFonts w:asciiTheme="minorEastAsia" w:hAnsiTheme="minorEastAsi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9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922"/>
    <w:rPr>
      <w:rFonts w:asciiTheme="minorEastAsia" w:hAnsiTheme="minorEastAsi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0DE"/>
    <w:rPr>
      <w:rFonts w:asciiTheme="minorEastAsia" w:hAnsiTheme="minorEastAsia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B510DE"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font261">
    <w:name w:val="font261"/>
    <w:basedOn w:val="a0"/>
    <w:rsid w:val="00B510DE"/>
    <w:rPr>
      <w:rFonts w:ascii="宋体" w:eastAsia="宋体" w:hAnsi="宋体" w:cs="宋体" w:hint="eastAsia"/>
      <w:color w:val="auto"/>
      <w:sz w:val="24"/>
      <w:szCs w:val="24"/>
      <w:u w:val="single"/>
    </w:rPr>
  </w:style>
  <w:style w:type="paragraph" w:styleId="a3">
    <w:name w:val="header"/>
    <w:basedOn w:val="a"/>
    <w:link w:val="Char"/>
    <w:uiPriority w:val="99"/>
    <w:unhideWhenUsed/>
    <w:rsid w:val="00057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922"/>
    <w:rPr>
      <w:rFonts w:asciiTheme="minorEastAsia" w:hAnsiTheme="minorEastAsi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9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922"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3321</Words>
  <Characters>18933</Characters>
  <Application>Microsoft Office Word</Application>
  <DocSecurity>0</DocSecurity>
  <Lines>157</Lines>
  <Paragraphs>44</Paragraphs>
  <ScaleCrop>false</ScaleCrop>
  <Company/>
  <LinksUpToDate>false</LinksUpToDate>
  <CharactersWithSpaces>22210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jm1</dc:creator>
  <cp:lastModifiedBy>jm1</cp:lastModifiedBy>
  <cp:revision>2</cp:revision>
  <dcterms:created xsi:type="dcterms:W3CDTF">2020-11-19T07:55:00Z</dcterms:created>
  <dcterms:modified xsi:type="dcterms:W3CDTF">2020-11-19T07:55:00Z</dcterms:modified>
</cp:coreProperties>
</file>