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2017年</w:t>
      </w:r>
      <w:r>
        <w:rPr>
          <w:rFonts w:hint="eastAsia" w:ascii="方正小标宋简体" w:hAnsi="宋体" w:eastAsia="方正小标宋简体"/>
          <w:b/>
          <w:sz w:val="44"/>
          <w:szCs w:val="44"/>
          <w:lang w:val="en-US" w:eastAsia="zh-CN"/>
        </w:rPr>
        <w:t>开</w:t>
      </w:r>
      <w:r>
        <w:rPr>
          <w:rFonts w:hint="eastAsia" w:ascii="方正小标宋简体" w:hAnsi="宋体" w:eastAsia="方正小标宋简体"/>
          <w:b/>
          <w:sz w:val="44"/>
          <w:szCs w:val="44"/>
        </w:rPr>
        <w:t>平市</w:t>
      </w:r>
      <w:r>
        <w:rPr>
          <w:rFonts w:hint="eastAsia" w:ascii="方正小标宋简体" w:hAnsi="宋体" w:eastAsia="方正小标宋简体"/>
          <w:b/>
          <w:sz w:val="44"/>
          <w:szCs w:val="44"/>
          <w:lang w:val="en-US" w:eastAsia="zh-CN"/>
        </w:rPr>
        <w:t>特色农产品加工企业发展补助</w:t>
      </w:r>
      <w:r>
        <w:rPr>
          <w:rFonts w:hint="eastAsia" w:ascii="方正小标宋简体" w:hAnsi="宋体" w:eastAsia="方正小标宋简体"/>
          <w:b/>
          <w:sz w:val="44"/>
          <w:szCs w:val="44"/>
        </w:rPr>
        <w:t>项目申报指南</w:t>
      </w:r>
    </w:p>
    <w:p>
      <w:pPr>
        <w:jc w:val="center"/>
        <w:rPr>
          <w:rFonts w:ascii="方正小标宋简体" w:hAnsi="宋体" w:eastAsia="方正小标宋简体"/>
          <w:b/>
          <w:sz w:val="44"/>
          <w:szCs w:val="44"/>
        </w:rPr>
      </w:pPr>
    </w:p>
    <w:p>
      <w:pPr>
        <w:pStyle w:val="6"/>
        <w:numPr>
          <w:ilvl w:val="0"/>
          <w:numId w:val="1"/>
        </w:numPr>
        <w:spacing w:line="360" w:lineRule="auto"/>
        <w:ind w:firstLineChars="0"/>
        <w:rPr>
          <w:rFonts w:ascii="黑体" w:eastAsia="黑体"/>
          <w:b/>
          <w:sz w:val="32"/>
          <w:szCs w:val="32"/>
        </w:rPr>
      </w:pPr>
      <w:r>
        <w:rPr>
          <w:rFonts w:hint="eastAsia" w:ascii="黑体" w:eastAsia="黑体"/>
          <w:b/>
          <w:sz w:val="32"/>
          <w:szCs w:val="32"/>
        </w:rPr>
        <w:t>申报对象</w:t>
      </w:r>
    </w:p>
    <w:p>
      <w:pPr>
        <w:spacing w:line="360" w:lineRule="auto"/>
        <w:ind w:firstLine="640" w:firstLineChars="200"/>
        <w:jc w:val="left"/>
        <w:rPr>
          <w:rFonts w:ascii="黑体" w:eastAsia="黑体"/>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平市内注册登记的</w:t>
      </w:r>
      <w:r>
        <w:rPr>
          <w:rFonts w:hint="eastAsia" w:ascii="仿宋_GB2312" w:hAnsi="仿宋_GB2312" w:eastAsia="仿宋_GB2312" w:cs="仿宋_GB2312"/>
          <w:sz w:val="32"/>
          <w:szCs w:val="32"/>
          <w:lang w:val="en-US" w:eastAsia="zh-CN"/>
        </w:rPr>
        <w:t>农产品加工企业</w:t>
      </w:r>
      <w:r>
        <w:rPr>
          <w:rFonts w:hint="eastAsia" w:ascii="仿宋_GB2312" w:hAnsi="仿宋_GB2312" w:eastAsia="仿宋_GB2312" w:cs="仿宋_GB2312"/>
          <w:sz w:val="32"/>
          <w:szCs w:val="32"/>
        </w:rPr>
        <w:t>经营主体。</w:t>
      </w:r>
    </w:p>
    <w:p>
      <w:pPr>
        <w:pStyle w:val="7"/>
        <w:numPr>
          <w:ilvl w:val="0"/>
          <w:numId w:val="1"/>
        </w:numPr>
        <w:spacing w:line="360" w:lineRule="auto"/>
        <w:ind w:firstLineChars="0"/>
        <w:rPr>
          <w:rFonts w:ascii="黑体" w:eastAsia="黑体"/>
          <w:b/>
          <w:sz w:val="32"/>
          <w:szCs w:val="32"/>
        </w:rPr>
      </w:pPr>
      <w:r>
        <w:rPr>
          <w:rFonts w:hint="eastAsia" w:ascii="黑体" w:eastAsia="黑体"/>
          <w:b/>
          <w:sz w:val="32"/>
          <w:szCs w:val="32"/>
        </w:rPr>
        <w:t>申报条件</w:t>
      </w:r>
    </w:p>
    <w:p>
      <w:pPr>
        <w:spacing w:line="360" w:lineRule="auto"/>
        <w:ind w:firstLine="480" w:firstLineChars="15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.申报主体</w:t>
      </w:r>
      <w:r>
        <w:rPr>
          <w:rFonts w:ascii="仿宋_GB2312" w:eastAsia="仿宋_GB2312"/>
          <w:sz w:val="32"/>
          <w:szCs w:val="32"/>
        </w:rPr>
        <w:t>必须具有独立法人资格；</w:t>
      </w:r>
    </w:p>
    <w:p>
      <w:pPr>
        <w:spacing w:line="360" w:lineRule="auto"/>
        <w:ind w:firstLine="480" w:firstLineChars="1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.申报主体</w:t>
      </w:r>
      <w:r>
        <w:rPr>
          <w:rFonts w:ascii="仿宋_GB2312" w:eastAsia="仿宋_GB2312"/>
          <w:sz w:val="32"/>
          <w:szCs w:val="32"/>
        </w:rPr>
        <w:t>必须</w:t>
      </w:r>
      <w:r>
        <w:rPr>
          <w:rFonts w:hint="eastAsia" w:ascii="仿宋_GB2312" w:eastAsia="仿宋_GB2312"/>
          <w:sz w:val="32"/>
          <w:szCs w:val="32"/>
          <w:lang w:val="en-US" w:eastAsia="zh-CN"/>
        </w:rPr>
        <w:t>是</w:t>
      </w:r>
      <w:r>
        <w:rPr>
          <w:rFonts w:ascii="仿宋_GB2312" w:eastAsia="仿宋_GB2312"/>
          <w:sz w:val="32"/>
          <w:szCs w:val="32"/>
        </w:rPr>
        <w:t>农</w:t>
      </w:r>
      <w:r>
        <w:rPr>
          <w:rFonts w:hint="eastAsia" w:ascii="仿宋_GB2312" w:eastAsia="仿宋_GB2312"/>
          <w:sz w:val="32"/>
          <w:szCs w:val="32"/>
          <w:lang w:val="en-US" w:eastAsia="zh-CN"/>
        </w:rPr>
        <w:t>产品加工企业</w:t>
      </w:r>
      <w:r>
        <w:rPr>
          <w:rFonts w:ascii="仿宋_GB2312" w:eastAsia="仿宋_GB2312"/>
          <w:sz w:val="32"/>
          <w:szCs w:val="32"/>
        </w:rPr>
        <w:t>；</w:t>
      </w:r>
    </w:p>
    <w:p>
      <w:pPr>
        <w:spacing w:line="360" w:lineRule="auto"/>
        <w:ind w:left="479" w:leftChars="228"/>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.申报主体</w:t>
      </w:r>
      <w:r>
        <w:rPr>
          <w:rFonts w:ascii="仿宋_GB2312" w:eastAsia="仿宋_GB2312"/>
          <w:sz w:val="32"/>
          <w:szCs w:val="32"/>
        </w:rPr>
        <w:t>年度</w:t>
      </w:r>
      <w:r>
        <w:rPr>
          <w:rFonts w:hint="eastAsia" w:ascii="仿宋_GB2312" w:eastAsia="仿宋_GB2312"/>
          <w:sz w:val="32"/>
          <w:szCs w:val="32"/>
          <w:lang w:val="en-US" w:eastAsia="zh-CN"/>
        </w:rPr>
        <w:t>内</w:t>
      </w:r>
      <w:r>
        <w:rPr>
          <w:rFonts w:ascii="仿宋_GB2312" w:eastAsia="仿宋_GB2312"/>
          <w:sz w:val="32"/>
          <w:szCs w:val="32"/>
        </w:rPr>
        <w:t>投资总额不低于</w:t>
      </w:r>
      <w:r>
        <w:rPr>
          <w:rFonts w:hint="eastAsia" w:ascii="仿宋_GB2312" w:eastAsia="仿宋_GB2312"/>
          <w:sz w:val="32"/>
          <w:szCs w:val="32"/>
          <w:lang w:val="en-US" w:eastAsia="zh-CN"/>
        </w:rPr>
        <w:t>2</w:t>
      </w:r>
      <w:r>
        <w:rPr>
          <w:rFonts w:ascii="仿宋_GB2312" w:eastAsia="仿宋_GB2312"/>
          <w:sz w:val="32"/>
          <w:szCs w:val="32"/>
        </w:rPr>
        <w:t>0万元</w:t>
      </w:r>
      <w:r>
        <w:rPr>
          <w:rFonts w:hint="eastAsia" w:ascii="仿宋_GB2312" w:eastAsia="仿宋_GB2312"/>
          <w:sz w:val="32"/>
          <w:szCs w:val="32"/>
        </w:rPr>
        <w:t>。</w:t>
      </w:r>
    </w:p>
    <w:p>
      <w:pPr>
        <w:pStyle w:val="7"/>
        <w:numPr>
          <w:ilvl w:val="0"/>
          <w:numId w:val="1"/>
        </w:numPr>
        <w:spacing w:line="360" w:lineRule="auto"/>
        <w:ind w:firstLineChars="0"/>
        <w:rPr>
          <w:rFonts w:ascii="黑体" w:eastAsia="黑体"/>
          <w:b/>
          <w:sz w:val="32"/>
          <w:szCs w:val="32"/>
        </w:rPr>
      </w:pPr>
      <w:r>
        <w:rPr>
          <w:rFonts w:hint="eastAsia" w:ascii="黑体" w:eastAsia="黑体"/>
          <w:b/>
          <w:sz w:val="32"/>
          <w:szCs w:val="32"/>
        </w:rPr>
        <w:t>申报要求</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1.2017年1月开始建设且未获得过各级财政部门相同项目扶持的；</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2.较大规模同一项目区内未获得财政部门扶持的；</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3.申报前三年没有严重违法违纪行为或被政府相关部门处理处罚记录；</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4.曾获得过各级财政扶持的，项目已经完成验收，无骗取、贪污、挪用或严重浪费等不良记录；</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5.对曾获得各级财政扶持项目，无故未完成项目验收的，原则上不受理。</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6.申报单位自觉接受农业部门的业务指导，配合完成农产品安全等方面的工作。</w:t>
      </w:r>
    </w:p>
    <w:p>
      <w:pPr>
        <w:spacing w:line="360" w:lineRule="auto"/>
        <w:ind w:firstLine="643" w:firstLineChars="200"/>
        <w:rPr>
          <w:rFonts w:ascii="黑体" w:eastAsia="黑体"/>
          <w:b/>
          <w:sz w:val="32"/>
          <w:szCs w:val="32"/>
        </w:rPr>
      </w:pPr>
      <w:r>
        <w:rPr>
          <w:rFonts w:hint="eastAsia" w:ascii="黑体" w:eastAsia="黑体"/>
          <w:b/>
          <w:sz w:val="32"/>
          <w:szCs w:val="32"/>
        </w:rPr>
        <w:t>四、补助标准及建设内容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项目计划扶持一个</w:t>
      </w:r>
      <w:r>
        <w:rPr>
          <w:rFonts w:hint="eastAsia" w:ascii="仿宋_GB2312" w:hAnsi="仿宋_GB2312" w:eastAsia="仿宋_GB2312" w:cs="仿宋_GB2312"/>
          <w:sz w:val="32"/>
          <w:szCs w:val="32"/>
          <w:lang w:val="en-US" w:eastAsia="zh-CN"/>
        </w:rPr>
        <w:t>特色农产品加工企业发展补助</w:t>
      </w:r>
      <w:r>
        <w:rPr>
          <w:rFonts w:hint="eastAsia" w:ascii="仿宋_GB2312" w:eastAsia="仿宋_GB2312"/>
          <w:sz w:val="32"/>
          <w:szCs w:val="32"/>
        </w:rPr>
        <w:t>项目，主要用于</w:t>
      </w:r>
      <w:r>
        <w:rPr>
          <w:rFonts w:hint="eastAsia" w:ascii="仿宋_GB2312" w:eastAsia="仿宋_GB2312"/>
          <w:sz w:val="32"/>
          <w:szCs w:val="32"/>
          <w:lang w:val="en-US" w:eastAsia="zh-CN"/>
        </w:rPr>
        <w:t>扶持农产品加工业发展</w:t>
      </w:r>
      <w:r>
        <w:rPr>
          <w:rFonts w:hint="eastAsia" w:ascii="仿宋_GB2312" w:eastAsia="仿宋_GB2312"/>
          <w:sz w:val="32"/>
          <w:szCs w:val="32"/>
        </w:rPr>
        <w:t>，资金用于</w:t>
      </w:r>
      <w:r>
        <w:rPr>
          <w:rFonts w:hint="eastAsia" w:ascii="仿宋_GB2312" w:eastAsia="仿宋_GB2312"/>
          <w:sz w:val="32"/>
          <w:szCs w:val="32"/>
          <w:lang w:val="en-US" w:eastAsia="zh-CN"/>
        </w:rPr>
        <w:t>企业</w:t>
      </w:r>
      <w:r>
        <w:rPr>
          <w:rFonts w:hint="eastAsia" w:ascii="仿宋_GB2312" w:eastAsia="仿宋_GB2312"/>
          <w:sz w:val="32"/>
          <w:szCs w:val="32"/>
        </w:rPr>
        <w:t>的</w:t>
      </w:r>
      <w:r>
        <w:rPr>
          <w:rFonts w:hint="eastAsia" w:ascii="仿宋_GB2312" w:eastAsia="仿宋_GB2312"/>
          <w:sz w:val="32"/>
          <w:szCs w:val="32"/>
          <w:lang w:val="en-US" w:eastAsia="zh-CN"/>
        </w:rPr>
        <w:t>购置</w:t>
      </w:r>
      <w:r>
        <w:rPr>
          <w:rFonts w:hint="eastAsia" w:ascii="仿宋_GB2312" w:eastAsia="仿宋_GB2312"/>
          <w:sz w:val="32"/>
          <w:szCs w:val="32"/>
        </w:rPr>
        <w:t>设备及基础设施建设。项目采取先建后补方式补助，项目总投资不少于20万元，</w:t>
      </w:r>
      <w:r>
        <w:rPr>
          <w:rFonts w:hint="eastAsia" w:ascii="仿宋_GB2312" w:hAnsi="仿宋_GB2312" w:eastAsia="仿宋_GB2312" w:cs="仿宋_GB2312"/>
          <w:sz w:val="32"/>
          <w:szCs w:val="32"/>
        </w:rPr>
        <w:t>其中财政补助资金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w:t>
      </w:r>
      <w:r>
        <w:rPr>
          <w:rFonts w:hint="eastAsia" w:ascii="仿宋_GB2312" w:eastAsia="仿宋_GB2312"/>
          <w:sz w:val="32"/>
          <w:szCs w:val="32"/>
        </w:rPr>
        <w:t>。</w:t>
      </w:r>
    </w:p>
    <w:p>
      <w:pPr>
        <w:spacing w:line="360" w:lineRule="auto"/>
        <w:ind w:firstLine="480" w:firstLineChars="150"/>
        <w:jc w:val="left"/>
        <w:rPr>
          <w:rFonts w:ascii="仿宋_GB2312" w:eastAsia="仿宋_GB2312"/>
          <w:sz w:val="32"/>
          <w:szCs w:val="32"/>
        </w:rPr>
      </w:pPr>
      <w:r>
        <w:rPr>
          <w:rFonts w:hint="eastAsia" w:ascii="仿宋_GB2312" w:hAnsi="仿宋_GB2312" w:eastAsia="仿宋_GB2312" w:cs="仿宋_GB2312"/>
          <w:sz w:val="32"/>
          <w:szCs w:val="32"/>
        </w:rPr>
        <w:t>通过</w:t>
      </w:r>
      <w:r>
        <w:rPr>
          <w:rFonts w:hint="eastAsia" w:ascii="仿宋_GB2312" w:eastAsia="仿宋_GB2312"/>
          <w:sz w:val="32"/>
          <w:szCs w:val="32"/>
          <w:lang w:val="en-US" w:eastAsia="zh-CN"/>
        </w:rPr>
        <w:t>扶持农产品加工企业发展补助</w:t>
      </w:r>
      <w:r>
        <w:rPr>
          <w:rFonts w:hint="eastAsia" w:ascii="仿宋_GB2312" w:eastAsia="仿宋_GB2312"/>
          <w:sz w:val="32"/>
          <w:szCs w:val="32"/>
        </w:rPr>
        <w:t>项目</w:t>
      </w:r>
      <w:r>
        <w:rPr>
          <w:rFonts w:hint="eastAsia" w:ascii="仿宋_GB2312" w:hAnsi="仿宋_GB2312" w:eastAsia="仿宋_GB2312" w:cs="仿宋_GB2312"/>
          <w:sz w:val="32"/>
          <w:szCs w:val="32"/>
        </w:rPr>
        <w:t>的建设，提升我市特色农产品</w:t>
      </w:r>
      <w:r>
        <w:rPr>
          <w:rFonts w:hint="eastAsia" w:ascii="仿宋_GB2312" w:hAnsi="仿宋_GB2312" w:eastAsia="仿宋_GB2312" w:cs="仿宋_GB2312"/>
          <w:sz w:val="32"/>
          <w:szCs w:val="32"/>
          <w:lang w:val="en-US" w:eastAsia="zh-CN"/>
        </w:rPr>
        <w:t>加工企业发展，增强发展动力，实现农业强市</w:t>
      </w:r>
      <w:r>
        <w:rPr>
          <w:rFonts w:hint="eastAsia" w:ascii="仿宋_GB2312" w:hAnsi="仿宋_GB2312" w:eastAsia="仿宋_GB2312" w:cs="仿宋_GB2312"/>
          <w:sz w:val="32"/>
          <w:szCs w:val="32"/>
        </w:rPr>
        <w:t>建设。</w:t>
      </w:r>
    </w:p>
    <w:p>
      <w:pPr>
        <w:spacing w:line="360" w:lineRule="auto"/>
        <w:ind w:firstLine="643" w:firstLineChars="200"/>
        <w:rPr>
          <w:rFonts w:ascii="黑体" w:eastAsia="黑体"/>
          <w:b/>
          <w:sz w:val="32"/>
          <w:szCs w:val="32"/>
        </w:rPr>
      </w:pPr>
      <w:r>
        <w:rPr>
          <w:rFonts w:hint="eastAsia" w:ascii="黑体" w:eastAsia="黑体"/>
          <w:b/>
          <w:sz w:val="32"/>
          <w:szCs w:val="32"/>
        </w:rPr>
        <w:t>五、申报程序和有关要求</w:t>
      </w:r>
    </w:p>
    <w:p>
      <w:pPr>
        <w:numPr>
          <w:ilvl w:val="0"/>
          <w:numId w:val="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申报程序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实行逐级申报制度。项目申报单位认真编制项目申报材料，由所在镇（街）审核后，上报市农业局。市农业局组织对项目申报材料进行集中评审，按照竞争性分配的原则确定项目承担单位。</w:t>
      </w:r>
    </w:p>
    <w:p>
      <w:pPr>
        <w:numPr>
          <w:ilvl w:val="0"/>
          <w:numId w:val="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材料受理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纸质申报材料连同请示文件，于2017年10月2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日前一式五份报</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平市农业局</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管股（逾期不受理）。同时报送Word文档电子版一份。</w:t>
      </w:r>
    </w:p>
    <w:p>
      <w:pPr>
        <w:numPr>
          <w:ilvl w:val="0"/>
          <w:numId w:val="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纸质申报材料要求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申报材料包括封面、请示文件、项目申报书（附件1）、项目实施方案、申报单位营业执照复印件、上年末及上月的会计报表（家庭农场、种植大户除外）及其他佐证材料。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申报材料要求一式五份，统一用A4纸打印或复印，按上述顺序，装订成册。</w:t>
      </w:r>
    </w:p>
    <w:p>
      <w:pPr>
        <w:spacing w:line="360" w:lineRule="auto"/>
        <w:ind w:firstLine="643" w:firstLineChars="200"/>
        <w:rPr>
          <w:rFonts w:ascii="黑体" w:eastAsia="黑体"/>
          <w:b/>
          <w:sz w:val="32"/>
          <w:szCs w:val="32"/>
        </w:rPr>
      </w:pPr>
      <w:r>
        <w:rPr>
          <w:rFonts w:hint="eastAsia" w:ascii="黑体" w:eastAsia="黑体"/>
          <w:b/>
          <w:sz w:val="32"/>
          <w:szCs w:val="32"/>
        </w:rPr>
        <w:t>六、项目管理、验收</w:t>
      </w:r>
    </w:p>
    <w:p>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项目申报批复后，未开始建设的应立即组织实施，已建设中的要抓紧实施。并于2018年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月底前向农业主管部门申请验收。</w:t>
      </w:r>
    </w:p>
    <w:p>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严格按照项目建设内容和资金安排组织实施和验收，实现项目绩效目标。</w:t>
      </w:r>
    </w:p>
    <w:p>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项目总投入资金严格国家财税管理的有关规定，主动接受农业、财政部门和审计部门等相关单位的监督。设立转账管理，确保专款专用、报账凭证真实、完整、有效。</w:t>
      </w:r>
    </w:p>
    <w:p>
      <w:pPr>
        <w:numPr>
          <w:ilvl w:val="0"/>
          <w:numId w:val="3"/>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此项资金拨付管理。</w:t>
      </w:r>
      <w:r>
        <w:rPr>
          <w:rFonts w:hint="eastAsia" w:ascii="仿宋_GB2312" w:hAnsi="仿宋_GB2312" w:eastAsia="仿宋_GB2312" w:cs="仿宋_GB2312"/>
          <w:sz w:val="32"/>
          <w:szCs w:val="32"/>
          <w:lang w:val="en-US" w:eastAsia="zh-CN"/>
        </w:rPr>
        <w:t>项目实行财政报账制管理，</w:t>
      </w:r>
      <w:r>
        <w:rPr>
          <w:rFonts w:hint="eastAsia" w:ascii="仿宋_GB2312" w:hAnsi="仿宋_GB2312" w:eastAsia="仿宋_GB2312" w:cs="仿宋_GB2312"/>
          <w:sz w:val="32"/>
          <w:szCs w:val="32"/>
        </w:rPr>
        <w:t>项目验收通过后由财政部门按照先建后补方式一次性支付到项目承担单位。</w:t>
      </w:r>
    </w:p>
    <w:p>
      <w:pPr>
        <w:spacing w:line="360" w:lineRule="auto"/>
        <w:ind w:firstLine="643" w:firstLineChars="200"/>
        <w:rPr>
          <w:rFonts w:ascii="黑体" w:eastAsia="黑体"/>
          <w:b/>
          <w:sz w:val="32"/>
          <w:szCs w:val="32"/>
        </w:rPr>
      </w:pPr>
      <w:r>
        <w:rPr>
          <w:rFonts w:hint="eastAsia" w:ascii="黑体" w:eastAsia="黑体"/>
          <w:b/>
          <w:sz w:val="32"/>
          <w:szCs w:val="32"/>
        </w:rPr>
        <w:t>七、其他</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本指南由市农业局负责解释。未尽事宜，请与市农业局联系</w:t>
      </w:r>
      <w:r>
        <w:rPr>
          <w:rFonts w:hint="eastAsia" w:ascii="仿宋_GB2312" w:eastAsia="仿宋_GB2312"/>
          <w:sz w:val="32"/>
          <w:szCs w:val="32"/>
          <w:lang w:eastAsia="zh-CN"/>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谢素庭</w:t>
      </w:r>
      <w:r>
        <w:rPr>
          <w:rFonts w:hint="eastAsia" w:ascii="仿宋_GB2312" w:eastAsia="仿宋_GB2312"/>
          <w:sz w:val="32"/>
          <w:szCs w:val="32"/>
        </w:rPr>
        <w:t>，联系电话（传真）：</w:t>
      </w:r>
      <w:r>
        <w:rPr>
          <w:rFonts w:hint="eastAsia" w:ascii="仿宋_GB2312" w:eastAsia="仿宋_GB2312"/>
          <w:sz w:val="32"/>
          <w:szCs w:val="32"/>
          <w:lang w:val="en-US" w:eastAsia="zh-CN"/>
        </w:rPr>
        <w:t>2268379</w:t>
      </w:r>
      <w:r>
        <w:rPr>
          <w:rFonts w:hint="eastAsia" w:ascii="仿宋_GB2312" w:eastAsia="仿宋_GB2312"/>
          <w:sz w:val="32"/>
          <w:szCs w:val="32"/>
        </w:rPr>
        <w:t>。</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420" w:firstLineChars="200"/>
      </w:pPr>
    </w:p>
    <w:p>
      <w:pPr>
        <w:spacing w:line="360" w:lineRule="auto"/>
        <w:jc w:val="center"/>
        <w:rPr>
          <w:rFonts w:ascii="宋体" w:hAnsi="宋体" w:cs="宋体"/>
          <w:b/>
          <w:sz w:val="44"/>
          <w:szCs w:val="44"/>
        </w:rPr>
      </w:pPr>
      <w:r>
        <w:rPr>
          <w:rFonts w:hint="eastAsia" w:ascii="宋体" w:hAnsi="宋体" w:cs="宋体"/>
          <w:b/>
          <w:sz w:val="44"/>
          <w:szCs w:val="44"/>
        </w:rPr>
        <w:t>2017年</w:t>
      </w:r>
      <w:r>
        <w:rPr>
          <w:rFonts w:hint="eastAsia" w:ascii="宋体" w:hAnsi="宋体" w:cs="宋体"/>
          <w:b/>
          <w:sz w:val="44"/>
          <w:szCs w:val="44"/>
          <w:lang w:eastAsia="zh-CN"/>
        </w:rPr>
        <w:t>开</w:t>
      </w:r>
      <w:r>
        <w:rPr>
          <w:rFonts w:hint="eastAsia" w:ascii="宋体" w:hAnsi="宋体" w:cs="宋体"/>
          <w:b/>
          <w:sz w:val="44"/>
          <w:szCs w:val="44"/>
        </w:rPr>
        <w:t>平市</w:t>
      </w:r>
      <w:r>
        <w:rPr>
          <w:rFonts w:hint="eastAsia" w:ascii="宋体" w:hAnsi="宋体" w:cs="宋体"/>
          <w:b/>
          <w:sz w:val="44"/>
          <w:szCs w:val="44"/>
          <w:lang w:val="en-US" w:eastAsia="zh-CN"/>
        </w:rPr>
        <w:t xml:space="preserve">特色优势农产品加工企业发展补 助 </w:t>
      </w:r>
      <w:r>
        <w:rPr>
          <w:rFonts w:hint="eastAsia" w:ascii="宋体" w:hAnsi="宋体" w:cs="宋体"/>
          <w:b/>
          <w:sz w:val="44"/>
          <w:szCs w:val="44"/>
        </w:rPr>
        <w:t>项</w:t>
      </w:r>
      <w:r>
        <w:rPr>
          <w:rFonts w:hint="eastAsia" w:ascii="宋体" w:hAnsi="宋体" w:cs="宋体"/>
          <w:b/>
          <w:sz w:val="44"/>
          <w:szCs w:val="44"/>
          <w:lang w:val="en-US" w:eastAsia="zh-CN"/>
        </w:rPr>
        <w:t xml:space="preserve"> </w:t>
      </w:r>
      <w:r>
        <w:rPr>
          <w:rFonts w:hint="eastAsia" w:ascii="宋体" w:hAnsi="宋体" w:cs="宋体"/>
          <w:b/>
          <w:sz w:val="44"/>
          <w:szCs w:val="44"/>
        </w:rPr>
        <w:t>目 申 报 书</w:t>
      </w:r>
    </w:p>
    <w:p>
      <w:pPr>
        <w:adjustRightInd w:val="0"/>
        <w:spacing w:line="360" w:lineRule="auto"/>
        <w:jc w:val="center"/>
        <w:rPr>
          <w:rFonts w:ascii="仿宋_GB2312" w:hAnsi="仿宋_GB2312" w:eastAsia="仿宋_GB2312" w:cs="仿宋_GB2312"/>
          <w:b/>
          <w:sz w:val="32"/>
          <w:szCs w:val="32"/>
        </w:rPr>
      </w:pPr>
    </w:p>
    <w:p>
      <w:pPr>
        <w:adjustRightInd w:val="0"/>
        <w:spacing w:line="360" w:lineRule="auto"/>
        <w:jc w:val="center"/>
        <w:rPr>
          <w:rFonts w:ascii="仿宋_GB2312" w:hAnsi="仿宋_GB2312" w:eastAsia="仿宋_GB2312" w:cs="仿宋_GB2312"/>
          <w:b/>
          <w:sz w:val="32"/>
          <w:szCs w:val="32"/>
        </w:rPr>
      </w:pPr>
    </w:p>
    <w:p>
      <w:pPr>
        <w:adjustRightInd w:val="0"/>
        <w:spacing w:line="360" w:lineRule="auto"/>
        <w:jc w:val="center"/>
        <w:rPr>
          <w:rFonts w:ascii="仿宋_GB2312" w:hAnsi="仿宋_GB2312" w:eastAsia="仿宋_GB2312" w:cs="仿宋_GB2312"/>
          <w:b/>
          <w:sz w:val="32"/>
          <w:szCs w:val="32"/>
        </w:rPr>
      </w:pPr>
    </w:p>
    <w:p>
      <w:pPr>
        <w:adjustRightInd w:val="0"/>
        <w:spacing w:line="360" w:lineRule="auto"/>
        <w:jc w:val="center"/>
        <w:rPr>
          <w:rFonts w:ascii="仿宋_GB2312" w:hAnsi="仿宋_GB2312" w:eastAsia="仿宋_GB2312" w:cs="仿宋_GB2312"/>
          <w:b/>
          <w:sz w:val="32"/>
          <w:szCs w:val="32"/>
        </w:rPr>
      </w:pP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申报单位（公章）： </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通讯地址： </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w:t>
      </w:r>
    </w:p>
    <w:p>
      <w:pPr>
        <w:adjustRightInd w:val="0"/>
        <w:spacing w:line="360" w:lineRule="auto"/>
        <w:ind w:firstLine="1024" w:firstLineChars="320"/>
        <w:rPr>
          <w:rFonts w:ascii="仿宋_GB2312" w:hAnsi="仿宋_GB2312" w:eastAsia="仿宋_GB2312" w:cs="仿宋_GB2312"/>
          <w:sz w:val="32"/>
          <w:szCs w:val="32"/>
        </w:rPr>
      </w:pPr>
      <w:r>
        <w:rPr>
          <w:rFonts w:hint="eastAsia" w:ascii="仿宋_GB2312" w:hAnsi="仿宋_GB2312" w:eastAsia="仿宋_GB2312" w:cs="仿宋_GB2312"/>
          <w:sz w:val="32"/>
          <w:szCs w:val="32"/>
        </w:rPr>
        <w:t>申报日期：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ind w:firstLine="630" w:firstLineChars="196"/>
        <w:rPr>
          <w:rFonts w:ascii="仿宋_GB2312" w:hAnsi="仿宋_GB2312" w:eastAsia="仿宋_GB2312" w:cs="仿宋_GB2312"/>
          <w:b/>
          <w:sz w:val="32"/>
          <w:szCs w:val="32"/>
        </w:rPr>
      </w:pPr>
    </w:p>
    <w:p>
      <w:pPr>
        <w:adjustRightIn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开</w:t>
      </w:r>
      <w:r>
        <w:rPr>
          <w:rFonts w:hint="eastAsia" w:ascii="仿宋_GB2312" w:hAnsi="仿宋_GB2312" w:eastAsia="仿宋_GB2312" w:cs="仿宋_GB2312"/>
          <w:b/>
          <w:sz w:val="32"/>
          <w:szCs w:val="32"/>
        </w:rPr>
        <w:t>平市农业局编制</w:t>
      </w:r>
    </w:p>
    <w:p>
      <w:pPr>
        <w:adjustRightIn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2017年</w:t>
      </w: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 xml:space="preserve">月 </w:t>
      </w:r>
    </w:p>
    <w:tbl>
      <w:tblPr>
        <w:tblStyle w:val="5"/>
        <w:tblW w:w="9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5" w:hRule="atLeast"/>
          <w:jc w:val="center"/>
        </w:trPr>
        <w:tc>
          <w:tcPr>
            <w:tcW w:w="9212"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项目背景、申报单位情况及有利条件</w:t>
            </w:r>
          </w:p>
          <w:p>
            <w:pPr>
              <w:spacing w:line="360" w:lineRule="auto"/>
              <w:ind w:firstLine="640" w:firstLineChars="200"/>
              <w:rPr>
                <w:rFonts w:ascii="仿宋_GB2312" w:hAnsi="仿宋_GB2312" w:eastAsia="仿宋_GB2312" w:cs="仿宋_GB2312"/>
                <w:sz w:val="32"/>
                <w:szCs w:val="32"/>
              </w:rPr>
            </w:pPr>
          </w:p>
        </w:tc>
      </w:tr>
    </w:tbl>
    <w:p>
      <w:pPr>
        <w:widowControl/>
        <w:spacing w:line="360" w:lineRule="auto"/>
        <w:jc w:val="left"/>
        <w:rPr>
          <w:rFonts w:ascii="仿宋_GB2312" w:hAnsi="仿宋_GB2312" w:eastAsia="仿宋_GB2312" w:cs="仿宋_GB2312"/>
          <w:b/>
          <w:snapToGrid w:val="0"/>
          <w:sz w:val="32"/>
          <w:szCs w:val="32"/>
        </w:rPr>
        <w:sectPr>
          <w:footerReference r:id="rId3" w:type="default"/>
          <w:footerReference r:id="rId4" w:type="even"/>
          <w:pgSz w:w="11906" w:h="16838"/>
          <w:pgMar w:top="1304" w:right="1361" w:bottom="1304" w:left="1701" w:header="851" w:footer="992" w:gutter="0"/>
          <w:cols w:space="720" w:num="1"/>
        </w:sectPr>
      </w:pPr>
    </w:p>
    <w:tbl>
      <w:tblPr>
        <w:tblStyle w:val="5"/>
        <w:tblW w:w="8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9" w:hRule="atLeast"/>
          <w:jc w:val="center"/>
        </w:trPr>
        <w:tc>
          <w:tcPr>
            <w:tcW w:w="8765"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项目内容及进度安排</w:t>
            </w:r>
          </w:p>
          <w:p>
            <w:pPr>
              <w:spacing w:line="360" w:lineRule="auto"/>
              <w:ind w:firstLine="645"/>
              <w:rPr>
                <w:rFonts w:ascii="仿宋_GB2312" w:hAnsi="仿宋_GB2312" w:eastAsia="仿宋_GB2312" w:cs="仿宋_GB2312"/>
                <w:sz w:val="32"/>
                <w:szCs w:val="32"/>
              </w:rPr>
            </w:pPr>
          </w:p>
        </w:tc>
      </w:tr>
    </w:tbl>
    <w:p>
      <w:pPr>
        <w:widowControl/>
        <w:spacing w:line="360" w:lineRule="auto"/>
        <w:jc w:val="left"/>
        <w:rPr>
          <w:rFonts w:ascii="仿宋_GB2312" w:hAnsi="仿宋_GB2312" w:eastAsia="仿宋_GB2312" w:cs="仿宋_GB2312"/>
          <w:b/>
          <w:snapToGrid w:val="0"/>
          <w:sz w:val="32"/>
          <w:szCs w:val="32"/>
        </w:rPr>
        <w:sectPr>
          <w:pgSz w:w="11906" w:h="16838"/>
          <w:pgMar w:top="1871" w:right="1361" w:bottom="1871" w:left="1701" w:header="0" w:footer="1418" w:gutter="0"/>
          <w:cols w:space="720" w:num="1"/>
        </w:sectPr>
      </w:pPr>
    </w:p>
    <w:tbl>
      <w:tblPr>
        <w:tblStyle w:val="5"/>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jc w:val="center"/>
        </w:trPr>
        <w:tc>
          <w:tcPr>
            <w:tcW w:w="8889"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绩效目标</w:t>
            </w:r>
          </w:p>
          <w:p>
            <w:pPr>
              <w:spacing w:line="360" w:lineRule="auto"/>
              <w:ind w:firstLine="646"/>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9" w:hRule="atLeast"/>
          <w:jc w:val="center"/>
        </w:trPr>
        <w:tc>
          <w:tcPr>
            <w:tcW w:w="8889"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经费预算</w:t>
            </w:r>
          </w:p>
          <w:p>
            <w:pPr>
              <w:adjustRightInd w:val="0"/>
              <w:spacing w:line="360" w:lineRule="auto"/>
              <w:ind w:firstLine="645"/>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5" w:hRule="atLeast"/>
          <w:jc w:val="center"/>
        </w:trPr>
        <w:tc>
          <w:tcPr>
            <w:tcW w:w="8889"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组织管理机制</w:t>
            </w:r>
          </w:p>
          <w:p>
            <w:pPr>
              <w:adjustRightInd w:val="0"/>
              <w:spacing w:line="360" w:lineRule="auto"/>
              <w:ind w:firstLine="645"/>
              <w:rPr>
                <w:rFonts w:ascii="仿宋_GB2312" w:hAnsi="仿宋_GB2312" w:eastAsia="仿宋_GB2312" w:cs="仿宋_GB2312"/>
                <w:sz w:val="32"/>
                <w:szCs w:val="32"/>
              </w:rPr>
            </w:pPr>
          </w:p>
        </w:tc>
      </w:tr>
    </w:tbl>
    <w:tbl>
      <w:tblPr>
        <w:tblStyle w:val="5"/>
        <w:tblpPr w:leftFromText="180" w:rightFromText="180" w:vertAnchor="page" w:horzAnchor="page" w:tblpXSpec="center" w:tblpY="161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8928"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申报单位意见：</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360" w:lineRule="auto"/>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                   （单位盖章）</w:t>
            </w:r>
          </w:p>
          <w:p>
            <w:pPr>
              <w:spacing w:line="360" w:lineRule="auto"/>
              <w:ind w:firstLine="406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jc w:val="center"/>
        </w:trPr>
        <w:tc>
          <w:tcPr>
            <w:tcW w:w="8928"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镇（街）意见：</w:t>
            </w: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p>
          <w:p>
            <w:pPr>
              <w:spacing w:line="360" w:lineRule="auto"/>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（单位盖章）</w:t>
            </w:r>
          </w:p>
          <w:p>
            <w:pPr>
              <w:spacing w:line="360" w:lineRule="auto"/>
              <w:jc w:val="left"/>
              <w:rPr>
                <w:rFonts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8928"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市农业部门意见：</w:t>
            </w: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p>
          <w:p>
            <w:pPr>
              <w:spacing w:line="360" w:lineRule="auto"/>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（单位盖章）</w:t>
            </w: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8928" w:type="dxa"/>
            <w:tcBorders>
              <w:top w:val="single" w:color="auto" w:sz="4" w:space="0"/>
              <w:left w:val="single" w:color="auto" w:sz="4" w:space="0"/>
              <w:bottom w:val="single" w:color="auto" w:sz="4" w:space="0"/>
              <w:right w:val="single" w:color="auto" w:sz="4" w:space="0"/>
            </w:tcBorders>
            <w:vAlign w:val="top"/>
          </w:tcPr>
          <w:p>
            <w:pPr>
              <w:numPr>
                <w:ilvl w:val="0"/>
                <w:numId w:val="4"/>
              </w:numPr>
              <w:spacing w:line="360" w:lineRule="auto"/>
              <w:ind w:left="0" w:firstLine="0"/>
              <w:rPr>
                <w:rFonts w:ascii="仿宋_GB2312" w:hAnsi="仿宋_GB2312" w:eastAsia="仿宋_GB2312" w:cs="仿宋_GB2312"/>
                <w:b/>
                <w:sz w:val="32"/>
                <w:szCs w:val="32"/>
              </w:rPr>
            </w:pPr>
            <w:r>
              <w:rPr>
                <w:rFonts w:hint="eastAsia" w:ascii="仿宋_GB2312" w:hAnsi="仿宋_GB2312" w:eastAsia="仿宋_GB2312" w:cs="仿宋_GB2312"/>
                <w:b/>
                <w:sz w:val="32"/>
                <w:szCs w:val="32"/>
              </w:rPr>
              <w:t>市财政部门意见：</w:t>
            </w:r>
          </w:p>
          <w:p>
            <w:pPr>
              <w:spacing w:line="360" w:lineRule="auto"/>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p>
          <w:p>
            <w:pPr>
              <w:spacing w:line="360" w:lineRule="auto"/>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（单位盖章）</w:t>
            </w: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年     月     日</w:t>
            </w:r>
          </w:p>
        </w:tc>
      </w:tr>
    </w:tbl>
    <w:p>
      <w:pPr>
        <w:ind w:firstLine="420" w:firstLineChars="200"/>
      </w:pPr>
    </w:p>
    <w:p>
      <w:pPr>
        <w:widowControl/>
        <w:spacing w:line="560" w:lineRule="exact"/>
        <w:jc w:val="center"/>
        <w:rPr>
          <w:rFonts w:hint="eastAsia" w:ascii="宋体" w:hAnsi="宋体" w:cs="Arial"/>
          <w:b/>
          <w:bCs/>
          <w:smallCaps/>
          <w:kern w:val="0"/>
          <w:sz w:val="44"/>
          <w:szCs w:val="44"/>
        </w:rPr>
      </w:pPr>
    </w:p>
    <w:p>
      <w:pPr>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ind w:firstLine="388" w:firstLineChars="0"/>
        <w:jc w:val="left"/>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ind w:firstLine="388" w:firstLineChars="0"/>
        <w:jc w:val="left"/>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pPr>
        <w:ind w:firstLine="388" w:firstLineChars="0"/>
        <w:jc w:val="left"/>
        <w:rPr>
          <w:rFonts w:hint="eastAsia" w:ascii="仿宋" w:hAnsi="仿宋" w:eastAsia="仿宋" w:cs="仿宋"/>
          <w:color w:val="000000" w:themeColor="text1"/>
          <w:kern w:val="0"/>
          <w:sz w:val="32"/>
          <w:szCs w:val="32"/>
          <w:lang w:val="en-US" w:eastAsia="zh-CN" w:bidi="ar-SA"/>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decorative"/>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宋体-18030">
    <w:altName w:val="微软雅黑"/>
    <w:panose1 w:val="02010609060101010101"/>
    <w:charset w:val="86"/>
    <w:family w:val="modern"/>
    <w:pitch w:val="default"/>
    <w:sig w:usb0="00000000" w:usb1="00000000" w:usb2="0000005E"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微软雅黑 Light">
    <w:altName w:val="黑体"/>
    <w:panose1 w:val="020B0502040204020203"/>
    <w:charset w:val="86"/>
    <w:family w:val="auto"/>
    <w:pitch w:val="default"/>
    <w:sig w:usb0="00000000" w:usb1="0000000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algun Gothic Semilight">
    <w:altName w:val="宋体"/>
    <w:panose1 w:val="020B0502040204020203"/>
    <w:charset w:val="86"/>
    <w:family w:val="auto"/>
    <w:pitch w:val="default"/>
    <w:sig w:usb0="00000000" w:usb1="00000000" w:usb2="00000012" w:usb3="00000000" w:csb0="203E01BD" w:csb1="D7FF0000"/>
  </w:font>
  <w:font w:name="Tahoma">
    <w:panose1 w:val="020B0604030504040204"/>
    <w:charset w:val="86"/>
    <w:family w:val="auto"/>
    <w:pitch w:val="default"/>
    <w:sig w:usb0="E1002EFF" w:usb1="C000605B" w:usb2="00000029" w:usb3="00000000" w:csb0="200101FF" w:csb1="20280000"/>
  </w:font>
  <w:font w:name="方正仿宋简体">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宋体-PUA">
    <w:altName w:val="宋体"/>
    <w:panose1 w:val="02010600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宋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B4A03"/>
    <w:multiLevelType w:val="multilevel"/>
    <w:tmpl w:val="4E4B4A03"/>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76750B8"/>
    <w:multiLevelType w:val="singleLevel"/>
    <w:tmpl w:val="576750B8"/>
    <w:lvl w:ilvl="0" w:tentative="0">
      <w:start w:val="1"/>
      <w:numFmt w:val="decimal"/>
      <w:suff w:val="nothing"/>
      <w:lvlText w:val="%1．"/>
      <w:lvlJc w:val="left"/>
      <w:pPr>
        <w:ind w:left="0" w:firstLine="400"/>
      </w:pPr>
      <w:rPr>
        <w:rFonts w:hint="default"/>
      </w:rPr>
    </w:lvl>
  </w:abstractNum>
  <w:abstractNum w:abstractNumId="2">
    <w:nsid w:val="57CA21A9"/>
    <w:multiLevelType w:val="singleLevel"/>
    <w:tmpl w:val="57CA21A9"/>
    <w:lvl w:ilvl="0" w:tentative="0">
      <w:start w:val="1"/>
      <w:numFmt w:val="chineseCounting"/>
      <w:suff w:val="nothing"/>
      <w:lvlText w:val="（%1）"/>
      <w:lvlJc w:val="left"/>
      <w:pPr>
        <w:ind w:left="567" w:firstLine="0"/>
      </w:pPr>
    </w:lvl>
  </w:abstractNum>
  <w:abstractNum w:abstractNumId="3">
    <w:nsid w:val="58A27F5E"/>
    <w:multiLevelType w:val="singleLevel"/>
    <w:tmpl w:val="58A27F5E"/>
    <w:lvl w:ilvl="0" w:tentative="0">
      <w:start w:val="1"/>
      <w:numFmt w:val="chineseCounting"/>
      <w:suff w:val="nothing"/>
      <w:lvlText w:val="%1、"/>
      <w:lvlJc w:val="left"/>
      <w:pPr>
        <w:ind w:left="289" w:firstLine="420"/>
      </w:pPr>
      <w:rPr>
        <w:rFonts w:hint="eastAsia"/>
      </w:rPr>
    </w:lvl>
  </w:abstractNum>
  <w:num w:numId="1">
    <w:abstractNumId w:val="0"/>
  </w:num>
  <w:num w:numId="2">
    <w:abstractNumId w:val="2"/>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33AE4"/>
    <w:rsid w:val="05433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列出段落1"/>
    <w:basedOn w:val="1"/>
    <w:qFormat/>
    <w:uiPriority w:val="34"/>
    <w:pPr>
      <w:ind w:firstLine="420" w:firstLineChars="200"/>
    </w:pPr>
  </w:style>
  <w:style w:type="paragraph" w:customStyle="1"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2017-10-12T07:04:00Z</dcterms:created>
  <dc:creator>Administrator</dc:creator>
  <cp:lastModifiedBy>Administrator</cp:lastModifiedBy>
  <dcterms:modified xsi:type="dcterms:W3CDTF">2017-10-12T07:05:10Z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