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简体" w:eastAsia="方正小标宋简体"/>
          <w:b w:val="0"/>
          <w:sz w:val="36"/>
        </w:rPr>
      </w:pPr>
      <w:bookmarkStart w:id="1" w:name="_GoBack"/>
      <w:bookmarkStart w:id="0" w:name="_Toc24724723"/>
      <w:r>
        <w:rPr>
          <w:rFonts w:hint="eastAsia" w:ascii="方正小标宋简体" w:eastAsia="方正小标宋简体"/>
          <w:b w:val="0"/>
          <w:sz w:val="36"/>
        </w:rPr>
        <w:t>（</w:t>
      </w:r>
      <w:r>
        <w:rPr>
          <w:rFonts w:hint="eastAsia" w:ascii="方正小标宋简体" w:eastAsia="方正小标宋简体"/>
          <w:b w:val="0"/>
          <w:sz w:val="36"/>
          <w:lang w:val="en-US" w:eastAsia="zh-CN"/>
        </w:rPr>
        <w:t>十九</w:t>
      </w:r>
      <w:r>
        <w:rPr>
          <w:rFonts w:hint="eastAsia" w:ascii="方正小标宋简体" w:eastAsia="方正小标宋简体"/>
          <w:b w:val="0"/>
          <w:sz w:val="36"/>
        </w:rPr>
        <w:t>）公共文化服务领域基层政务公开标准目录</w:t>
      </w:r>
      <w:bookmarkEnd w:id="0"/>
    </w:p>
    <w:bookmarkEnd w:id="1"/>
    <w:tbl>
      <w:tblPr>
        <w:tblStyle w:val="10"/>
        <w:tblW w:w="152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2"/>
        <w:gridCol w:w="709"/>
        <w:gridCol w:w="1487"/>
        <w:gridCol w:w="1450"/>
        <w:gridCol w:w="2538"/>
        <w:gridCol w:w="2337"/>
        <w:gridCol w:w="1586"/>
        <w:gridCol w:w="628"/>
        <w:gridCol w:w="893"/>
        <w:gridCol w:w="429"/>
        <w:gridCol w:w="428"/>
        <w:gridCol w:w="450"/>
        <w:gridCol w:w="489"/>
        <w:gridCol w:w="454"/>
        <w:gridCol w:w="451"/>
        <w:gridCol w:w="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atLeast"/>
          <w:jc w:val="center"/>
        </w:trPr>
        <w:tc>
          <w:tcPr>
            <w:tcW w:w="502" w:type="dxa"/>
            <w:vMerge w:val="restart"/>
            <w:vAlign w:val="center"/>
          </w:tcPr>
          <w:p>
            <w:pPr>
              <w:widowControl/>
              <w:jc w:val="center"/>
              <w:rPr>
                <w:rFonts w:ascii="Times New Roman" w:hAnsi="Times New Roman"/>
                <w:color w:val="000000"/>
                <w:kern w:val="0"/>
                <w:sz w:val="22"/>
              </w:rPr>
            </w:pPr>
            <w:r>
              <w:rPr>
                <w:rFonts w:hint="eastAsia" w:ascii="黑体" w:hAnsi="宋体" w:eastAsia="黑体" w:cs="宋体"/>
                <w:color w:val="000000"/>
                <w:kern w:val="0"/>
                <w:sz w:val="22"/>
              </w:rPr>
              <w:t>序号</w:t>
            </w:r>
          </w:p>
        </w:tc>
        <w:tc>
          <w:tcPr>
            <w:tcW w:w="3646" w:type="dxa"/>
            <w:gridSpan w:val="3"/>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公开事项</w:t>
            </w:r>
          </w:p>
        </w:tc>
        <w:tc>
          <w:tcPr>
            <w:tcW w:w="2538"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337"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586"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628"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893"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857"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93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345" w:type="dxa"/>
            <w:gridSpan w:val="3"/>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1" w:hRule="atLeast"/>
          <w:jc w:val="center"/>
        </w:trPr>
        <w:tc>
          <w:tcPr>
            <w:tcW w:w="502" w:type="dxa"/>
            <w:vMerge w:val="continue"/>
            <w:vAlign w:val="center"/>
          </w:tcPr>
          <w:p>
            <w:pPr>
              <w:widowControl/>
              <w:jc w:val="center"/>
              <w:rPr>
                <w:rFonts w:ascii="Times New Roman" w:hAnsi="Times New Roman"/>
                <w:color w:val="000000"/>
                <w:kern w:val="0"/>
                <w:sz w:val="22"/>
              </w:rPr>
            </w:pP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487" w:type="dxa"/>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w:t>
            </w:r>
          </w:p>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事项</w:t>
            </w:r>
          </w:p>
        </w:tc>
        <w:tc>
          <w:tcPr>
            <w:tcW w:w="1450" w:type="dxa"/>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三级</w:t>
            </w:r>
          </w:p>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事项</w:t>
            </w:r>
          </w:p>
        </w:tc>
        <w:tc>
          <w:tcPr>
            <w:tcW w:w="2538" w:type="dxa"/>
            <w:vMerge w:val="continue"/>
            <w:vAlign w:val="center"/>
          </w:tcPr>
          <w:p>
            <w:pPr>
              <w:widowControl/>
              <w:jc w:val="left"/>
              <w:rPr>
                <w:rFonts w:ascii="黑体" w:hAnsi="宋体" w:eastAsia="黑体" w:cs="宋体"/>
                <w:color w:val="000000"/>
                <w:kern w:val="0"/>
                <w:sz w:val="22"/>
              </w:rPr>
            </w:pPr>
          </w:p>
        </w:tc>
        <w:tc>
          <w:tcPr>
            <w:tcW w:w="2337" w:type="dxa"/>
            <w:vMerge w:val="continue"/>
            <w:vAlign w:val="center"/>
          </w:tcPr>
          <w:p>
            <w:pPr>
              <w:widowControl/>
              <w:jc w:val="left"/>
              <w:rPr>
                <w:rFonts w:ascii="黑体" w:hAnsi="宋体" w:eastAsia="黑体" w:cs="宋体"/>
                <w:color w:val="000000"/>
                <w:kern w:val="0"/>
                <w:sz w:val="22"/>
              </w:rPr>
            </w:pPr>
          </w:p>
        </w:tc>
        <w:tc>
          <w:tcPr>
            <w:tcW w:w="1586" w:type="dxa"/>
            <w:vMerge w:val="continue"/>
            <w:vAlign w:val="center"/>
          </w:tcPr>
          <w:p>
            <w:pPr>
              <w:widowControl/>
              <w:jc w:val="left"/>
              <w:rPr>
                <w:rFonts w:ascii="黑体" w:hAnsi="宋体" w:eastAsia="黑体" w:cs="宋体"/>
                <w:color w:val="000000"/>
                <w:kern w:val="0"/>
                <w:sz w:val="22"/>
              </w:rPr>
            </w:pPr>
          </w:p>
        </w:tc>
        <w:tc>
          <w:tcPr>
            <w:tcW w:w="628" w:type="dxa"/>
            <w:vMerge w:val="continue"/>
            <w:vAlign w:val="center"/>
          </w:tcPr>
          <w:p>
            <w:pPr>
              <w:widowControl/>
              <w:jc w:val="left"/>
              <w:rPr>
                <w:rFonts w:ascii="黑体" w:hAnsi="宋体" w:eastAsia="黑体" w:cs="宋体"/>
                <w:color w:val="000000"/>
                <w:kern w:val="0"/>
                <w:sz w:val="22"/>
              </w:rPr>
            </w:pPr>
          </w:p>
        </w:tc>
        <w:tc>
          <w:tcPr>
            <w:tcW w:w="893" w:type="dxa"/>
            <w:vMerge w:val="continue"/>
            <w:vAlign w:val="center"/>
          </w:tcPr>
          <w:p>
            <w:pPr>
              <w:widowControl/>
              <w:jc w:val="left"/>
              <w:rPr>
                <w:rFonts w:ascii="黑体" w:hAnsi="宋体" w:eastAsia="黑体" w:cs="宋体"/>
                <w:kern w:val="0"/>
                <w:sz w:val="22"/>
              </w:rPr>
            </w:pPr>
          </w:p>
        </w:tc>
        <w:tc>
          <w:tcPr>
            <w:tcW w:w="42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428"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45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48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454" w:type="dxa"/>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市级</w:t>
            </w:r>
          </w:p>
        </w:tc>
        <w:tc>
          <w:tcPr>
            <w:tcW w:w="4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4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2" w:hRule="atLeast"/>
          <w:jc w:val="center"/>
        </w:trPr>
        <w:tc>
          <w:tcPr>
            <w:tcW w:w="502" w:type="dxa"/>
            <w:vMerge w:val="restart"/>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1</w:t>
            </w:r>
          </w:p>
        </w:tc>
        <w:tc>
          <w:tcPr>
            <w:tcW w:w="709" w:type="dxa"/>
            <w:vMerge w:val="restart"/>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许可</w:t>
            </w:r>
          </w:p>
        </w:tc>
        <w:tc>
          <w:tcPr>
            <w:tcW w:w="1487" w:type="dxa"/>
            <w:vMerge w:val="restart"/>
            <w:vAlign w:val="center"/>
          </w:tcPr>
          <w:p>
            <w:pPr>
              <w:spacing w:line="240" w:lineRule="exact"/>
              <w:rPr>
                <w:rFonts w:hint="eastAsia" w:ascii="仿宋_GB2312" w:hAnsi="Times New Roman" w:eastAsia="仿宋_GB2312"/>
                <w:sz w:val="18"/>
                <w:szCs w:val="18"/>
                <w:highlight w:val="yellow"/>
              </w:rPr>
            </w:pPr>
            <w:r>
              <w:rPr>
                <w:rFonts w:hint="eastAsia" w:ascii="仿宋_GB2312" w:hAnsi="Times New Roman" w:eastAsia="仿宋_GB2312"/>
                <w:sz w:val="18"/>
                <w:szCs w:val="18"/>
              </w:rPr>
              <w:t>互联网上网服务营业场所经营许可</w:t>
            </w:r>
          </w:p>
        </w:tc>
        <w:tc>
          <w:tcPr>
            <w:tcW w:w="145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1.互联网上网服务营业场所设立许可</w:t>
            </w:r>
          </w:p>
        </w:tc>
        <w:tc>
          <w:tcPr>
            <w:tcW w:w="2538" w:type="dxa"/>
            <w:vAlign w:val="center"/>
          </w:tcPr>
          <w:p>
            <w:pPr>
              <w:numPr>
                <w:ilvl w:val="0"/>
                <w:numId w:val="1"/>
              </w:num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办事指南：主要包括事项名称、设定依据、申请条件、办理材料、办理地点、办理时间、联系电话、办理流程、办理期限、申请行政许可需要提交的全部材料目录及办理情况。</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2.行政许可决定。</w:t>
            </w:r>
          </w:p>
        </w:tc>
        <w:tc>
          <w:tcPr>
            <w:tcW w:w="2337"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《行政许可法》、《政府信息公开条例》、《互联网上网服务营业场所管理条例》</w:t>
            </w:r>
          </w:p>
        </w:tc>
        <w:tc>
          <w:tcPr>
            <w:tcW w:w="158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628"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893"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■公开查阅点     </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■政务服务中心   </w:t>
            </w:r>
          </w:p>
        </w:tc>
        <w:tc>
          <w:tcPr>
            <w:tcW w:w="429"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28"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45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89"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454" w:type="dxa"/>
            <w:vAlign w:val="center"/>
          </w:tcPr>
          <w:p>
            <w:pPr>
              <w:spacing w:line="240" w:lineRule="exact"/>
              <w:rPr>
                <w:rFonts w:hint="eastAsia" w:ascii="仿宋_GB2312" w:hAnsi="Times New Roman" w:eastAsia="仿宋_GB2312"/>
                <w:sz w:val="18"/>
                <w:szCs w:val="18"/>
              </w:rPr>
            </w:pPr>
          </w:p>
        </w:tc>
        <w:tc>
          <w:tcPr>
            <w:tcW w:w="451"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3" w:hRule="atLeast"/>
          <w:jc w:val="center"/>
        </w:trPr>
        <w:tc>
          <w:tcPr>
            <w:tcW w:w="502" w:type="dxa"/>
            <w:vMerge w:val="continue"/>
            <w:vAlign w:val="center"/>
          </w:tcPr>
          <w:p>
            <w:pPr>
              <w:spacing w:line="240" w:lineRule="exact"/>
              <w:jc w:val="center"/>
              <w:rPr>
                <w:rFonts w:hint="eastAsia" w:ascii="仿宋_GB2312" w:hAnsi="Times New Roman" w:eastAsia="仿宋_GB2312"/>
                <w:sz w:val="18"/>
                <w:szCs w:val="18"/>
                <w:highlight w:val="yellow"/>
              </w:rPr>
            </w:pPr>
          </w:p>
        </w:tc>
        <w:tc>
          <w:tcPr>
            <w:tcW w:w="709" w:type="dxa"/>
            <w:vMerge w:val="continue"/>
            <w:vAlign w:val="center"/>
          </w:tcPr>
          <w:p>
            <w:pPr>
              <w:spacing w:line="240" w:lineRule="exact"/>
              <w:rPr>
                <w:rFonts w:hint="eastAsia" w:ascii="仿宋_GB2312" w:hAnsi="Times New Roman" w:eastAsia="仿宋_GB2312"/>
                <w:sz w:val="18"/>
                <w:szCs w:val="18"/>
                <w:highlight w:val="yellow"/>
              </w:rPr>
            </w:pPr>
          </w:p>
        </w:tc>
        <w:tc>
          <w:tcPr>
            <w:tcW w:w="1487" w:type="dxa"/>
            <w:vMerge w:val="continue"/>
            <w:vAlign w:val="center"/>
          </w:tcPr>
          <w:p>
            <w:pPr>
              <w:spacing w:line="240" w:lineRule="exact"/>
              <w:rPr>
                <w:rFonts w:hint="eastAsia" w:ascii="仿宋_GB2312" w:hAnsi="Times New Roman" w:eastAsia="仿宋_GB2312"/>
                <w:sz w:val="18"/>
                <w:szCs w:val="18"/>
                <w:highlight w:val="yellow"/>
              </w:rPr>
            </w:pPr>
          </w:p>
        </w:tc>
        <w:tc>
          <w:tcPr>
            <w:tcW w:w="145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2.互联网上网服务营业场所变更许可</w:t>
            </w:r>
          </w:p>
        </w:tc>
        <w:tc>
          <w:tcPr>
            <w:tcW w:w="2538"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2337"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《行政许可法》、《政府信息公开条例》、《互联网上网服务营业场所管理条例》</w:t>
            </w:r>
          </w:p>
        </w:tc>
        <w:tc>
          <w:tcPr>
            <w:tcW w:w="158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628"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893"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■公开查阅点     </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■政务服务中心   </w:t>
            </w:r>
          </w:p>
        </w:tc>
        <w:tc>
          <w:tcPr>
            <w:tcW w:w="429"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28"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45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89" w:type="dxa"/>
            <w:vAlign w:val="center"/>
          </w:tcPr>
          <w:p>
            <w:pPr>
              <w:spacing w:line="240" w:lineRule="exact"/>
              <w:rPr>
                <w:rFonts w:hint="eastAsia" w:ascii="仿宋_GB2312" w:hAnsi="Times New Roman" w:eastAsia="仿宋_GB2312"/>
                <w:sz w:val="18"/>
                <w:szCs w:val="18"/>
              </w:rPr>
            </w:pPr>
          </w:p>
        </w:tc>
        <w:tc>
          <w:tcPr>
            <w:tcW w:w="454" w:type="dxa"/>
            <w:vAlign w:val="center"/>
          </w:tcPr>
          <w:p>
            <w:pPr>
              <w:spacing w:line="240" w:lineRule="exact"/>
              <w:rPr>
                <w:rFonts w:hint="eastAsia" w:ascii="仿宋_GB2312" w:hAnsi="Times New Roman" w:eastAsia="仿宋_GB2312"/>
                <w:sz w:val="18"/>
                <w:szCs w:val="18"/>
              </w:rPr>
            </w:pPr>
          </w:p>
        </w:tc>
        <w:tc>
          <w:tcPr>
            <w:tcW w:w="451"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40" w:type="dxa"/>
            <w:vAlign w:val="center"/>
          </w:tcPr>
          <w:p>
            <w:pPr>
              <w:spacing w:line="240" w:lineRule="exact"/>
              <w:rPr>
                <w:rFonts w:hint="eastAsia"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2</w:t>
            </w:r>
          </w:p>
        </w:tc>
        <w:tc>
          <w:tcPr>
            <w:tcW w:w="709" w:type="dxa"/>
            <w:vMerge w:val="continue"/>
            <w:vAlign w:val="center"/>
          </w:tcPr>
          <w:p>
            <w:pPr>
              <w:spacing w:line="240" w:lineRule="exact"/>
              <w:rPr>
                <w:rFonts w:hint="eastAsia" w:ascii="仿宋_GB2312" w:hAnsi="Times New Roman" w:eastAsia="仿宋_GB2312"/>
                <w:sz w:val="18"/>
                <w:szCs w:val="18"/>
              </w:rPr>
            </w:pPr>
          </w:p>
        </w:tc>
        <w:tc>
          <w:tcPr>
            <w:tcW w:w="1487" w:type="dxa"/>
            <w:vMerge w:val="restart"/>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文艺表演团体设立审批</w:t>
            </w:r>
          </w:p>
        </w:tc>
        <w:tc>
          <w:tcPr>
            <w:tcW w:w="145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3.香港、澳门服务提供者在内地设立内地方控股的合资演出团体审批</w:t>
            </w:r>
          </w:p>
        </w:tc>
        <w:tc>
          <w:tcPr>
            <w:tcW w:w="2538"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2337"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《行政许可法》、《政府信息公开条例》、《营业性演出管理条例》、《文化部关于落实“先照后证”改进文化市场行政审批工作的通知》 </w:t>
            </w:r>
          </w:p>
        </w:tc>
        <w:tc>
          <w:tcPr>
            <w:tcW w:w="158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628"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893"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■公开查阅点     ■政务服务中心   </w:t>
            </w:r>
          </w:p>
        </w:tc>
        <w:tc>
          <w:tcPr>
            <w:tcW w:w="429"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28"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45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89"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45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51" w:type="dxa"/>
            <w:vAlign w:val="center"/>
          </w:tcPr>
          <w:p>
            <w:pPr>
              <w:spacing w:line="240" w:lineRule="exact"/>
              <w:rPr>
                <w:rFonts w:hint="eastAsia" w:ascii="仿宋_GB2312" w:hAnsi="Times New Roman" w:eastAsia="仿宋_GB2312"/>
                <w:sz w:val="18"/>
                <w:szCs w:val="18"/>
              </w:rPr>
            </w:pPr>
          </w:p>
        </w:tc>
        <w:tc>
          <w:tcPr>
            <w:tcW w:w="4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 w:type="dxa"/>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2</w:t>
            </w:r>
          </w:p>
        </w:tc>
        <w:tc>
          <w:tcPr>
            <w:tcW w:w="709"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许可</w:t>
            </w:r>
          </w:p>
        </w:tc>
        <w:tc>
          <w:tcPr>
            <w:tcW w:w="1487" w:type="dxa"/>
            <w:vMerge w:val="continue"/>
            <w:vAlign w:val="center"/>
          </w:tcPr>
          <w:p>
            <w:pPr>
              <w:spacing w:line="240" w:lineRule="exact"/>
              <w:rPr>
                <w:rFonts w:hint="eastAsia" w:ascii="仿宋_GB2312" w:hAnsi="Times New Roman" w:eastAsia="仿宋_GB2312"/>
                <w:sz w:val="18"/>
                <w:szCs w:val="18"/>
              </w:rPr>
            </w:pPr>
          </w:p>
        </w:tc>
        <w:tc>
          <w:tcPr>
            <w:tcW w:w="145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4.香港、澳门服务提供者在内地设立内地方控股的合资演出团体变更、延续、补证、注销审批</w:t>
            </w:r>
          </w:p>
        </w:tc>
        <w:tc>
          <w:tcPr>
            <w:tcW w:w="2538"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2337" w:type="dxa"/>
            <w:vAlign w:val="center"/>
          </w:tcPr>
          <w:p>
            <w:pPr>
              <w:spacing w:line="240" w:lineRule="exact"/>
              <w:rPr>
                <w:rFonts w:hint="eastAsia" w:ascii="仿宋_GB2312" w:hAnsi="Times New Roman" w:eastAsia="仿宋_GB2312"/>
                <w:sz w:val="18"/>
                <w:szCs w:val="18"/>
                <w:highlight w:val="lightGray"/>
              </w:rPr>
            </w:pPr>
            <w:r>
              <w:rPr>
                <w:rFonts w:hint="eastAsia" w:ascii="仿宋_GB2312" w:hAnsi="Times New Roman" w:eastAsia="仿宋_GB2312"/>
                <w:sz w:val="18"/>
                <w:szCs w:val="18"/>
              </w:rPr>
              <w:t>《行政许可法》、《政府信息公开条例》、《营业性演出管理条例》、《文化部关于落实“先照后证”改进文化市场行政审批工作的通知》</w:t>
            </w:r>
          </w:p>
        </w:tc>
        <w:tc>
          <w:tcPr>
            <w:tcW w:w="1586" w:type="dxa"/>
            <w:vAlign w:val="center"/>
          </w:tcPr>
          <w:p>
            <w:pPr>
              <w:spacing w:line="240" w:lineRule="exact"/>
              <w:rPr>
                <w:rFonts w:hint="eastAsia" w:ascii="仿宋_GB2312" w:hAnsi="Times New Roman" w:eastAsia="仿宋_GB2312"/>
                <w:sz w:val="18"/>
                <w:szCs w:val="18"/>
                <w:highlight w:val="lightGray"/>
              </w:rPr>
            </w:pPr>
            <w:r>
              <w:rPr>
                <w:rFonts w:hint="eastAsia" w:ascii="仿宋_GB2312" w:hAnsi="Times New Roman" w:eastAsia="仿宋_GB2312"/>
                <w:sz w:val="18"/>
                <w:szCs w:val="18"/>
              </w:rPr>
              <w:t>信息形成或变更之日起20个工作日内公开</w:t>
            </w:r>
          </w:p>
        </w:tc>
        <w:tc>
          <w:tcPr>
            <w:tcW w:w="628" w:type="dxa"/>
            <w:vAlign w:val="center"/>
          </w:tcPr>
          <w:p>
            <w:pPr>
              <w:spacing w:line="240" w:lineRule="exact"/>
              <w:rPr>
                <w:rFonts w:hint="eastAsia" w:ascii="仿宋_GB2312" w:hAnsi="Times New Roman" w:eastAsia="仿宋_GB2312"/>
                <w:sz w:val="18"/>
                <w:szCs w:val="18"/>
                <w:highlight w:val="lightGray"/>
              </w:rPr>
            </w:pPr>
            <w:r>
              <w:rPr>
                <w:rFonts w:hint="eastAsia" w:ascii="仿宋_GB2312" w:hAnsi="Times New Roman" w:eastAsia="仿宋_GB2312"/>
                <w:sz w:val="18"/>
                <w:szCs w:val="18"/>
              </w:rPr>
              <w:t>文化和旅游行政部门</w:t>
            </w:r>
          </w:p>
        </w:tc>
        <w:tc>
          <w:tcPr>
            <w:tcW w:w="893" w:type="dxa"/>
            <w:vAlign w:val="center"/>
          </w:tcPr>
          <w:p>
            <w:pPr>
              <w:spacing w:line="240" w:lineRule="exact"/>
              <w:rPr>
                <w:rFonts w:hint="eastAsia" w:ascii="仿宋_GB2312" w:hAnsi="Times New Roman" w:eastAsia="仿宋_GB2312"/>
                <w:sz w:val="18"/>
                <w:szCs w:val="18"/>
                <w:highlight w:val="lightGray"/>
              </w:rPr>
            </w:pPr>
            <w:r>
              <w:rPr>
                <w:rFonts w:hint="eastAsia" w:ascii="仿宋_GB2312" w:hAnsi="Times New Roman" w:eastAsia="仿宋_GB2312"/>
                <w:sz w:val="18"/>
                <w:szCs w:val="18"/>
              </w:rPr>
              <w:t xml:space="preserve">■政府网站       ■公开查阅点     ■政务服务中心   </w:t>
            </w:r>
          </w:p>
        </w:tc>
        <w:tc>
          <w:tcPr>
            <w:tcW w:w="429"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28"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45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89"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45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51" w:type="dxa"/>
            <w:vAlign w:val="center"/>
          </w:tcPr>
          <w:p>
            <w:pPr>
              <w:spacing w:line="240" w:lineRule="exact"/>
              <w:rPr>
                <w:rFonts w:hint="eastAsia" w:ascii="仿宋_GB2312" w:hAnsi="Times New Roman" w:eastAsia="仿宋_GB2312"/>
                <w:sz w:val="18"/>
                <w:szCs w:val="18"/>
              </w:rPr>
            </w:pPr>
          </w:p>
        </w:tc>
        <w:tc>
          <w:tcPr>
            <w:tcW w:w="4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 w:type="dxa"/>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2</w:t>
            </w:r>
          </w:p>
        </w:tc>
        <w:tc>
          <w:tcPr>
            <w:tcW w:w="709" w:type="dxa"/>
            <w:vMerge w:val="restart"/>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许可</w:t>
            </w:r>
          </w:p>
        </w:tc>
        <w:tc>
          <w:tcPr>
            <w:tcW w:w="1487" w:type="dxa"/>
            <w:vMerge w:val="continue"/>
            <w:vAlign w:val="center"/>
          </w:tcPr>
          <w:p>
            <w:pPr>
              <w:spacing w:line="240" w:lineRule="exact"/>
              <w:rPr>
                <w:rFonts w:hint="eastAsia" w:ascii="仿宋_GB2312" w:hAnsi="Times New Roman" w:eastAsia="仿宋_GB2312"/>
                <w:sz w:val="18"/>
                <w:szCs w:val="18"/>
              </w:rPr>
            </w:pPr>
          </w:p>
        </w:tc>
        <w:tc>
          <w:tcPr>
            <w:tcW w:w="145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5.国内文艺表演团体设立审批</w:t>
            </w:r>
          </w:p>
        </w:tc>
        <w:tc>
          <w:tcPr>
            <w:tcW w:w="2538" w:type="dxa"/>
            <w:vAlign w:val="center"/>
          </w:tcPr>
          <w:p>
            <w:pPr>
              <w:spacing w:line="240" w:lineRule="exact"/>
              <w:rPr>
                <w:rFonts w:hint="eastAsia" w:ascii="仿宋_GB2312" w:hAnsi="Times New Roman" w:eastAsia="仿宋_GB2312"/>
                <w:b/>
                <w:bCs/>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2337" w:type="dxa"/>
            <w:vAlign w:val="center"/>
          </w:tcPr>
          <w:p>
            <w:pPr>
              <w:spacing w:line="240" w:lineRule="exact"/>
              <w:rPr>
                <w:rFonts w:hint="eastAsia" w:ascii="仿宋_GB2312" w:hAnsi="Times New Roman" w:eastAsia="仿宋_GB2312"/>
                <w:sz w:val="15"/>
                <w:szCs w:val="15"/>
              </w:rPr>
            </w:pPr>
            <w:r>
              <w:rPr>
                <w:rFonts w:hint="eastAsia" w:ascii="仿宋_GB2312" w:hAnsi="Times New Roman" w:eastAsia="仿宋_GB2312"/>
                <w:sz w:val="18"/>
                <w:szCs w:val="18"/>
              </w:rPr>
              <w:t xml:space="preserve">《行政许可法》、《政府信息公开条例》、《营业性演出管理条例》、《文化部关于落实“先照后证”改进文化市场行政审批工作的通知》 </w:t>
            </w:r>
          </w:p>
        </w:tc>
        <w:tc>
          <w:tcPr>
            <w:tcW w:w="158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628"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893"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■公开查阅点     ■政务服务中心   </w:t>
            </w:r>
          </w:p>
        </w:tc>
        <w:tc>
          <w:tcPr>
            <w:tcW w:w="429"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28"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45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89" w:type="dxa"/>
            <w:vAlign w:val="center"/>
          </w:tcPr>
          <w:p>
            <w:pPr>
              <w:spacing w:line="240" w:lineRule="exact"/>
              <w:rPr>
                <w:rFonts w:hint="eastAsia" w:ascii="仿宋_GB2312" w:hAnsi="Times New Roman" w:eastAsia="仿宋_GB2312"/>
                <w:sz w:val="18"/>
                <w:szCs w:val="18"/>
              </w:rPr>
            </w:pPr>
          </w:p>
        </w:tc>
        <w:tc>
          <w:tcPr>
            <w:tcW w:w="454" w:type="dxa"/>
            <w:vAlign w:val="center"/>
          </w:tcPr>
          <w:p>
            <w:pPr>
              <w:spacing w:line="240" w:lineRule="exact"/>
              <w:rPr>
                <w:rFonts w:hint="eastAsia" w:ascii="仿宋_GB2312" w:hAnsi="Times New Roman" w:eastAsia="仿宋_GB2312"/>
                <w:sz w:val="18"/>
                <w:szCs w:val="18"/>
              </w:rPr>
            </w:pPr>
          </w:p>
        </w:tc>
        <w:tc>
          <w:tcPr>
            <w:tcW w:w="451" w:type="dxa"/>
            <w:vAlign w:val="center"/>
          </w:tcPr>
          <w:p>
            <w:pPr>
              <w:jc w:val="center"/>
            </w:pPr>
            <w:r>
              <w:rPr>
                <w:rFonts w:hint="eastAsia" w:ascii="仿宋_GB2312" w:hAnsi="Times New Roman" w:eastAsia="仿宋_GB2312"/>
                <w:sz w:val="18"/>
                <w:szCs w:val="18"/>
              </w:rPr>
              <w:t>√</w:t>
            </w:r>
          </w:p>
        </w:tc>
        <w:tc>
          <w:tcPr>
            <w:tcW w:w="440" w:type="dxa"/>
            <w:vAlign w:val="center"/>
          </w:tcPr>
          <w:p>
            <w:pPr>
              <w:spacing w:line="240" w:lineRule="exact"/>
              <w:rPr>
                <w:rFonts w:hint="eastAsia"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 w:type="dxa"/>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2</w:t>
            </w:r>
          </w:p>
        </w:tc>
        <w:tc>
          <w:tcPr>
            <w:tcW w:w="709" w:type="dxa"/>
            <w:vMerge w:val="continue"/>
            <w:vAlign w:val="center"/>
          </w:tcPr>
          <w:p>
            <w:pPr>
              <w:spacing w:line="240" w:lineRule="exact"/>
              <w:rPr>
                <w:rFonts w:hint="eastAsia" w:ascii="仿宋_GB2312" w:hAnsi="Times New Roman" w:eastAsia="仿宋_GB2312"/>
                <w:sz w:val="18"/>
                <w:szCs w:val="18"/>
              </w:rPr>
            </w:pPr>
          </w:p>
        </w:tc>
        <w:tc>
          <w:tcPr>
            <w:tcW w:w="1487" w:type="dxa"/>
            <w:vMerge w:val="continue"/>
            <w:vAlign w:val="center"/>
          </w:tcPr>
          <w:p>
            <w:pPr>
              <w:spacing w:line="240" w:lineRule="exact"/>
              <w:rPr>
                <w:rFonts w:hint="eastAsia" w:ascii="仿宋_GB2312" w:hAnsi="Times New Roman" w:eastAsia="仿宋_GB2312"/>
                <w:sz w:val="18"/>
                <w:szCs w:val="18"/>
              </w:rPr>
            </w:pPr>
          </w:p>
        </w:tc>
        <w:tc>
          <w:tcPr>
            <w:tcW w:w="145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6.国内文艺表演团体变更</w:t>
            </w:r>
          </w:p>
        </w:tc>
        <w:tc>
          <w:tcPr>
            <w:tcW w:w="2538"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2337"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《行政许可法》、《政府信息公开条例》、《营业性演出管理条例》、《文化部关于落实“先照后证”改进文化市场行政审批工作的通知》 </w:t>
            </w:r>
          </w:p>
        </w:tc>
        <w:tc>
          <w:tcPr>
            <w:tcW w:w="158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628"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893"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■公开查阅点     ■政务服务中心   </w:t>
            </w:r>
          </w:p>
        </w:tc>
        <w:tc>
          <w:tcPr>
            <w:tcW w:w="429"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28"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45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89" w:type="dxa"/>
            <w:vAlign w:val="center"/>
          </w:tcPr>
          <w:p>
            <w:pPr>
              <w:spacing w:line="240" w:lineRule="exact"/>
              <w:rPr>
                <w:rFonts w:hint="eastAsia" w:ascii="仿宋_GB2312" w:hAnsi="Times New Roman" w:eastAsia="仿宋_GB2312"/>
                <w:sz w:val="18"/>
                <w:szCs w:val="18"/>
              </w:rPr>
            </w:pPr>
          </w:p>
        </w:tc>
        <w:tc>
          <w:tcPr>
            <w:tcW w:w="454" w:type="dxa"/>
            <w:vAlign w:val="center"/>
          </w:tcPr>
          <w:p>
            <w:pPr>
              <w:spacing w:line="240" w:lineRule="exact"/>
              <w:rPr>
                <w:rFonts w:hint="eastAsia" w:ascii="仿宋_GB2312" w:hAnsi="Times New Roman" w:eastAsia="仿宋_GB2312"/>
                <w:sz w:val="18"/>
                <w:szCs w:val="18"/>
              </w:rPr>
            </w:pPr>
          </w:p>
        </w:tc>
        <w:tc>
          <w:tcPr>
            <w:tcW w:w="451" w:type="dxa"/>
            <w:vAlign w:val="center"/>
          </w:tcPr>
          <w:p>
            <w:pPr>
              <w:jc w:val="center"/>
            </w:pPr>
            <w:r>
              <w:rPr>
                <w:rFonts w:hint="eastAsia" w:ascii="仿宋_GB2312" w:hAnsi="Times New Roman" w:eastAsia="仿宋_GB2312"/>
                <w:sz w:val="18"/>
                <w:szCs w:val="18"/>
              </w:rPr>
              <w:t>√</w:t>
            </w:r>
          </w:p>
        </w:tc>
        <w:tc>
          <w:tcPr>
            <w:tcW w:w="440" w:type="dxa"/>
            <w:vAlign w:val="center"/>
          </w:tcPr>
          <w:p>
            <w:pPr>
              <w:spacing w:line="240" w:lineRule="exact"/>
              <w:rPr>
                <w:rFonts w:hint="eastAsia"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 w:type="dxa"/>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2</w:t>
            </w:r>
          </w:p>
        </w:tc>
        <w:tc>
          <w:tcPr>
            <w:tcW w:w="709" w:type="dxa"/>
            <w:vMerge w:val="continue"/>
            <w:vAlign w:val="center"/>
          </w:tcPr>
          <w:p>
            <w:pPr>
              <w:spacing w:line="240" w:lineRule="exact"/>
              <w:rPr>
                <w:rFonts w:hint="eastAsia" w:ascii="仿宋_GB2312" w:hAnsi="Times New Roman" w:eastAsia="仿宋_GB2312"/>
                <w:sz w:val="18"/>
                <w:szCs w:val="18"/>
              </w:rPr>
            </w:pPr>
          </w:p>
        </w:tc>
        <w:tc>
          <w:tcPr>
            <w:tcW w:w="1487" w:type="dxa"/>
            <w:vMerge w:val="continue"/>
            <w:vAlign w:val="center"/>
          </w:tcPr>
          <w:p>
            <w:pPr>
              <w:spacing w:line="240" w:lineRule="exact"/>
              <w:rPr>
                <w:rFonts w:hint="eastAsia" w:ascii="仿宋_GB2312" w:hAnsi="Times New Roman" w:eastAsia="仿宋_GB2312"/>
                <w:sz w:val="18"/>
                <w:szCs w:val="18"/>
              </w:rPr>
            </w:pPr>
          </w:p>
        </w:tc>
        <w:tc>
          <w:tcPr>
            <w:tcW w:w="145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7.国内文艺表演团体注销</w:t>
            </w:r>
          </w:p>
        </w:tc>
        <w:tc>
          <w:tcPr>
            <w:tcW w:w="2538"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2337"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《行政许可法》、《政府信息公开条例》、《营业性演出管理条例》、《文化部关于落实“先照后证”改进文化市场行政审批工作的通知》 </w:t>
            </w:r>
          </w:p>
        </w:tc>
        <w:tc>
          <w:tcPr>
            <w:tcW w:w="158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628"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893"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■公开查阅点     ■政务服务中心   </w:t>
            </w:r>
          </w:p>
        </w:tc>
        <w:tc>
          <w:tcPr>
            <w:tcW w:w="429"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28"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45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89" w:type="dxa"/>
            <w:vAlign w:val="center"/>
          </w:tcPr>
          <w:p>
            <w:pPr>
              <w:spacing w:line="240" w:lineRule="exact"/>
              <w:rPr>
                <w:rFonts w:hint="eastAsia" w:ascii="仿宋_GB2312" w:hAnsi="Times New Roman" w:eastAsia="仿宋_GB2312"/>
                <w:sz w:val="18"/>
                <w:szCs w:val="18"/>
              </w:rPr>
            </w:pPr>
          </w:p>
        </w:tc>
        <w:tc>
          <w:tcPr>
            <w:tcW w:w="454" w:type="dxa"/>
            <w:vAlign w:val="center"/>
          </w:tcPr>
          <w:p>
            <w:pPr>
              <w:spacing w:line="240" w:lineRule="exact"/>
              <w:rPr>
                <w:rFonts w:hint="eastAsia" w:ascii="仿宋_GB2312" w:hAnsi="Times New Roman" w:eastAsia="仿宋_GB2312"/>
                <w:sz w:val="18"/>
                <w:szCs w:val="18"/>
              </w:rPr>
            </w:pPr>
          </w:p>
        </w:tc>
        <w:tc>
          <w:tcPr>
            <w:tcW w:w="451" w:type="dxa"/>
            <w:vAlign w:val="center"/>
          </w:tcPr>
          <w:p>
            <w:pPr>
              <w:jc w:val="center"/>
            </w:pPr>
            <w:r>
              <w:rPr>
                <w:rFonts w:hint="eastAsia" w:ascii="仿宋_GB2312" w:hAnsi="Times New Roman" w:eastAsia="仿宋_GB2312"/>
                <w:sz w:val="18"/>
                <w:szCs w:val="18"/>
              </w:rPr>
              <w:t>√</w:t>
            </w:r>
          </w:p>
        </w:tc>
        <w:tc>
          <w:tcPr>
            <w:tcW w:w="440" w:type="dxa"/>
            <w:vAlign w:val="center"/>
          </w:tcPr>
          <w:p>
            <w:pPr>
              <w:spacing w:line="240" w:lineRule="exact"/>
              <w:rPr>
                <w:rFonts w:hint="eastAsia"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 w:type="dxa"/>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2</w:t>
            </w:r>
          </w:p>
        </w:tc>
        <w:tc>
          <w:tcPr>
            <w:tcW w:w="709" w:type="dxa"/>
            <w:vMerge w:val="continue"/>
            <w:vAlign w:val="center"/>
          </w:tcPr>
          <w:p>
            <w:pPr>
              <w:spacing w:line="240" w:lineRule="exact"/>
              <w:rPr>
                <w:rFonts w:hint="eastAsia" w:ascii="仿宋_GB2312" w:hAnsi="Times New Roman" w:eastAsia="仿宋_GB2312"/>
                <w:sz w:val="18"/>
                <w:szCs w:val="18"/>
              </w:rPr>
            </w:pPr>
          </w:p>
        </w:tc>
        <w:tc>
          <w:tcPr>
            <w:tcW w:w="1487" w:type="dxa"/>
            <w:vMerge w:val="continue"/>
            <w:vAlign w:val="center"/>
          </w:tcPr>
          <w:p>
            <w:pPr>
              <w:spacing w:line="240" w:lineRule="exact"/>
              <w:rPr>
                <w:rFonts w:hint="eastAsia" w:ascii="仿宋_GB2312" w:hAnsi="Times New Roman" w:eastAsia="仿宋_GB2312"/>
                <w:sz w:val="18"/>
                <w:szCs w:val="18"/>
              </w:rPr>
            </w:pPr>
          </w:p>
        </w:tc>
        <w:tc>
          <w:tcPr>
            <w:tcW w:w="145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8.国内文艺表演团体延续</w:t>
            </w:r>
          </w:p>
        </w:tc>
        <w:tc>
          <w:tcPr>
            <w:tcW w:w="2538"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2337"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《行政许可法》、《政府信息公开条例》、《营业性演出管理条例》、《文化部关于落实“先照后证”改进文化市场行政审批工作的通知》 </w:t>
            </w:r>
          </w:p>
        </w:tc>
        <w:tc>
          <w:tcPr>
            <w:tcW w:w="158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628"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893"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■公开查阅点     ■政务服务中心   </w:t>
            </w:r>
          </w:p>
        </w:tc>
        <w:tc>
          <w:tcPr>
            <w:tcW w:w="429"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28"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45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89" w:type="dxa"/>
            <w:vAlign w:val="center"/>
          </w:tcPr>
          <w:p>
            <w:pPr>
              <w:spacing w:line="240" w:lineRule="exact"/>
              <w:rPr>
                <w:rFonts w:hint="eastAsia" w:ascii="仿宋_GB2312" w:hAnsi="Times New Roman" w:eastAsia="仿宋_GB2312"/>
                <w:sz w:val="18"/>
                <w:szCs w:val="18"/>
              </w:rPr>
            </w:pPr>
          </w:p>
        </w:tc>
        <w:tc>
          <w:tcPr>
            <w:tcW w:w="454" w:type="dxa"/>
            <w:vAlign w:val="center"/>
          </w:tcPr>
          <w:p>
            <w:pPr>
              <w:spacing w:line="240" w:lineRule="exact"/>
              <w:rPr>
                <w:rFonts w:hint="eastAsia" w:ascii="仿宋_GB2312" w:hAnsi="Times New Roman" w:eastAsia="仿宋_GB2312"/>
                <w:sz w:val="18"/>
                <w:szCs w:val="18"/>
              </w:rPr>
            </w:pPr>
          </w:p>
        </w:tc>
        <w:tc>
          <w:tcPr>
            <w:tcW w:w="451" w:type="dxa"/>
            <w:vAlign w:val="center"/>
          </w:tcPr>
          <w:p>
            <w:pPr>
              <w:jc w:val="center"/>
            </w:pPr>
            <w:r>
              <w:rPr>
                <w:rFonts w:hint="eastAsia" w:ascii="仿宋_GB2312" w:hAnsi="Times New Roman" w:eastAsia="仿宋_GB2312"/>
                <w:sz w:val="18"/>
                <w:szCs w:val="18"/>
              </w:rPr>
              <w:t>√</w:t>
            </w:r>
          </w:p>
        </w:tc>
        <w:tc>
          <w:tcPr>
            <w:tcW w:w="440" w:type="dxa"/>
            <w:vAlign w:val="center"/>
          </w:tcPr>
          <w:p>
            <w:pPr>
              <w:spacing w:line="240" w:lineRule="exact"/>
              <w:rPr>
                <w:rFonts w:hint="eastAsia"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 w:type="dxa"/>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2</w:t>
            </w:r>
          </w:p>
        </w:tc>
        <w:tc>
          <w:tcPr>
            <w:tcW w:w="709" w:type="dxa"/>
            <w:vMerge w:val="continue"/>
            <w:vAlign w:val="center"/>
          </w:tcPr>
          <w:p>
            <w:pPr>
              <w:spacing w:line="240" w:lineRule="exact"/>
              <w:rPr>
                <w:rFonts w:hint="eastAsia" w:ascii="仿宋_GB2312" w:hAnsi="Times New Roman" w:eastAsia="仿宋_GB2312"/>
                <w:sz w:val="18"/>
                <w:szCs w:val="18"/>
              </w:rPr>
            </w:pPr>
          </w:p>
        </w:tc>
        <w:tc>
          <w:tcPr>
            <w:tcW w:w="1487" w:type="dxa"/>
            <w:vMerge w:val="continue"/>
            <w:vAlign w:val="center"/>
          </w:tcPr>
          <w:p>
            <w:pPr>
              <w:spacing w:line="240" w:lineRule="exact"/>
              <w:rPr>
                <w:rFonts w:hint="eastAsia" w:ascii="仿宋_GB2312" w:hAnsi="Times New Roman" w:eastAsia="仿宋_GB2312"/>
                <w:sz w:val="18"/>
                <w:szCs w:val="18"/>
              </w:rPr>
            </w:pPr>
          </w:p>
        </w:tc>
        <w:tc>
          <w:tcPr>
            <w:tcW w:w="145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9.国内文艺表演团体补证</w:t>
            </w:r>
          </w:p>
        </w:tc>
        <w:tc>
          <w:tcPr>
            <w:tcW w:w="2538"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2337"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《行政许可法》、《政府信息公开条例》、《营业性演出管理条例》、《文化部关于落实“先照后证”改进文化市场行政审批工作的通知》</w:t>
            </w:r>
          </w:p>
        </w:tc>
        <w:tc>
          <w:tcPr>
            <w:tcW w:w="158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628"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893"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■公开查阅点     ■政务服务中心   </w:t>
            </w:r>
          </w:p>
        </w:tc>
        <w:tc>
          <w:tcPr>
            <w:tcW w:w="429"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28"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45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89" w:type="dxa"/>
            <w:vAlign w:val="center"/>
          </w:tcPr>
          <w:p>
            <w:pPr>
              <w:spacing w:line="240" w:lineRule="exact"/>
              <w:rPr>
                <w:rFonts w:hint="eastAsia" w:ascii="仿宋_GB2312" w:hAnsi="Times New Roman" w:eastAsia="仿宋_GB2312"/>
                <w:sz w:val="18"/>
                <w:szCs w:val="18"/>
              </w:rPr>
            </w:pPr>
          </w:p>
        </w:tc>
        <w:tc>
          <w:tcPr>
            <w:tcW w:w="454" w:type="dxa"/>
            <w:vAlign w:val="center"/>
          </w:tcPr>
          <w:p>
            <w:pPr>
              <w:spacing w:line="240" w:lineRule="exact"/>
              <w:rPr>
                <w:rFonts w:hint="eastAsia" w:ascii="仿宋_GB2312" w:hAnsi="Times New Roman" w:eastAsia="仿宋_GB2312"/>
                <w:sz w:val="18"/>
                <w:szCs w:val="18"/>
              </w:rPr>
            </w:pPr>
          </w:p>
        </w:tc>
        <w:tc>
          <w:tcPr>
            <w:tcW w:w="451" w:type="dxa"/>
            <w:vAlign w:val="center"/>
          </w:tcPr>
          <w:p>
            <w:pPr>
              <w:jc w:val="center"/>
            </w:pPr>
            <w:r>
              <w:rPr>
                <w:rFonts w:hint="eastAsia" w:ascii="仿宋_GB2312" w:hAnsi="Times New Roman" w:eastAsia="仿宋_GB2312"/>
                <w:sz w:val="18"/>
                <w:szCs w:val="18"/>
              </w:rPr>
              <w:t>√</w:t>
            </w:r>
          </w:p>
        </w:tc>
        <w:tc>
          <w:tcPr>
            <w:tcW w:w="440" w:type="dxa"/>
            <w:vAlign w:val="center"/>
          </w:tcPr>
          <w:p>
            <w:pPr>
              <w:spacing w:line="240" w:lineRule="exact"/>
              <w:rPr>
                <w:rFonts w:hint="eastAsia"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3</w:t>
            </w:r>
          </w:p>
        </w:tc>
        <w:tc>
          <w:tcPr>
            <w:tcW w:w="709"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许可</w:t>
            </w:r>
          </w:p>
        </w:tc>
        <w:tc>
          <w:tcPr>
            <w:tcW w:w="1487" w:type="dxa"/>
            <w:vMerge w:val="restart"/>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营业性演出审批</w:t>
            </w:r>
          </w:p>
        </w:tc>
        <w:tc>
          <w:tcPr>
            <w:tcW w:w="145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10.举办涉港澳和在歌舞娱乐场所进行的涉外营业性演出审批</w:t>
            </w:r>
          </w:p>
        </w:tc>
        <w:tc>
          <w:tcPr>
            <w:tcW w:w="2538"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2337"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《行政许可法》、《政府信息公开条例》、《营业性演出管理条例》、《文化部关于落实“先照后证”改进文化市场行政审批工作的通知》 </w:t>
            </w:r>
          </w:p>
        </w:tc>
        <w:tc>
          <w:tcPr>
            <w:tcW w:w="158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628"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893"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■公开查阅点     ■政务服务中心   </w:t>
            </w:r>
          </w:p>
        </w:tc>
        <w:tc>
          <w:tcPr>
            <w:tcW w:w="429"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28"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45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89"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45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51" w:type="dxa"/>
            <w:vAlign w:val="center"/>
          </w:tcPr>
          <w:p>
            <w:pPr>
              <w:spacing w:line="240" w:lineRule="exact"/>
              <w:rPr>
                <w:rFonts w:hint="eastAsia" w:ascii="仿宋_GB2312" w:hAnsi="Times New Roman" w:eastAsia="仿宋_GB2312"/>
                <w:sz w:val="18"/>
                <w:szCs w:val="18"/>
              </w:rPr>
            </w:pPr>
          </w:p>
        </w:tc>
        <w:tc>
          <w:tcPr>
            <w:tcW w:w="4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3</w:t>
            </w:r>
          </w:p>
        </w:tc>
        <w:tc>
          <w:tcPr>
            <w:tcW w:w="709"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许可</w:t>
            </w:r>
          </w:p>
        </w:tc>
        <w:tc>
          <w:tcPr>
            <w:tcW w:w="1487" w:type="dxa"/>
            <w:vMerge w:val="continue"/>
            <w:vAlign w:val="center"/>
          </w:tcPr>
          <w:p>
            <w:pPr>
              <w:spacing w:line="240" w:lineRule="exact"/>
              <w:rPr>
                <w:rFonts w:hint="eastAsia" w:ascii="仿宋_GB2312" w:hAnsi="Times New Roman" w:eastAsia="仿宋_GB2312"/>
                <w:sz w:val="18"/>
                <w:szCs w:val="18"/>
                <w:highlight w:val="yellow"/>
              </w:rPr>
            </w:pPr>
          </w:p>
        </w:tc>
        <w:tc>
          <w:tcPr>
            <w:tcW w:w="145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11.涉港澳和在歌舞娱乐场所进行的涉外营业性演出变更审批</w:t>
            </w:r>
          </w:p>
        </w:tc>
        <w:tc>
          <w:tcPr>
            <w:tcW w:w="2538" w:type="dxa"/>
            <w:vAlign w:val="center"/>
          </w:tcPr>
          <w:p>
            <w:pPr>
              <w:spacing w:line="240" w:lineRule="exact"/>
              <w:rPr>
                <w:rFonts w:hint="eastAsia" w:ascii="仿宋_GB2312" w:hAnsi="Times New Roman" w:eastAsia="仿宋_GB2312"/>
                <w:sz w:val="15"/>
                <w:szCs w:val="15"/>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2337"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《行政许可法》、《政府信息公开条例》、《营业性演出管理条例》、《文化部关于落实“先照后证”改进文化市场行政审批工作的通知》 </w:t>
            </w:r>
          </w:p>
        </w:tc>
        <w:tc>
          <w:tcPr>
            <w:tcW w:w="158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628"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893"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■公开查阅点     ■政务服务中心   </w:t>
            </w:r>
          </w:p>
        </w:tc>
        <w:tc>
          <w:tcPr>
            <w:tcW w:w="429"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28"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45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89"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45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51" w:type="dxa"/>
            <w:vAlign w:val="center"/>
          </w:tcPr>
          <w:p>
            <w:pPr>
              <w:spacing w:line="240" w:lineRule="exact"/>
              <w:rPr>
                <w:rFonts w:hint="eastAsia" w:ascii="仿宋_GB2312" w:hAnsi="Times New Roman" w:eastAsia="仿宋_GB2312"/>
                <w:sz w:val="18"/>
                <w:szCs w:val="18"/>
              </w:rPr>
            </w:pPr>
          </w:p>
        </w:tc>
        <w:tc>
          <w:tcPr>
            <w:tcW w:w="440" w:type="dxa"/>
            <w:vAlign w:val="center"/>
          </w:tcPr>
          <w:p>
            <w:pPr>
              <w:spacing w:line="240" w:lineRule="exact"/>
              <w:rPr>
                <w:rFonts w:hint="eastAsia"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3</w:t>
            </w:r>
          </w:p>
        </w:tc>
        <w:tc>
          <w:tcPr>
            <w:tcW w:w="709"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许可</w:t>
            </w:r>
          </w:p>
        </w:tc>
        <w:tc>
          <w:tcPr>
            <w:tcW w:w="1487" w:type="dxa"/>
            <w:vMerge w:val="continue"/>
            <w:vAlign w:val="center"/>
          </w:tcPr>
          <w:p>
            <w:pPr>
              <w:spacing w:line="240" w:lineRule="exact"/>
              <w:rPr>
                <w:rFonts w:hint="eastAsia" w:ascii="仿宋_GB2312" w:hAnsi="Times New Roman" w:eastAsia="仿宋_GB2312"/>
                <w:sz w:val="18"/>
                <w:szCs w:val="18"/>
                <w:highlight w:val="yellow"/>
              </w:rPr>
            </w:pPr>
          </w:p>
        </w:tc>
        <w:tc>
          <w:tcPr>
            <w:tcW w:w="145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12.举办国内营业性演出审批</w:t>
            </w:r>
          </w:p>
        </w:tc>
        <w:tc>
          <w:tcPr>
            <w:tcW w:w="2538"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2337"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《行政许可法》、《政府信息公开条例》、《互联网上网服务营业场所管理条例》</w:t>
            </w:r>
          </w:p>
        </w:tc>
        <w:tc>
          <w:tcPr>
            <w:tcW w:w="158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628"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893"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■公开查阅点     </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■政务服务中心   </w:t>
            </w:r>
          </w:p>
        </w:tc>
        <w:tc>
          <w:tcPr>
            <w:tcW w:w="429"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28"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45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89"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454" w:type="dxa"/>
            <w:vAlign w:val="center"/>
          </w:tcPr>
          <w:p>
            <w:pPr>
              <w:spacing w:line="240" w:lineRule="exact"/>
              <w:rPr>
                <w:rFonts w:hint="eastAsia" w:ascii="仿宋_GB2312" w:hAnsi="Times New Roman" w:eastAsia="仿宋_GB2312"/>
                <w:sz w:val="18"/>
                <w:szCs w:val="18"/>
              </w:rPr>
            </w:pPr>
          </w:p>
        </w:tc>
        <w:tc>
          <w:tcPr>
            <w:tcW w:w="451"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3</w:t>
            </w:r>
          </w:p>
        </w:tc>
        <w:tc>
          <w:tcPr>
            <w:tcW w:w="709"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许可</w:t>
            </w:r>
          </w:p>
        </w:tc>
        <w:tc>
          <w:tcPr>
            <w:tcW w:w="1487" w:type="dxa"/>
            <w:vMerge w:val="continue"/>
            <w:vAlign w:val="center"/>
          </w:tcPr>
          <w:p>
            <w:pPr>
              <w:spacing w:line="240" w:lineRule="exact"/>
              <w:rPr>
                <w:rFonts w:hint="eastAsia" w:ascii="仿宋_GB2312" w:hAnsi="Times New Roman" w:eastAsia="仿宋_GB2312"/>
                <w:sz w:val="18"/>
                <w:szCs w:val="18"/>
                <w:highlight w:val="yellow"/>
              </w:rPr>
            </w:pPr>
          </w:p>
        </w:tc>
        <w:tc>
          <w:tcPr>
            <w:tcW w:w="145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13.国内营业性演出变更演出时间、场地、演员、节目审批</w:t>
            </w:r>
          </w:p>
        </w:tc>
        <w:tc>
          <w:tcPr>
            <w:tcW w:w="2538"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2337"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《行政许可法》、《政府信息公开条例》、《互联网上网服务营业场所管理条例》</w:t>
            </w:r>
          </w:p>
        </w:tc>
        <w:tc>
          <w:tcPr>
            <w:tcW w:w="158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628"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893"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■公开查阅点     </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■政务服务中心   </w:t>
            </w:r>
          </w:p>
        </w:tc>
        <w:tc>
          <w:tcPr>
            <w:tcW w:w="429"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28"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45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89"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454" w:type="dxa"/>
            <w:vAlign w:val="center"/>
          </w:tcPr>
          <w:p>
            <w:pPr>
              <w:spacing w:line="240" w:lineRule="exact"/>
              <w:rPr>
                <w:rFonts w:hint="eastAsia" w:ascii="仿宋_GB2312" w:hAnsi="Times New Roman" w:eastAsia="仿宋_GB2312"/>
                <w:sz w:val="18"/>
                <w:szCs w:val="18"/>
              </w:rPr>
            </w:pPr>
          </w:p>
        </w:tc>
        <w:tc>
          <w:tcPr>
            <w:tcW w:w="451"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4</w:t>
            </w:r>
          </w:p>
        </w:tc>
        <w:tc>
          <w:tcPr>
            <w:tcW w:w="709" w:type="dxa"/>
            <w:vMerge w:val="restart"/>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许可</w:t>
            </w:r>
          </w:p>
        </w:tc>
        <w:tc>
          <w:tcPr>
            <w:tcW w:w="1487" w:type="dxa"/>
            <w:vMerge w:val="restart"/>
            <w:vAlign w:val="center"/>
          </w:tcPr>
          <w:p>
            <w:pPr>
              <w:spacing w:line="240" w:lineRule="exact"/>
              <w:rPr>
                <w:rFonts w:hint="eastAsia" w:ascii="仿宋_GB2312" w:hAnsi="Times New Roman" w:eastAsia="仿宋_GB2312"/>
                <w:sz w:val="18"/>
                <w:szCs w:val="18"/>
                <w:highlight w:val="yellow"/>
              </w:rPr>
            </w:pPr>
            <w:r>
              <w:rPr>
                <w:rFonts w:hint="eastAsia" w:ascii="仿宋_GB2312" w:hAnsi="Times New Roman" w:eastAsia="仿宋_GB2312"/>
                <w:sz w:val="18"/>
                <w:szCs w:val="18"/>
              </w:rPr>
              <w:t>娱乐场所经营许可</w:t>
            </w:r>
          </w:p>
        </w:tc>
        <w:tc>
          <w:tcPr>
            <w:tcW w:w="145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14.设立中外合资、中外合作经营娱乐场所审批</w:t>
            </w:r>
          </w:p>
        </w:tc>
        <w:tc>
          <w:tcPr>
            <w:tcW w:w="2538" w:type="dxa"/>
            <w:vAlign w:val="center"/>
          </w:tcPr>
          <w:p>
            <w:pPr>
              <w:spacing w:line="240" w:lineRule="exact"/>
              <w:rPr>
                <w:rFonts w:hint="eastAsia" w:ascii="仿宋_GB2312" w:hAnsi="Times New Roman" w:eastAsia="仿宋_GB2312"/>
                <w:sz w:val="11"/>
                <w:szCs w:val="11"/>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2337"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《行政许可法》、《政府信息公开条例》</w:t>
            </w:r>
          </w:p>
        </w:tc>
        <w:tc>
          <w:tcPr>
            <w:tcW w:w="158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628"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893"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■公开查阅点     ■政务服务中心   </w:t>
            </w:r>
          </w:p>
        </w:tc>
        <w:tc>
          <w:tcPr>
            <w:tcW w:w="429"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28"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45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89"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45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51" w:type="dxa"/>
            <w:vAlign w:val="center"/>
          </w:tcPr>
          <w:p>
            <w:pPr>
              <w:spacing w:line="240" w:lineRule="exact"/>
              <w:rPr>
                <w:rFonts w:hint="eastAsia" w:ascii="仿宋_GB2312" w:hAnsi="Times New Roman" w:eastAsia="仿宋_GB2312"/>
                <w:sz w:val="18"/>
                <w:szCs w:val="18"/>
              </w:rPr>
            </w:pPr>
          </w:p>
        </w:tc>
        <w:tc>
          <w:tcPr>
            <w:tcW w:w="4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4</w:t>
            </w:r>
          </w:p>
        </w:tc>
        <w:tc>
          <w:tcPr>
            <w:tcW w:w="709" w:type="dxa"/>
            <w:vMerge w:val="continue"/>
            <w:vAlign w:val="center"/>
          </w:tcPr>
          <w:p>
            <w:pPr>
              <w:spacing w:line="240" w:lineRule="exact"/>
              <w:rPr>
                <w:rFonts w:hint="eastAsia" w:ascii="仿宋_GB2312" w:hAnsi="Times New Roman" w:eastAsia="仿宋_GB2312"/>
                <w:sz w:val="18"/>
                <w:szCs w:val="18"/>
              </w:rPr>
            </w:pPr>
          </w:p>
        </w:tc>
        <w:tc>
          <w:tcPr>
            <w:tcW w:w="1487" w:type="dxa"/>
            <w:vMerge w:val="continue"/>
            <w:vAlign w:val="center"/>
          </w:tcPr>
          <w:p>
            <w:pPr>
              <w:spacing w:line="240" w:lineRule="exact"/>
              <w:rPr>
                <w:rFonts w:hint="eastAsia" w:ascii="仿宋_GB2312" w:hAnsi="Times New Roman" w:eastAsia="仿宋_GB2312"/>
                <w:sz w:val="18"/>
                <w:szCs w:val="18"/>
                <w:highlight w:val="yellow"/>
              </w:rPr>
            </w:pPr>
          </w:p>
        </w:tc>
        <w:tc>
          <w:tcPr>
            <w:tcW w:w="145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15.中外合资、中外合作经营娱乐场所变更、延续、补证、注销审批</w:t>
            </w:r>
          </w:p>
        </w:tc>
        <w:tc>
          <w:tcPr>
            <w:tcW w:w="2538" w:type="dxa"/>
            <w:vAlign w:val="center"/>
          </w:tcPr>
          <w:p>
            <w:pPr>
              <w:spacing w:line="240" w:lineRule="exact"/>
              <w:rPr>
                <w:rFonts w:hint="eastAsia" w:ascii="仿宋_GB2312" w:hAnsi="Times New Roman" w:eastAsia="仿宋_GB2312"/>
                <w:sz w:val="8"/>
                <w:szCs w:val="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2337"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《行政许可法》；《政府信息公开条例》</w:t>
            </w:r>
          </w:p>
        </w:tc>
        <w:tc>
          <w:tcPr>
            <w:tcW w:w="158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628"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893"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■公开查阅点     ■政务服务中心   </w:t>
            </w:r>
          </w:p>
        </w:tc>
        <w:tc>
          <w:tcPr>
            <w:tcW w:w="429"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28"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45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89"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454" w:type="dxa"/>
            <w:vAlign w:val="center"/>
          </w:tcPr>
          <w:p>
            <w:pPr>
              <w:spacing w:line="240" w:lineRule="exact"/>
            </w:pPr>
            <w:r>
              <w:rPr>
                <w:rFonts w:hint="eastAsia" w:ascii="仿宋_GB2312" w:hAnsi="Times New Roman" w:eastAsia="仿宋_GB2312"/>
                <w:sz w:val="18"/>
                <w:szCs w:val="18"/>
              </w:rPr>
              <w:t>√</w:t>
            </w:r>
          </w:p>
        </w:tc>
        <w:tc>
          <w:tcPr>
            <w:tcW w:w="451" w:type="dxa"/>
            <w:vAlign w:val="center"/>
          </w:tcPr>
          <w:p>
            <w:pPr>
              <w:spacing w:line="240" w:lineRule="exact"/>
              <w:rPr>
                <w:rFonts w:hint="eastAsia" w:ascii="仿宋_GB2312" w:hAnsi="Times New Roman" w:eastAsia="仿宋_GB2312"/>
                <w:sz w:val="18"/>
                <w:szCs w:val="18"/>
              </w:rPr>
            </w:pPr>
          </w:p>
        </w:tc>
        <w:tc>
          <w:tcPr>
            <w:tcW w:w="440" w:type="dxa"/>
            <w:vAlign w:val="center"/>
          </w:tcPr>
          <w:p>
            <w:pPr>
              <w:spacing w:line="240" w:lineRule="exact"/>
              <w:rPr>
                <w:rFonts w:hint="eastAsia"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4</w:t>
            </w:r>
          </w:p>
        </w:tc>
        <w:tc>
          <w:tcPr>
            <w:tcW w:w="709" w:type="dxa"/>
            <w:vMerge w:val="continue"/>
            <w:vAlign w:val="center"/>
          </w:tcPr>
          <w:p>
            <w:pPr>
              <w:spacing w:line="240" w:lineRule="exact"/>
              <w:rPr>
                <w:rFonts w:hint="eastAsia" w:ascii="仿宋_GB2312" w:hAnsi="Times New Roman" w:eastAsia="仿宋_GB2312"/>
                <w:sz w:val="18"/>
                <w:szCs w:val="18"/>
              </w:rPr>
            </w:pPr>
          </w:p>
        </w:tc>
        <w:tc>
          <w:tcPr>
            <w:tcW w:w="1487" w:type="dxa"/>
            <w:vMerge w:val="continue"/>
            <w:vAlign w:val="center"/>
          </w:tcPr>
          <w:p>
            <w:pPr>
              <w:spacing w:line="240" w:lineRule="exact"/>
              <w:rPr>
                <w:rFonts w:hint="eastAsia" w:ascii="仿宋_GB2312" w:hAnsi="Times New Roman" w:eastAsia="仿宋_GB2312"/>
                <w:sz w:val="18"/>
                <w:szCs w:val="18"/>
                <w:highlight w:val="yellow"/>
              </w:rPr>
            </w:pPr>
          </w:p>
        </w:tc>
        <w:tc>
          <w:tcPr>
            <w:tcW w:w="145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16.香港、澳门服务提供者在广东省独资设立娱乐场所审批</w:t>
            </w:r>
          </w:p>
        </w:tc>
        <w:tc>
          <w:tcPr>
            <w:tcW w:w="2538" w:type="dxa"/>
            <w:vAlign w:val="center"/>
          </w:tcPr>
          <w:p>
            <w:pPr>
              <w:spacing w:line="240" w:lineRule="exact"/>
              <w:rPr>
                <w:rFonts w:hint="eastAsia" w:ascii="仿宋_GB2312" w:hAnsi="Times New Roman" w:eastAsia="仿宋_GB2312"/>
                <w:sz w:val="8"/>
                <w:szCs w:val="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2337"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《行政许可法》；《政府信息公开条例》</w:t>
            </w:r>
          </w:p>
        </w:tc>
        <w:tc>
          <w:tcPr>
            <w:tcW w:w="158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628"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893"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■公开查阅点     ■政务服务中心   </w:t>
            </w:r>
          </w:p>
        </w:tc>
        <w:tc>
          <w:tcPr>
            <w:tcW w:w="429"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28"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45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89"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454" w:type="dxa"/>
            <w:vAlign w:val="center"/>
          </w:tcPr>
          <w:p>
            <w:pPr>
              <w:spacing w:line="240" w:lineRule="exact"/>
            </w:pPr>
            <w:r>
              <w:rPr>
                <w:rFonts w:hint="eastAsia" w:ascii="仿宋_GB2312" w:hAnsi="Times New Roman" w:eastAsia="仿宋_GB2312"/>
                <w:sz w:val="18"/>
                <w:szCs w:val="18"/>
              </w:rPr>
              <w:t>√</w:t>
            </w:r>
          </w:p>
        </w:tc>
        <w:tc>
          <w:tcPr>
            <w:tcW w:w="451" w:type="dxa"/>
            <w:vAlign w:val="center"/>
          </w:tcPr>
          <w:p>
            <w:pPr>
              <w:spacing w:line="240" w:lineRule="exact"/>
              <w:rPr>
                <w:rFonts w:hint="eastAsia" w:ascii="仿宋_GB2312" w:hAnsi="Times New Roman" w:eastAsia="仿宋_GB2312"/>
                <w:sz w:val="18"/>
                <w:szCs w:val="18"/>
              </w:rPr>
            </w:pPr>
          </w:p>
        </w:tc>
        <w:tc>
          <w:tcPr>
            <w:tcW w:w="440" w:type="dxa"/>
            <w:vAlign w:val="center"/>
          </w:tcPr>
          <w:p>
            <w:pPr>
              <w:spacing w:line="240" w:lineRule="exact"/>
              <w:rPr>
                <w:rFonts w:hint="eastAsia"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4</w:t>
            </w:r>
          </w:p>
        </w:tc>
        <w:tc>
          <w:tcPr>
            <w:tcW w:w="709" w:type="dxa"/>
            <w:vMerge w:val="continue"/>
            <w:vAlign w:val="center"/>
          </w:tcPr>
          <w:p>
            <w:pPr>
              <w:spacing w:line="240" w:lineRule="exact"/>
              <w:rPr>
                <w:rFonts w:hint="eastAsia" w:ascii="仿宋_GB2312" w:hAnsi="Times New Roman" w:eastAsia="仿宋_GB2312"/>
                <w:sz w:val="18"/>
                <w:szCs w:val="18"/>
              </w:rPr>
            </w:pPr>
          </w:p>
        </w:tc>
        <w:tc>
          <w:tcPr>
            <w:tcW w:w="1487" w:type="dxa"/>
            <w:vMerge w:val="continue"/>
            <w:vAlign w:val="center"/>
          </w:tcPr>
          <w:p>
            <w:pPr>
              <w:spacing w:line="240" w:lineRule="exact"/>
              <w:rPr>
                <w:rFonts w:hint="eastAsia" w:ascii="仿宋_GB2312" w:hAnsi="Times New Roman" w:eastAsia="仿宋_GB2312"/>
                <w:sz w:val="18"/>
                <w:szCs w:val="18"/>
                <w:highlight w:val="yellow"/>
              </w:rPr>
            </w:pPr>
          </w:p>
        </w:tc>
        <w:tc>
          <w:tcPr>
            <w:tcW w:w="145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17.香港、澳门服务提供者在广东省独资设立娱乐场所变更、延续、补证、注销审批</w:t>
            </w:r>
          </w:p>
        </w:tc>
        <w:tc>
          <w:tcPr>
            <w:tcW w:w="2538"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2337"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《行政许可法》；《政府信息公开条例》</w:t>
            </w:r>
          </w:p>
        </w:tc>
        <w:tc>
          <w:tcPr>
            <w:tcW w:w="158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628"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893"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■公开查阅点     ■政务服务中心   </w:t>
            </w:r>
          </w:p>
        </w:tc>
        <w:tc>
          <w:tcPr>
            <w:tcW w:w="429"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28"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45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89"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454" w:type="dxa"/>
            <w:vAlign w:val="center"/>
          </w:tcPr>
          <w:p>
            <w:pPr>
              <w:spacing w:line="240" w:lineRule="exact"/>
            </w:pPr>
            <w:r>
              <w:rPr>
                <w:rFonts w:hint="eastAsia" w:ascii="仿宋_GB2312" w:hAnsi="Times New Roman" w:eastAsia="仿宋_GB2312"/>
                <w:sz w:val="18"/>
                <w:szCs w:val="18"/>
              </w:rPr>
              <w:t>√</w:t>
            </w:r>
          </w:p>
        </w:tc>
        <w:tc>
          <w:tcPr>
            <w:tcW w:w="451" w:type="dxa"/>
            <w:vAlign w:val="center"/>
          </w:tcPr>
          <w:p>
            <w:pPr>
              <w:spacing w:line="240" w:lineRule="exact"/>
              <w:rPr>
                <w:rFonts w:hint="eastAsia" w:ascii="仿宋_GB2312" w:hAnsi="Times New Roman" w:eastAsia="仿宋_GB2312"/>
                <w:sz w:val="18"/>
                <w:szCs w:val="18"/>
              </w:rPr>
            </w:pPr>
          </w:p>
        </w:tc>
        <w:tc>
          <w:tcPr>
            <w:tcW w:w="440" w:type="dxa"/>
            <w:vAlign w:val="center"/>
          </w:tcPr>
          <w:p>
            <w:pPr>
              <w:spacing w:line="240" w:lineRule="exact"/>
              <w:rPr>
                <w:rFonts w:hint="eastAsia"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4</w:t>
            </w:r>
          </w:p>
        </w:tc>
        <w:tc>
          <w:tcPr>
            <w:tcW w:w="709" w:type="dxa"/>
            <w:vMerge w:val="continue"/>
            <w:vAlign w:val="center"/>
          </w:tcPr>
          <w:p>
            <w:pPr>
              <w:spacing w:line="240" w:lineRule="exact"/>
              <w:rPr>
                <w:rFonts w:hint="eastAsia" w:ascii="仿宋_GB2312" w:hAnsi="Times New Roman" w:eastAsia="仿宋_GB2312"/>
                <w:sz w:val="18"/>
                <w:szCs w:val="18"/>
              </w:rPr>
            </w:pPr>
          </w:p>
        </w:tc>
        <w:tc>
          <w:tcPr>
            <w:tcW w:w="1487" w:type="dxa"/>
            <w:vMerge w:val="continue"/>
            <w:vAlign w:val="center"/>
          </w:tcPr>
          <w:p>
            <w:pPr>
              <w:spacing w:line="240" w:lineRule="exact"/>
              <w:rPr>
                <w:rFonts w:hint="eastAsia" w:ascii="仿宋_GB2312" w:hAnsi="Times New Roman" w:eastAsia="仿宋_GB2312"/>
                <w:sz w:val="18"/>
                <w:szCs w:val="18"/>
                <w:highlight w:val="yellow"/>
              </w:rPr>
            </w:pPr>
          </w:p>
        </w:tc>
        <w:tc>
          <w:tcPr>
            <w:tcW w:w="145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18.设立内资娱乐场所审批</w:t>
            </w:r>
          </w:p>
        </w:tc>
        <w:tc>
          <w:tcPr>
            <w:tcW w:w="2538"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r>
              <w:rPr>
                <w:rFonts w:hint="eastAsia" w:ascii="仿宋_GB2312" w:hAnsi="Times New Roman" w:eastAsia="仿宋_GB2312"/>
                <w:sz w:val="18"/>
                <w:szCs w:val="18"/>
              </w:rPr>
              <w:br w:type="textWrapping"/>
            </w:r>
          </w:p>
        </w:tc>
        <w:tc>
          <w:tcPr>
            <w:tcW w:w="2337"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《行政许可法》；《政府信息公开条例》</w:t>
            </w:r>
          </w:p>
        </w:tc>
        <w:tc>
          <w:tcPr>
            <w:tcW w:w="158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628"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893"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■公开查阅点     ■政务服务中心   </w:t>
            </w:r>
          </w:p>
        </w:tc>
        <w:tc>
          <w:tcPr>
            <w:tcW w:w="429"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28"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45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89" w:type="dxa"/>
            <w:vAlign w:val="center"/>
          </w:tcPr>
          <w:p>
            <w:pPr>
              <w:spacing w:line="240" w:lineRule="exact"/>
              <w:rPr>
                <w:rFonts w:hint="eastAsia" w:ascii="仿宋_GB2312" w:hAnsi="Times New Roman" w:eastAsia="仿宋_GB2312"/>
                <w:sz w:val="18"/>
                <w:szCs w:val="18"/>
              </w:rPr>
            </w:pPr>
          </w:p>
        </w:tc>
        <w:tc>
          <w:tcPr>
            <w:tcW w:w="454" w:type="dxa"/>
            <w:vAlign w:val="center"/>
          </w:tcPr>
          <w:p>
            <w:pPr>
              <w:spacing w:line="240" w:lineRule="exact"/>
              <w:rPr>
                <w:rFonts w:hint="eastAsia" w:ascii="仿宋_GB2312" w:hAnsi="Times New Roman" w:eastAsia="仿宋_GB2312"/>
                <w:sz w:val="18"/>
                <w:szCs w:val="18"/>
              </w:rPr>
            </w:pPr>
          </w:p>
        </w:tc>
        <w:tc>
          <w:tcPr>
            <w:tcW w:w="451" w:type="dxa"/>
            <w:vAlign w:val="center"/>
          </w:tcPr>
          <w:p>
            <w:r>
              <w:rPr>
                <w:rFonts w:hint="eastAsia" w:ascii="仿宋_GB2312" w:hAnsi="Times New Roman" w:eastAsia="仿宋_GB2312"/>
                <w:sz w:val="18"/>
                <w:szCs w:val="18"/>
              </w:rPr>
              <w:t>√</w:t>
            </w:r>
          </w:p>
        </w:tc>
        <w:tc>
          <w:tcPr>
            <w:tcW w:w="440" w:type="dxa"/>
            <w:vAlign w:val="center"/>
          </w:tcPr>
          <w:p>
            <w:pPr>
              <w:spacing w:line="240" w:lineRule="exact"/>
              <w:rPr>
                <w:rFonts w:hint="eastAsia"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4</w:t>
            </w:r>
          </w:p>
        </w:tc>
        <w:tc>
          <w:tcPr>
            <w:tcW w:w="709" w:type="dxa"/>
            <w:vMerge w:val="continue"/>
            <w:vAlign w:val="center"/>
          </w:tcPr>
          <w:p>
            <w:pPr>
              <w:spacing w:line="240" w:lineRule="exact"/>
              <w:rPr>
                <w:rFonts w:hint="eastAsia" w:ascii="仿宋_GB2312" w:hAnsi="Times New Roman" w:eastAsia="仿宋_GB2312"/>
                <w:sz w:val="18"/>
                <w:szCs w:val="18"/>
              </w:rPr>
            </w:pPr>
          </w:p>
        </w:tc>
        <w:tc>
          <w:tcPr>
            <w:tcW w:w="1487" w:type="dxa"/>
            <w:vMerge w:val="continue"/>
            <w:vAlign w:val="center"/>
          </w:tcPr>
          <w:p>
            <w:pPr>
              <w:spacing w:line="240" w:lineRule="exact"/>
              <w:rPr>
                <w:rFonts w:hint="eastAsia" w:ascii="仿宋_GB2312" w:hAnsi="Times New Roman" w:eastAsia="仿宋_GB2312"/>
                <w:sz w:val="18"/>
                <w:szCs w:val="18"/>
                <w:highlight w:val="yellow"/>
              </w:rPr>
            </w:pPr>
          </w:p>
        </w:tc>
        <w:tc>
          <w:tcPr>
            <w:tcW w:w="145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19.内资娱乐场所变更、延续、补证、注销审批</w:t>
            </w:r>
          </w:p>
        </w:tc>
        <w:tc>
          <w:tcPr>
            <w:tcW w:w="2538"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2337"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《行政许可法》；《政府信息公开条例》</w:t>
            </w:r>
          </w:p>
        </w:tc>
        <w:tc>
          <w:tcPr>
            <w:tcW w:w="158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628"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893"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■公开查阅点     ■政务服务中心   </w:t>
            </w:r>
          </w:p>
        </w:tc>
        <w:tc>
          <w:tcPr>
            <w:tcW w:w="429"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28"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45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89" w:type="dxa"/>
            <w:vAlign w:val="center"/>
          </w:tcPr>
          <w:p>
            <w:pPr>
              <w:spacing w:line="240" w:lineRule="exact"/>
              <w:rPr>
                <w:rFonts w:hint="eastAsia" w:ascii="仿宋_GB2312" w:hAnsi="Times New Roman" w:eastAsia="仿宋_GB2312"/>
                <w:sz w:val="18"/>
                <w:szCs w:val="18"/>
              </w:rPr>
            </w:pPr>
          </w:p>
        </w:tc>
        <w:tc>
          <w:tcPr>
            <w:tcW w:w="454" w:type="dxa"/>
            <w:vAlign w:val="center"/>
          </w:tcPr>
          <w:p>
            <w:pPr>
              <w:spacing w:line="240" w:lineRule="exact"/>
              <w:rPr>
                <w:rFonts w:hint="eastAsia" w:ascii="仿宋_GB2312" w:hAnsi="Times New Roman" w:eastAsia="仿宋_GB2312"/>
                <w:sz w:val="18"/>
                <w:szCs w:val="18"/>
              </w:rPr>
            </w:pPr>
          </w:p>
        </w:tc>
        <w:tc>
          <w:tcPr>
            <w:tcW w:w="451" w:type="dxa"/>
            <w:vAlign w:val="center"/>
          </w:tcPr>
          <w:p>
            <w:r>
              <w:rPr>
                <w:rFonts w:hint="eastAsia" w:ascii="仿宋_GB2312" w:hAnsi="Times New Roman" w:eastAsia="仿宋_GB2312"/>
                <w:sz w:val="18"/>
                <w:szCs w:val="18"/>
              </w:rPr>
              <w:t>√</w:t>
            </w:r>
          </w:p>
        </w:tc>
        <w:tc>
          <w:tcPr>
            <w:tcW w:w="440" w:type="dxa"/>
            <w:vAlign w:val="center"/>
          </w:tcPr>
          <w:p>
            <w:pPr>
              <w:spacing w:line="240" w:lineRule="exact"/>
              <w:rPr>
                <w:rFonts w:hint="eastAsia"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5</w:t>
            </w:r>
          </w:p>
        </w:tc>
        <w:tc>
          <w:tcPr>
            <w:tcW w:w="709" w:type="dxa"/>
            <w:vMerge w:val="continue"/>
            <w:vAlign w:val="center"/>
          </w:tcPr>
          <w:p>
            <w:pPr>
              <w:spacing w:line="240" w:lineRule="exact"/>
              <w:rPr>
                <w:rFonts w:hint="eastAsia" w:ascii="仿宋_GB2312" w:hAnsi="Times New Roman" w:eastAsia="仿宋_GB2312"/>
                <w:sz w:val="18"/>
                <w:szCs w:val="18"/>
              </w:rPr>
            </w:pPr>
          </w:p>
        </w:tc>
        <w:tc>
          <w:tcPr>
            <w:tcW w:w="1487"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市、县级文物保护单位保护范围内其他建设工程或者爆破、钻探、挖掘等作业审批</w:t>
            </w:r>
          </w:p>
        </w:tc>
        <w:tc>
          <w:tcPr>
            <w:tcW w:w="1450" w:type="dxa"/>
            <w:vAlign w:val="center"/>
          </w:tcPr>
          <w:p>
            <w:pPr>
              <w:spacing w:line="240" w:lineRule="exact"/>
              <w:rPr>
                <w:rFonts w:hint="eastAsia" w:ascii="仿宋_GB2312" w:hAnsi="Times New Roman" w:eastAsia="仿宋_GB2312"/>
                <w:sz w:val="18"/>
                <w:szCs w:val="18"/>
              </w:rPr>
            </w:pPr>
          </w:p>
        </w:tc>
        <w:tc>
          <w:tcPr>
            <w:tcW w:w="2538"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2337"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《行政许可法》、《政府信息公开条例》</w:t>
            </w:r>
          </w:p>
        </w:tc>
        <w:tc>
          <w:tcPr>
            <w:tcW w:w="158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628"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893"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■公开查阅点     ■政务服务中心     </w:t>
            </w:r>
          </w:p>
        </w:tc>
        <w:tc>
          <w:tcPr>
            <w:tcW w:w="429"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28"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45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89"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45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51"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6</w:t>
            </w:r>
          </w:p>
        </w:tc>
        <w:tc>
          <w:tcPr>
            <w:tcW w:w="709" w:type="dxa"/>
            <w:vMerge w:val="continue"/>
            <w:vAlign w:val="center"/>
          </w:tcPr>
          <w:p>
            <w:pPr>
              <w:spacing w:line="240" w:lineRule="exact"/>
              <w:rPr>
                <w:rFonts w:hint="eastAsia" w:ascii="仿宋_GB2312" w:hAnsi="Times New Roman" w:eastAsia="仿宋_GB2312"/>
                <w:sz w:val="18"/>
                <w:szCs w:val="18"/>
              </w:rPr>
            </w:pPr>
          </w:p>
        </w:tc>
        <w:tc>
          <w:tcPr>
            <w:tcW w:w="1487"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市、县级文物保护单位建设控制地带内建设工程设计方案审批</w:t>
            </w:r>
          </w:p>
        </w:tc>
        <w:tc>
          <w:tcPr>
            <w:tcW w:w="1450" w:type="dxa"/>
            <w:vAlign w:val="center"/>
          </w:tcPr>
          <w:p>
            <w:pPr>
              <w:spacing w:line="240" w:lineRule="exact"/>
              <w:rPr>
                <w:rFonts w:hint="eastAsia" w:ascii="仿宋_GB2312" w:hAnsi="Times New Roman" w:eastAsia="仿宋_GB2312"/>
                <w:sz w:val="18"/>
                <w:szCs w:val="18"/>
              </w:rPr>
            </w:pPr>
          </w:p>
        </w:tc>
        <w:tc>
          <w:tcPr>
            <w:tcW w:w="2538"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2337"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《行政许可法》、《政府信息公开条例》</w:t>
            </w:r>
          </w:p>
        </w:tc>
        <w:tc>
          <w:tcPr>
            <w:tcW w:w="158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628"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893"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■公开查阅点     ■政务服务中心       </w:t>
            </w:r>
          </w:p>
        </w:tc>
        <w:tc>
          <w:tcPr>
            <w:tcW w:w="429"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28"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45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89"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45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51"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7</w:t>
            </w:r>
          </w:p>
        </w:tc>
        <w:tc>
          <w:tcPr>
            <w:tcW w:w="709" w:type="dxa"/>
            <w:vMerge w:val="continue"/>
            <w:vAlign w:val="center"/>
          </w:tcPr>
          <w:p>
            <w:pPr>
              <w:spacing w:line="240" w:lineRule="exact"/>
              <w:rPr>
                <w:rFonts w:ascii="仿宋_GB2312" w:hAnsi="Times New Roman" w:eastAsia="仿宋_GB2312"/>
                <w:sz w:val="18"/>
                <w:szCs w:val="18"/>
              </w:rPr>
            </w:pPr>
          </w:p>
        </w:tc>
        <w:tc>
          <w:tcPr>
            <w:tcW w:w="1487"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市、县级文物保护单位实施原址保护措施审批</w:t>
            </w:r>
          </w:p>
        </w:tc>
        <w:tc>
          <w:tcPr>
            <w:tcW w:w="1450" w:type="dxa"/>
            <w:vAlign w:val="center"/>
          </w:tcPr>
          <w:p>
            <w:pPr>
              <w:spacing w:line="240" w:lineRule="exact"/>
              <w:rPr>
                <w:rFonts w:hint="eastAsia" w:ascii="仿宋_GB2312" w:hAnsi="Times New Roman" w:eastAsia="仿宋_GB2312"/>
                <w:sz w:val="18"/>
                <w:szCs w:val="18"/>
              </w:rPr>
            </w:pPr>
          </w:p>
        </w:tc>
        <w:tc>
          <w:tcPr>
            <w:tcW w:w="2538"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2337"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《行政许可法》、《政府信息公开条例》</w:t>
            </w:r>
          </w:p>
        </w:tc>
        <w:tc>
          <w:tcPr>
            <w:tcW w:w="158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628"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文物行政部门</w:t>
            </w:r>
          </w:p>
        </w:tc>
        <w:tc>
          <w:tcPr>
            <w:tcW w:w="893"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■公开查阅点     ■政务服务中心       </w:t>
            </w:r>
          </w:p>
        </w:tc>
        <w:tc>
          <w:tcPr>
            <w:tcW w:w="42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428"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45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48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45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51"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4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8</w:t>
            </w:r>
          </w:p>
        </w:tc>
        <w:tc>
          <w:tcPr>
            <w:tcW w:w="709" w:type="dxa"/>
            <w:vMerge w:val="restar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许可</w:t>
            </w:r>
          </w:p>
        </w:tc>
        <w:tc>
          <w:tcPr>
            <w:tcW w:w="1487"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市、县级文物保护单位和未核定为文物保护单位的不可移动文物修缮审批</w:t>
            </w:r>
          </w:p>
        </w:tc>
        <w:tc>
          <w:tcPr>
            <w:tcW w:w="1450" w:type="dxa"/>
            <w:vAlign w:val="center"/>
          </w:tcPr>
          <w:p>
            <w:pPr>
              <w:spacing w:line="240" w:lineRule="exact"/>
              <w:rPr>
                <w:rFonts w:hint="eastAsia" w:ascii="仿宋_GB2312" w:hAnsi="Times New Roman" w:eastAsia="仿宋_GB2312"/>
                <w:sz w:val="18"/>
                <w:szCs w:val="18"/>
              </w:rPr>
            </w:pPr>
          </w:p>
        </w:tc>
        <w:tc>
          <w:tcPr>
            <w:tcW w:w="2538"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2337"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《行政许可法》；《政府信息公开条例》</w:t>
            </w:r>
          </w:p>
        </w:tc>
        <w:tc>
          <w:tcPr>
            <w:tcW w:w="158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628"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文物行政部门</w:t>
            </w:r>
          </w:p>
        </w:tc>
        <w:tc>
          <w:tcPr>
            <w:tcW w:w="893"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■公开查阅点     ■政务服务中心       </w:t>
            </w:r>
          </w:p>
        </w:tc>
        <w:tc>
          <w:tcPr>
            <w:tcW w:w="42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428"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45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48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454" w:type="dxa"/>
            <w:vAlign w:val="center"/>
          </w:tcPr>
          <w:p>
            <w:pPr>
              <w:spacing w:line="240" w:lineRule="exact"/>
            </w:pPr>
            <w:r>
              <w:rPr>
                <w:rFonts w:hint="eastAsia" w:ascii="仿宋_GB2312" w:hAnsi="Times New Roman" w:eastAsia="仿宋_GB2312"/>
                <w:sz w:val="18"/>
                <w:szCs w:val="18"/>
              </w:rPr>
              <w:t>√</w:t>
            </w:r>
          </w:p>
        </w:tc>
        <w:tc>
          <w:tcPr>
            <w:tcW w:w="451" w:type="dxa"/>
            <w:vAlign w:val="center"/>
          </w:tcPr>
          <w:p>
            <w:pPr>
              <w:spacing w:line="240" w:lineRule="exact"/>
            </w:pPr>
            <w:r>
              <w:rPr>
                <w:rFonts w:hint="eastAsia" w:ascii="仿宋_GB2312" w:hAnsi="Times New Roman" w:eastAsia="仿宋_GB2312"/>
                <w:sz w:val="18"/>
                <w:szCs w:val="18"/>
              </w:rPr>
              <w:t>√</w:t>
            </w:r>
          </w:p>
        </w:tc>
        <w:tc>
          <w:tcPr>
            <w:tcW w:w="4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9</w:t>
            </w:r>
          </w:p>
        </w:tc>
        <w:tc>
          <w:tcPr>
            <w:tcW w:w="709" w:type="dxa"/>
            <w:vMerge w:val="continue"/>
            <w:vAlign w:val="center"/>
          </w:tcPr>
          <w:p>
            <w:pPr>
              <w:spacing w:line="240" w:lineRule="exact"/>
              <w:rPr>
                <w:rFonts w:ascii="仿宋_GB2312" w:hAnsi="Times New Roman" w:eastAsia="仿宋_GB2312"/>
                <w:sz w:val="18"/>
                <w:szCs w:val="18"/>
              </w:rPr>
            </w:pPr>
          </w:p>
        </w:tc>
        <w:tc>
          <w:tcPr>
            <w:tcW w:w="1487"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核定为市、县级文物保护单位的属于国家所有的纪念建筑物或者古建筑改变用途审批</w:t>
            </w:r>
          </w:p>
        </w:tc>
        <w:tc>
          <w:tcPr>
            <w:tcW w:w="1450" w:type="dxa"/>
            <w:vAlign w:val="center"/>
          </w:tcPr>
          <w:p>
            <w:pPr>
              <w:spacing w:line="240" w:lineRule="exact"/>
              <w:rPr>
                <w:rFonts w:hint="eastAsia" w:ascii="仿宋_GB2312" w:hAnsi="Times New Roman" w:eastAsia="仿宋_GB2312"/>
                <w:sz w:val="18"/>
                <w:szCs w:val="18"/>
              </w:rPr>
            </w:pPr>
          </w:p>
        </w:tc>
        <w:tc>
          <w:tcPr>
            <w:tcW w:w="2538"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2337"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《行政许可法》、《政府信息公开条例》</w:t>
            </w:r>
          </w:p>
        </w:tc>
        <w:tc>
          <w:tcPr>
            <w:tcW w:w="158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628"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文物行政部门</w:t>
            </w:r>
          </w:p>
        </w:tc>
        <w:tc>
          <w:tcPr>
            <w:tcW w:w="893"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■公开查阅点     ■政务服务中心          </w:t>
            </w:r>
          </w:p>
        </w:tc>
        <w:tc>
          <w:tcPr>
            <w:tcW w:w="42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428"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45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48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45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51"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4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10</w:t>
            </w:r>
          </w:p>
        </w:tc>
        <w:tc>
          <w:tcPr>
            <w:tcW w:w="709" w:type="dxa"/>
            <w:vMerge w:val="continue"/>
            <w:vAlign w:val="center"/>
          </w:tcPr>
          <w:p>
            <w:pPr>
              <w:spacing w:line="240" w:lineRule="exact"/>
              <w:rPr>
                <w:rFonts w:ascii="仿宋_GB2312" w:hAnsi="Times New Roman" w:eastAsia="仿宋_GB2312"/>
                <w:sz w:val="18"/>
                <w:szCs w:val="18"/>
              </w:rPr>
            </w:pPr>
          </w:p>
        </w:tc>
        <w:tc>
          <w:tcPr>
            <w:tcW w:w="1487"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非国有文物收藏单位和其他单位举办展览需借用国有馆藏二级以下文物审批</w:t>
            </w:r>
          </w:p>
        </w:tc>
        <w:tc>
          <w:tcPr>
            <w:tcW w:w="1450" w:type="dxa"/>
            <w:vAlign w:val="center"/>
          </w:tcPr>
          <w:p>
            <w:pPr>
              <w:spacing w:line="240" w:lineRule="exact"/>
              <w:rPr>
                <w:rFonts w:hint="eastAsia" w:ascii="仿宋_GB2312" w:hAnsi="Times New Roman" w:eastAsia="仿宋_GB2312"/>
                <w:sz w:val="18"/>
                <w:szCs w:val="18"/>
              </w:rPr>
            </w:pPr>
          </w:p>
        </w:tc>
        <w:tc>
          <w:tcPr>
            <w:tcW w:w="2538"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2337"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《行政许可法》、《政府信息公开条例》</w:t>
            </w:r>
          </w:p>
        </w:tc>
        <w:tc>
          <w:tcPr>
            <w:tcW w:w="158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628"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文物行政部门</w:t>
            </w:r>
          </w:p>
        </w:tc>
        <w:tc>
          <w:tcPr>
            <w:tcW w:w="893"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■公开查阅点     ■政务服务中心     </w:t>
            </w:r>
          </w:p>
        </w:tc>
        <w:tc>
          <w:tcPr>
            <w:tcW w:w="42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428"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45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48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45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51"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4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11</w:t>
            </w:r>
          </w:p>
        </w:tc>
        <w:tc>
          <w:tcPr>
            <w:tcW w:w="709" w:type="dxa"/>
            <w:vMerge w:val="restar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487"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对互联网上网服务营业场所违法行为的行政处罚</w:t>
            </w:r>
          </w:p>
        </w:tc>
        <w:tc>
          <w:tcPr>
            <w:tcW w:w="1450" w:type="dxa"/>
            <w:vAlign w:val="center"/>
          </w:tcPr>
          <w:p>
            <w:pPr>
              <w:spacing w:line="240" w:lineRule="exact"/>
              <w:rPr>
                <w:rFonts w:hint="eastAsia" w:ascii="仿宋_GB2312" w:hAnsi="Times New Roman" w:eastAsia="仿宋_GB2312"/>
                <w:sz w:val="18"/>
                <w:szCs w:val="18"/>
              </w:rPr>
            </w:pPr>
          </w:p>
        </w:tc>
        <w:tc>
          <w:tcPr>
            <w:tcW w:w="2538"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3.处罚依据；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4.处罚结果。</w:t>
            </w:r>
          </w:p>
        </w:tc>
        <w:tc>
          <w:tcPr>
            <w:tcW w:w="2337" w:type="dxa"/>
            <w:vAlign w:val="center"/>
          </w:tcPr>
          <w:p>
            <w:pPr>
              <w:spacing w:line="240" w:lineRule="exact"/>
              <w:rPr>
                <w:rFonts w:ascii="仿宋_GB2312" w:hAnsi="Times New Roman" w:eastAsia="仿宋_GB2312"/>
                <w:sz w:val="15"/>
                <w:szCs w:val="15"/>
              </w:rPr>
            </w:pPr>
            <w:r>
              <w:rPr>
                <w:rFonts w:hint="eastAsia" w:ascii="仿宋_GB2312" w:hAnsi="Times New Roman" w:eastAsia="仿宋_GB2312"/>
                <w:sz w:val="18"/>
                <w:szCs w:val="18"/>
              </w:rPr>
              <w:t>《互联网上网服务营业场所管理条例》、《国务院关于促进市场公平竞争维护市场正常秩序的若干意见》、《国务院办公厅关于全面推行行政执法公示制度执法全过程记录制度重大执法决定法制审核制度的指导意见》</w:t>
            </w:r>
          </w:p>
        </w:tc>
        <w:tc>
          <w:tcPr>
            <w:tcW w:w="1586" w:type="dxa"/>
            <w:vAlign w:val="center"/>
          </w:tcPr>
          <w:p>
            <w:pPr>
              <w:spacing w:line="240" w:lineRule="exact"/>
              <w:rPr>
                <w:rFonts w:ascii="仿宋_GB2312" w:hAnsi="Times New Roman" w:eastAsia="仿宋_GB2312"/>
                <w:sz w:val="15"/>
                <w:szCs w:val="15"/>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628"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893"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42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428"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45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48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45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51"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4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12</w:t>
            </w:r>
          </w:p>
        </w:tc>
        <w:tc>
          <w:tcPr>
            <w:tcW w:w="709" w:type="dxa"/>
            <w:vMerge w:val="continue"/>
            <w:vAlign w:val="center"/>
          </w:tcPr>
          <w:p>
            <w:pPr>
              <w:spacing w:line="240" w:lineRule="exact"/>
              <w:rPr>
                <w:rFonts w:ascii="仿宋_GB2312" w:hAnsi="Times New Roman" w:eastAsia="仿宋_GB2312"/>
                <w:sz w:val="18"/>
                <w:szCs w:val="18"/>
              </w:rPr>
            </w:pPr>
          </w:p>
        </w:tc>
        <w:tc>
          <w:tcPr>
            <w:tcW w:w="1487"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对娱乐场所违法行为的行政处罚</w:t>
            </w:r>
          </w:p>
        </w:tc>
        <w:tc>
          <w:tcPr>
            <w:tcW w:w="1450" w:type="dxa"/>
            <w:vAlign w:val="center"/>
          </w:tcPr>
          <w:p>
            <w:pPr>
              <w:spacing w:line="240" w:lineRule="exact"/>
              <w:rPr>
                <w:rFonts w:hint="eastAsia" w:ascii="仿宋_GB2312" w:hAnsi="Times New Roman" w:eastAsia="仿宋_GB2312"/>
                <w:sz w:val="18"/>
                <w:szCs w:val="18"/>
              </w:rPr>
            </w:pPr>
          </w:p>
        </w:tc>
        <w:tc>
          <w:tcPr>
            <w:tcW w:w="2538"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3.处罚依据；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4.处罚结果。</w:t>
            </w:r>
          </w:p>
        </w:tc>
        <w:tc>
          <w:tcPr>
            <w:tcW w:w="2337" w:type="dxa"/>
            <w:vAlign w:val="center"/>
          </w:tcPr>
          <w:p>
            <w:pPr>
              <w:spacing w:line="240" w:lineRule="exact"/>
              <w:rPr>
                <w:rFonts w:ascii="仿宋_GB2312" w:hAnsi="Times New Roman" w:eastAsia="仿宋_GB2312"/>
                <w:sz w:val="15"/>
                <w:szCs w:val="15"/>
              </w:rPr>
            </w:pPr>
            <w:r>
              <w:rPr>
                <w:rFonts w:hint="eastAsia" w:ascii="仿宋_GB2312" w:hAnsi="Times New Roman" w:eastAsia="仿宋_GB2312"/>
                <w:sz w:val="18"/>
                <w:szCs w:val="18"/>
              </w:rPr>
              <w:t>《娱乐场所管理条例》、《国务院关于促进市场公平竞争维护市场正常秩序的若干意见》、《国务院办公厅关于全面推行行政执法公示制度执法全过程记录制度重大执法决定法制审核制度的指导意见》、《娱乐场所管理办法》</w:t>
            </w:r>
          </w:p>
        </w:tc>
        <w:tc>
          <w:tcPr>
            <w:tcW w:w="1586" w:type="dxa"/>
            <w:vAlign w:val="center"/>
          </w:tcPr>
          <w:p>
            <w:pPr>
              <w:spacing w:line="240" w:lineRule="exact"/>
              <w:rPr>
                <w:rFonts w:hint="eastAsia" w:ascii="仿宋_GB2312" w:hAnsi="Times New Roman" w:eastAsia="仿宋_GB2312"/>
                <w:sz w:val="15"/>
                <w:szCs w:val="15"/>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628"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893"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42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428"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45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48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45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51"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4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13</w:t>
            </w:r>
          </w:p>
        </w:tc>
        <w:tc>
          <w:tcPr>
            <w:tcW w:w="709" w:type="dxa"/>
            <w:vMerge w:val="restart"/>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487"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对营业性演出违法行为的行政处罚</w:t>
            </w:r>
          </w:p>
        </w:tc>
        <w:tc>
          <w:tcPr>
            <w:tcW w:w="1450" w:type="dxa"/>
            <w:vAlign w:val="center"/>
          </w:tcPr>
          <w:p>
            <w:pPr>
              <w:spacing w:line="240" w:lineRule="exact"/>
              <w:rPr>
                <w:rFonts w:hint="eastAsia" w:ascii="仿宋_GB2312" w:hAnsi="Times New Roman" w:eastAsia="仿宋_GB2312"/>
                <w:sz w:val="18"/>
                <w:szCs w:val="18"/>
              </w:rPr>
            </w:pPr>
          </w:p>
        </w:tc>
        <w:tc>
          <w:tcPr>
            <w:tcW w:w="2538"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3.处罚依据；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4.处罚结果。</w:t>
            </w:r>
          </w:p>
        </w:tc>
        <w:tc>
          <w:tcPr>
            <w:tcW w:w="2337" w:type="dxa"/>
            <w:vAlign w:val="center"/>
          </w:tcPr>
          <w:p>
            <w:pPr>
              <w:spacing w:line="240" w:lineRule="exact"/>
              <w:rPr>
                <w:rFonts w:hint="eastAsia" w:ascii="仿宋_GB2312" w:hAnsi="Times New Roman" w:eastAsia="仿宋_GB2312"/>
                <w:sz w:val="15"/>
                <w:szCs w:val="15"/>
              </w:rPr>
            </w:pPr>
            <w:r>
              <w:rPr>
                <w:rFonts w:hint="eastAsia" w:ascii="仿宋_GB2312" w:hAnsi="Times New Roman" w:eastAsia="仿宋_GB2312"/>
                <w:sz w:val="18"/>
                <w:szCs w:val="18"/>
              </w:rPr>
              <w:t>《营业性演出管理条例》、《国务院关于促进市场公平竞争维护市场正常秩序的若干意见》、《国务院办公厅关于全面推行行政执法公示制度执法全过程记录制度重大执法决定法制审核制度的指导意见》、《营业性演出管理条例实施细则》</w:t>
            </w:r>
          </w:p>
        </w:tc>
        <w:tc>
          <w:tcPr>
            <w:tcW w:w="1586" w:type="dxa"/>
            <w:vAlign w:val="center"/>
          </w:tcPr>
          <w:p>
            <w:pPr>
              <w:spacing w:line="240" w:lineRule="exact"/>
              <w:rPr>
                <w:rFonts w:hint="eastAsia" w:ascii="仿宋_GB2312" w:hAnsi="Times New Roman" w:eastAsia="仿宋_GB2312"/>
                <w:sz w:val="15"/>
                <w:szCs w:val="15"/>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628"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893"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429"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28"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45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89"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45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51"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14</w:t>
            </w:r>
          </w:p>
        </w:tc>
        <w:tc>
          <w:tcPr>
            <w:tcW w:w="709" w:type="dxa"/>
            <w:vMerge w:val="continue"/>
            <w:vAlign w:val="center"/>
          </w:tcPr>
          <w:p>
            <w:pPr>
              <w:spacing w:line="240" w:lineRule="exact"/>
              <w:rPr>
                <w:rFonts w:hint="eastAsia" w:ascii="仿宋_GB2312" w:hAnsi="Times New Roman" w:eastAsia="仿宋_GB2312"/>
                <w:sz w:val="18"/>
                <w:szCs w:val="18"/>
              </w:rPr>
            </w:pPr>
          </w:p>
        </w:tc>
        <w:tc>
          <w:tcPr>
            <w:tcW w:w="1487"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对艺术品经营违法行为的行政处罚</w:t>
            </w:r>
          </w:p>
        </w:tc>
        <w:tc>
          <w:tcPr>
            <w:tcW w:w="1450" w:type="dxa"/>
            <w:vAlign w:val="center"/>
          </w:tcPr>
          <w:p>
            <w:pPr>
              <w:spacing w:line="240" w:lineRule="exact"/>
              <w:rPr>
                <w:rFonts w:hint="eastAsia" w:ascii="仿宋_GB2312" w:hAnsi="Times New Roman" w:eastAsia="仿宋_GB2312"/>
                <w:sz w:val="18"/>
                <w:szCs w:val="18"/>
              </w:rPr>
            </w:pPr>
          </w:p>
        </w:tc>
        <w:tc>
          <w:tcPr>
            <w:tcW w:w="2538"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3.处罚依据；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4.处罚结果。</w:t>
            </w:r>
          </w:p>
        </w:tc>
        <w:tc>
          <w:tcPr>
            <w:tcW w:w="2337" w:type="dxa"/>
            <w:vAlign w:val="center"/>
          </w:tcPr>
          <w:p>
            <w:pPr>
              <w:spacing w:line="240" w:lineRule="exact"/>
              <w:rPr>
                <w:rFonts w:hint="eastAsia" w:ascii="仿宋_GB2312" w:hAnsi="Times New Roman" w:eastAsia="仿宋_GB2312"/>
                <w:sz w:val="15"/>
                <w:szCs w:val="15"/>
              </w:rPr>
            </w:pPr>
            <w:r>
              <w:rPr>
                <w:rFonts w:hint="eastAsia" w:ascii="仿宋_GB2312" w:hAnsi="Times New Roman" w:eastAsia="仿宋_GB2312"/>
                <w:sz w:val="15"/>
                <w:szCs w:val="15"/>
              </w:rPr>
              <w:t>《国务院关于促进市场公平竞争维护市场正常秩序的若干意见》、《国务院办公厅关于全面推行行政执法公示制度执法全过程记录制度重大执法决定法制审核制度的指导意见》、《艺术品经营管理办法》</w:t>
            </w:r>
          </w:p>
        </w:tc>
        <w:tc>
          <w:tcPr>
            <w:tcW w:w="1586" w:type="dxa"/>
            <w:vAlign w:val="center"/>
          </w:tcPr>
          <w:p>
            <w:pPr>
              <w:spacing w:line="240" w:lineRule="exact"/>
              <w:rPr>
                <w:rFonts w:hint="eastAsia" w:ascii="仿宋_GB2312" w:hAnsi="Times New Roman" w:eastAsia="仿宋_GB2312"/>
                <w:sz w:val="15"/>
                <w:szCs w:val="15"/>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628"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893"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429"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28"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45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89"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45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51"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15</w:t>
            </w:r>
          </w:p>
        </w:tc>
        <w:tc>
          <w:tcPr>
            <w:tcW w:w="709" w:type="dxa"/>
            <w:vMerge w:val="restart"/>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487"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对网络游戏运营单位违法行为的行政处罚</w:t>
            </w:r>
          </w:p>
        </w:tc>
        <w:tc>
          <w:tcPr>
            <w:tcW w:w="1450" w:type="dxa"/>
            <w:vAlign w:val="center"/>
          </w:tcPr>
          <w:p>
            <w:pPr>
              <w:spacing w:line="240" w:lineRule="exact"/>
              <w:rPr>
                <w:rFonts w:hint="eastAsia" w:ascii="仿宋_GB2312" w:hAnsi="Times New Roman" w:eastAsia="仿宋_GB2312"/>
                <w:sz w:val="18"/>
                <w:szCs w:val="18"/>
              </w:rPr>
            </w:pPr>
          </w:p>
        </w:tc>
        <w:tc>
          <w:tcPr>
            <w:tcW w:w="2538"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3.处罚依据；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4.处罚结果。</w:t>
            </w:r>
          </w:p>
        </w:tc>
        <w:tc>
          <w:tcPr>
            <w:tcW w:w="2337" w:type="dxa"/>
            <w:vAlign w:val="center"/>
          </w:tcPr>
          <w:p>
            <w:pPr>
              <w:spacing w:line="240" w:lineRule="exact"/>
              <w:rPr>
                <w:rFonts w:hint="eastAsia" w:ascii="仿宋_GB2312" w:hAnsi="Times New Roman" w:eastAsia="仿宋_GB2312"/>
                <w:sz w:val="15"/>
                <w:szCs w:val="15"/>
              </w:rPr>
            </w:pPr>
            <w:r>
              <w:rPr>
                <w:rFonts w:hint="eastAsia" w:ascii="仿宋_GB2312" w:hAnsi="Times New Roman" w:eastAsia="仿宋_GB2312"/>
                <w:sz w:val="15"/>
                <w:szCs w:val="15"/>
              </w:rPr>
              <w:t>《国务院关于促进市场公平竞争维护市场正常秩序的若干意见》、《国务院办公厅关于全面推行行政执法公示制度执法全过程记录制度重大执法决定法制审核制度的指导意见》、《网络游戏管理暂行办法》</w:t>
            </w:r>
          </w:p>
        </w:tc>
        <w:tc>
          <w:tcPr>
            <w:tcW w:w="1586" w:type="dxa"/>
            <w:vAlign w:val="center"/>
          </w:tcPr>
          <w:p>
            <w:pPr>
              <w:spacing w:line="240" w:lineRule="exact"/>
              <w:rPr>
                <w:rFonts w:hint="eastAsia" w:ascii="仿宋_GB2312" w:hAnsi="Times New Roman" w:eastAsia="仿宋_GB2312"/>
                <w:sz w:val="15"/>
                <w:szCs w:val="15"/>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628"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893"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429"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28"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45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89"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45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51"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16</w:t>
            </w:r>
          </w:p>
        </w:tc>
        <w:tc>
          <w:tcPr>
            <w:tcW w:w="709" w:type="dxa"/>
            <w:vMerge w:val="continue"/>
            <w:vAlign w:val="center"/>
          </w:tcPr>
          <w:p>
            <w:pPr>
              <w:spacing w:line="240" w:lineRule="exact"/>
              <w:rPr>
                <w:rFonts w:hint="eastAsia" w:ascii="仿宋_GB2312" w:hAnsi="Times New Roman" w:eastAsia="仿宋_GB2312"/>
                <w:sz w:val="18"/>
                <w:szCs w:val="18"/>
              </w:rPr>
            </w:pPr>
          </w:p>
        </w:tc>
        <w:tc>
          <w:tcPr>
            <w:tcW w:w="1487"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对社会艺术水平考级活动违法行为的行政处罚</w:t>
            </w:r>
          </w:p>
        </w:tc>
        <w:tc>
          <w:tcPr>
            <w:tcW w:w="1450" w:type="dxa"/>
            <w:vAlign w:val="center"/>
          </w:tcPr>
          <w:p>
            <w:pPr>
              <w:spacing w:line="240" w:lineRule="exact"/>
              <w:rPr>
                <w:rFonts w:hint="eastAsia" w:ascii="仿宋_GB2312" w:hAnsi="Times New Roman" w:eastAsia="仿宋_GB2312"/>
                <w:sz w:val="18"/>
                <w:szCs w:val="18"/>
              </w:rPr>
            </w:pPr>
          </w:p>
        </w:tc>
        <w:tc>
          <w:tcPr>
            <w:tcW w:w="2538"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3.处罚依据；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4.处罚结果。</w:t>
            </w:r>
          </w:p>
        </w:tc>
        <w:tc>
          <w:tcPr>
            <w:tcW w:w="2337" w:type="dxa"/>
            <w:vAlign w:val="center"/>
          </w:tcPr>
          <w:p>
            <w:pPr>
              <w:spacing w:line="240" w:lineRule="exact"/>
              <w:rPr>
                <w:rFonts w:hint="eastAsia" w:ascii="仿宋_GB2312" w:hAnsi="Times New Roman" w:eastAsia="仿宋_GB2312"/>
                <w:sz w:val="15"/>
                <w:szCs w:val="15"/>
              </w:rPr>
            </w:pPr>
            <w:r>
              <w:rPr>
                <w:rFonts w:hint="eastAsia" w:ascii="仿宋_GB2312" w:hAnsi="Times New Roman" w:eastAsia="仿宋_GB2312"/>
                <w:sz w:val="15"/>
                <w:szCs w:val="15"/>
              </w:rPr>
              <w:t>《国务院关于促进市场公平竞争维护市场正常秩序的若干意见》、《国务院办公厅关于全面推行行政执法公示制度执法全过程记录制度重大执法决定法制审核制度的指导意见》、《社会艺术水平考级管理办法》</w:t>
            </w:r>
          </w:p>
        </w:tc>
        <w:tc>
          <w:tcPr>
            <w:tcW w:w="1586" w:type="dxa"/>
            <w:vAlign w:val="center"/>
          </w:tcPr>
          <w:p>
            <w:pPr>
              <w:spacing w:line="240" w:lineRule="exact"/>
              <w:rPr>
                <w:rFonts w:hint="eastAsia" w:ascii="仿宋_GB2312" w:hAnsi="Times New Roman" w:eastAsia="仿宋_GB2312"/>
                <w:sz w:val="15"/>
                <w:szCs w:val="15"/>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628"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893"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429"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28"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45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89"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45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51"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17</w:t>
            </w:r>
          </w:p>
        </w:tc>
        <w:tc>
          <w:tcPr>
            <w:tcW w:w="709" w:type="dxa"/>
            <w:vMerge w:val="restar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487"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对互联网文化单位违法行为的行政处罚</w:t>
            </w:r>
          </w:p>
        </w:tc>
        <w:tc>
          <w:tcPr>
            <w:tcW w:w="1450" w:type="dxa"/>
            <w:vAlign w:val="center"/>
          </w:tcPr>
          <w:p>
            <w:pPr>
              <w:spacing w:line="240" w:lineRule="exact"/>
              <w:rPr>
                <w:rFonts w:hint="eastAsia" w:ascii="仿宋_GB2312" w:hAnsi="Times New Roman" w:eastAsia="仿宋_GB2312"/>
                <w:sz w:val="18"/>
                <w:szCs w:val="18"/>
              </w:rPr>
            </w:pPr>
          </w:p>
        </w:tc>
        <w:tc>
          <w:tcPr>
            <w:tcW w:w="2538"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3.处罚依据；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4.处罚结果。</w:t>
            </w:r>
          </w:p>
        </w:tc>
        <w:tc>
          <w:tcPr>
            <w:tcW w:w="2337"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国务院关于促进市场公平竞争维护市场正常秩序的若干意见》、《国务院办公厅关于全面推行行政执法公示制度执法全过程记录制度重大执法决定法制审核制度的指导意见》、《互联网文化管理暂行规定》（文化部令第51号，第57号予以修改）  </w:t>
            </w:r>
          </w:p>
        </w:tc>
        <w:tc>
          <w:tcPr>
            <w:tcW w:w="1586" w:type="dxa"/>
            <w:vAlign w:val="center"/>
          </w:tcPr>
          <w:p>
            <w:pPr>
              <w:spacing w:line="240" w:lineRule="exact"/>
              <w:rPr>
                <w:rFonts w:ascii="仿宋_GB2312" w:hAnsi="Times New Roman" w:eastAsia="仿宋_GB2312"/>
                <w:sz w:val="15"/>
                <w:szCs w:val="15"/>
              </w:rPr>
            </w:pPr>
            <w:r>
              <w:rPr>
                <w:rFonts w:hint="eastAsia" w:ascii="仿宋_GB2312" w:hAnsi="Times New Roman" w:eastAsia="仿宋_GB2312"/>
                <w:sz w:val="15"/>
                <w:szCs w:val="15"/>
              </w:rPr>
              <w:t>执法决定信息在决定作出之日起7个工作日内公开，其他相关信息形成或变更之日起20个工作日内公开</w:t>
            </w:r>
          </w:p>
        </w:tc>
        <w:tc>
          <w:tcPr>
            <w:tcW w:w="628"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893"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42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428"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45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48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45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51"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4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18</w:t>
            </w:r>
          </w:p>
        </w:tc>
        <w:tc>
          <w:tcPr>
            <w:tcW w:w="709" w:type="dxa"/>
            <w:vMerge w:val="continue"/>
            <w:vAlign w:val="center"/>
          </w:tcPr>
          <w:p>
            <w:pPr>
              <w:spacing w:line="240" w:lineRule="exact"/>
              <w:rPr>
                <w:rFonts w:ascii="仿宋_GB2312" w:hAnsi="Times New Roman" w:eastAsia="仿宋_GB2312"/>
                <w:sz w:val="18"/>
                <w:szCs w:val="18"/>
              </w:rPr>
            </w:pPr>
          </w:p>
        </w:tc>
        <w:tc>
          <w:tcPr>
            <w:tcW w:w="1487"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对擅自在文物保护单位的保护范围内进行建设工程或者爆破、钻探、挖掘等作业的行为进行处罚</w:t>
            </w:r>
          </w:p>
        </w:tc>
        <w:tc>
          <w:tcPr>
            <w:tcW w:w="1450" w:type="dxa"/>
            <w:vAlign w:val="center"/>
          </w:tcPr>
          <w:p>
            <w:pPr>
              <w:spacing w:line="240" w:lineRule="exact"/>
              <w:rPr>
                <w:rFonts w:hint="eastAsia" w:ascii="仿宋_GB2312" w:hAnsi="Times New Roman" w:eastAsia="仿宋_GB2312"/>
                <w:sz w:val="18"/>
                <w:szCs w:val="18"/>
              </w:rPr>
            </w:pPr>
          </w:p>
        </w:tc>
        <w:tc>
          <w:tcPr>
            <w:tcW w:w="2538"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3.处罚依据；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4.处罚结果。</w:t>
            </w:r>
          </w:p>
        </w:tc>
        <w:tc>
          <w:tcPr>
            <w:tcW w:w="2337"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586" w:type="dxa"/>
            <w:vAlign w:val="center"/>
          </w:tcPr>
          <w:p>
            <w:pPr>
              <w:spacing w:line="240" w:lineRule="exact"/>
              <w:rPr>
                <w:rFonts w:ascii="仿宋_GB2312" w:hAnsi="Times New Roman" w:eastAsia="仿宋_GB2312"/>
                <w:sz w:val="15"/>
                <w:szCs w:val="15"/>
              </w:rPr>
            </w:pPr>
            <w:r>
              <w:rPr>
                <w:rFonts w:hint="eastAsia" w:ascii="仿宋_GB2312" w:hAnsi="Times New Roman" w:eastAsia="仿宋_GB2312"/>
                <w:sz w:val="15"/>
                <w:szCs w:val="15"/>
              </w:rPr>
              <w:t>执法决定信息在决定作出之日起7个工作日内公开，其他相关信息形成或变更之日起20个工作日内公开</w:t>
            </w:r>
          </w:p>
        </w:tc>
        <w:tc>
          <w:tcPr>
            <w:tcW w:w="628"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文物行政部门</w:t>
            </w:r>
          </w:p>
        </w:tc>
        <w:tc>
          <w:tcPr>
            <w:tcW w:w="893"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42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428"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45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48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45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51"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4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19</w:t>
            </w:r>
          </w:p>
        </w:tc>
        <w:tc>
          <w:tcPr>
            <w:tcW w:w="709" w:type="dxa"/>
            <w:vMerge w:val="restart"/>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487"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5"/>
                <w:szCs w:val="15"/>
              </w:rPr>
              <w:t>对在文物保护单位的建设控制地带内进行建设工程，其工程设计方案未经文物行政部门同意、报城乡建设规划部门批准，对文物保护单位的历史风貌造成破坏的行为进行处罚</w:t>
            </w:r>
          </w:p>
        </w:tc>
        <w:tc>
          <w:tcPr>
            <w:tcW w:w="1450" w:type="dxa"/>
            <w:vAlign w:val="center"/>
          </w:tcPr>
          <w:p>
            <w:pPr>
              <w:spacing w:line="240" w:lineRule="exact"/>
              <w:rPr>
                <w:rFonts w:hint="eastAsia" w:ascii="仿宋_GB2312" w:hAnsi="Times New Roman" w:eastAsia="仿宋_GB2312"/>
                <w:sz w:val="18"/>
                <w:szCs w:val="18"/>
              </w:rPr>
            </w:pPr>
          </w:p>
        </w:tc>
        <w:tc>
          <w:tcPr>
            <w:tcW w:w="2538"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3.处罚依据；</w:t>
            </w:r>
          </w:p>
          <w:p>
            <w:pPr>
              <w:spacing w:line="240" w:lineRule="exact"/>
              <w:rPr>
                <w:rFonts w:hint="eastAsia" w:ascii="仿宋_GB2312" w:hAnsi="Times New Roman" w:eastAsia="仿宋"/>
                <w:sz w:val="18"/>
                <w:szCs w:val="18"/>
              </w:rPr>
            </w:pPr>
            <w:r>
              <w:rPr>
                <w:rFonts w:hint="eastAsia" w:ascii="仿宋_GB2312" w:hAnsi="Times New Roman" w:eastAsia="仿宋_GB2312"/>
                <w:sz w:val="18"/>
                <w:szCs w:val="18"/>
              </w:rPr>
              <w:t>4.处罚结果。</w:t>
            </w:r>
          </w:p>
        </w:tc>
        <w:tc>
          <w:tcPr>
            <w:tcW w:w="2337"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586" w:type="dxa"/>
            <w:vAlign w:val="center"/>
          </w:tcPr>
          <w:p>
            <w:pPr>
              <w:spacing w:line="240" w:lineRule="exact"/>
              <w:rPr>
                <w:rFonts w:hint="eastAsia" w:ascii="仿宋_GB2312" w:hAnsi="Times New Roman" w:eastAsia="仿宋_GB2312"/>
                <w:sz w:val="15"/>
                <w:szCs w:val="15"/>
              </w:rPr>
            </w:pPr>
            <w:r>
              <w:rPr>
                <w:rFonts w:hint="eastAsia" w:ascii="仿宋_GB2312" w:hAnsi="Times New Roman" w:eastAsia="仿宋_GB2312"/>
                <w:sz w:val="15"/>
                <w:szCs w:val="15"/>
              </w:rPr>
              <w:t>执法决定信息在决定作出之日起7个工作日内公开，其他相关信息形成或变更之日起20个工作日内公开</w:t>
            </w:r>
          </w:p>
        </w:tc>
        <w:tc>
          <w:tcPr>
            <w:tcW w:w="628"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893"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429"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28"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45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89"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45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51"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20</w:t>
            </w:r>
          </w:p>
        </w:tc>
        <w:tc>
          <w:tcPr>
            <w:tcW w:w="709" w:type="dxa"/>
            <w:vMerge w:val="continue"/>
            <w:vAlign w:val="center"/>
          </w:tcPr>
          <w:p>
            <w:pPr>
              <w:spacing w:line="240" w:lineRule="exact"/>
              <w:rPr>
                <w:rFonts w:hint="eastAsia" w:ascii="仿宋_GB2312" w:hAnsi="Times New Roman" w:eastAsia="仿宋_GB2312"/>
                <w:sz w:val="18"/>
                <w:szCs w:val="18"/>
              </w:rPr>
            </w:pPr>
          </w:p>
        </w:tc>
        <w:tc>
          <w:tcPr>
            <w:tcW w:w="1487"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对擅自迁移、拆除不可移动文物的行为进行处罚</w:t>
            </w:r>
          </w:p>
        </w:tc>
        <w:tc>
          <w:tcPr>
            <w:tcW w:w="1450" w:type="dxa"/>
            <w:vAlign w:val="center"/>
          </w:tcPr>
          <w:p>
            <w:pPr>
              <w:spacing w:line="240" w:lineRule="exact"/>
              <w:rPr>
                <w:rFonts w:hint="eastAsia" w:ascii="仿宋_GB2312" w:hAnsi="Times New Roman" w:eastAsia="仿宋_GB2312"/>
                <w:sz w:val="18"/>
                <w:szCs w:val="18"/>
              </w:rPr>
            </w:pPr>
          </w:p>
        </w:tc>
        <w:tc>
          <w:tcPr>
            <w:tcW w:w="2538"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3.处罚依据；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4.处罚结果。</w:t>
            </w:r>
          </w:p>
        </w:tc>
        <w:tc>
          <w:tcPr>
            <w:tcW w:w="2337"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586" w:type="dxa"/>
            <w:vAlign w:val="center"/>
          </w:tcPr>
          <w:p>
            <w:pPr>
              <w:spacing w:line="240" w:lineRule="exact"/>
              <w:rPr>
                <w:rFonts w:hint="eastAsia" w:ascii="仿宋_GB2312" w:hAnsi="Times New Roman" w:eastAsia="仿宋_GB2312"/>
                <w:sz w:val="15"/>
                <w:szCs w:val="15"/>
              </w:rPr>
            </w:pPr>
            <w:r>
              <w:rPr>
                <w:rFonts w:hint="eastAsia" w:ascii="仿宋_GB2312" w:hAnsi="Times New Roman" w:eastAsia="仿宋_GB2312"/>
                <w:sz w:val="15"/>
                <w:szCs w:val="15"/>
              </w:rPr>
              <w:t>执法决定信息在决定作出之日起7个工作日内公开，其他相关信息形成或变更之日起20个工作日内公开</w:t>
            </w:r>
          </w:p>
        </w:tc>
        <w:tc>
          <w:tcPr>
            <w:tcW w:w="628"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893"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429"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28"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45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89"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45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51"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21</w:t>
            </w:r>
          </w:p>
        </w:tc>
        <w:tc>
          <w:tcPr>
            <w:tcW w:w="709" w:type="dxa"/>
            <w:vMerge w:val="restart"/>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487"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对擅自修缮不可移动文物，明显改变文物原状的行为进行处罚</w:t>
            </w:r>
          </w:p>
        </w:tc>
        <w:tc>
          <w:tcPr>
            <w:tcW w:w="1450" w:type="dxa"/>
            <w:vAlign w:val="center"/>
          </w:tcPr>
          <w:p>
            <w:pPr>
              <w:spacing w:line="240" w:lineRule="exact"/>
              <w:rPr>
                <w:rFonts w:hint="eastAsia" w:ascii="仿宋_GB2312" w:hAnsi="Times New Roman" w:eastAsia="仿宋_GB2312"/>
                <w:sz w:val="18"/>
                <w:szCs w:val="18"/>
              </w:rPr>
            </w:pPr>
          </w:p>
        </w:tc>
        <w:tc>
          <w:tcPr>
            <w:tcW w:w="2538"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3.处罚依据；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4.处罚结果。</w:t>
            </w:r>
          </w:p>
        </w:tc>
        <w:tc>
          <w:tcPr>
            <w:tcW w:w="2337"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58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5"/>
                <w:szCs w:val="15"/>
              </w:rPr>
              <w:t>执法决定信息在决定作出之日起7个工作日内公开，其他相关信息形成或变更之日起20个工作日内公开</w:t>
            </w:r>
          </w:p>
        </w:tc>
        <w:tc>
          <w:tcPr>
            <w:tcW w:w="628"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893"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429"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28"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45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89"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45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51"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22</w:t>
            </w:r>
          </w:p>
        </w:tc>
        <w:tc>
          <w:tcPr>
            <w:tcW w:w="709" w:type="dxa"/>
            <w:vMerge w:val="continue"/>
            <w:vAlign w:val="center"/>
          </w:tcPr>
          <w:p>
            <w:pPr>
              <w:spacing w:line="240" w:lineRule="exact"/>
              <w:rPr>
                <w:rFonts w:hint="eastAsia" w:ascii="仿宋_GB2312" w:hAnsi="Times New Roman" w:eastAsia="仿宋_GB2312"/>
                <w:sz w:val="18"/>
                <w:szCs w:val="18"/>
              </w:rPr>
            </w:pPr>
          </w:p>
        </w:tc>
        <w:tc>
          <w:tcPr>
            <w:tcW w:w="1487"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对擅自在原址重建已全部毁坏的不可移动文物，造成文物破坏的行为进行处罚</w:t>
            </w:r>
          </w:p>
        </w:tc>
        <w:tc>
          <w:tcPr>
            <w:tcW w:w="1450" w:type="dxa"/>
            <w:vAlign w:val="center"/>
          </w:tcPr>
          <w:p>
            <w:pPr>
              <w:spacing w:line="240" w:lineRule="exact"/>
              <w:rPr>
                <w:rFonts w:hint="eastAsia" w:ascii="仿宋_GB2312" w:hAnsi="Times New Roman" w:eastAsia="仿宋_GB2312"/>
                <w:sz w:val="18"/>
                <w:szCs w:val="18"/>
              </w:rPr>
            </w:pPr>
          </w:p>
        </w:tc>
        <w:tc>
          <w:tcPr>
            <w:tcW w:w="2538"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3.处罚依据；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4.处罚结果。</w:t>
            </w:r>
          </w:p>
        </w:tc>
        <w:tc>
          <w:tcPr>
            <w:tcW w:w="2337"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58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628"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893"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429"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28"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45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89"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45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51"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23</w:t>
            </w:r>
          </w:p>
        </w:tc>
        <w:tc>
          <w:tcPr>
            <w:tcW w:w="709" w:type="dxa"/>
            <w:vMerge w:val="continue"/>
            <w:vAlign w:val="center"/>
          </w:tcPr>
          <w:p>
            <w:pPr>
              <w:spacing w:line="240" w:lineRule="exact"/>
              <w:rPr>
                <w:rFonts w:hint="eastAsia" w:ascii="仿宋_GB2312" w:hAnsi="Times New Roman" w:eastAsia="仿宋_GB2312"/>
                <w:sz w:val="18"/>
                <w:szCs w:val="18"/>
              </w:rPr>
            </w:pPr>
          </w:p>
        </w:tc>
        <w:tc>
          <w:tcPr>
            <w:tcW w:w="1487"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对施工单位未取得文物保护工程资质证书，擅自从事文物修缮、迁移、重建的行为进行处罚</w:t>
            </w:r>
          </w:p>
        </w:tc>
        <w:tc>
          <w:tcPr>
            <w:tcW w:w="1450" w:type="dxa"/>
            <w:vAlign w:val="center"/>
          </w:tcPr>
          <w:p>
            <w:pPr>
              <w:spacing w:line="240" w:lineRule="exact"/>
              <w:rPr>
                <w:rFonts w:hint="eastAsia" w:ascii="仿宋_GB2312" w:hAnsi="Times New Roman" w:eastAsia="仿宋_GB2312"/>
                <w:sz w:val="18"/>
                <w:szCs w:val="18"/>
              </w:rPr>
            </w:pPr>
          </w:p>
        </w:tc>
        <w:tc>
          <w:tcPr>
            <w:tcW w:w="2538"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3.处罚依据；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4.处罚结果。</w:t>
            </w:r>
          </w:p>
        </w:tc>
        <w:tc>
          <w:tcPr>
            <w:tcW w:w="2337"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58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628"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893"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429"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28"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45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89"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45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51"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24</w:t>
            </w:r>
          </w:p>
        </w:tc>
        <w:tc>
          <w:tcPr>
            <w:tcW w:w="709" w:type="dxa"/>
            <w:vMerge w:val="restart"/>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487"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对转让或者抵押国有不可移动文物的行为进行处罚</w:t>
            </w:r>
          </w:p>
        </w:tc>
        <w:tc>
          <w:tcPr>
            <w:tcW w:w="1450" w:type="dxa"/>
            <w:vAlign w:val="center"/>
          </w:tcPr>
          <w:p>
            <w:pPr>
              <w:spacing w:line="240" w:lineRule="exact"/>
              <w:rPr>
                <w:rFonts w:hint="eastAsia" w:ascii="仿宋_GB2312" w:hAnsi="Times New Roman" w:eastAsia="仿宋_GB2312"/>
                <w:sz w:val="18"/>
                <w:szCs w:val="18"/>
              </w:rPr>
            </w:pPr>
          </w:p>
        </w:tc>
        <w:tc>
          <w:tcPr>
            <w:tcW w:w="2538"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3.处罚依据；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4.处罚结果。</w:t>
            </w:r>
          </w:p>
        </w:tc>
        <w:tc>
          <w:tcPr>
            <w:tcW w:w="2337"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586" w:type="dxa"/>
            <w:vAlign w:val="center"/>
          </w:tcPr>
          <w:p>
            <w:pPr>
              <w:spacing w:line="240" w:lineRule="exact"/>
              <w:rPr>
                <w:rFonts w:hint="eastAsia" w:ascii="仿宋_GB2312" w:hAnsi="Times New Roman" w:eastAsia="仿宋_GB2312"/>
                <w:sz w:val="15"/>
                <w:szCs w:val="15"/>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628"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893"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429"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28"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45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89"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45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51"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25</w:t>
            </w:r>
          </w:p>
        </w:tc>
        <w:tc>
          <w:tcPr>
            <w:tcW w:w="709" w:type="dxa"/>
            <w:vMerge w:val="continue"/>
            <w:vAlign w:val="center"/>
          </w:tcPr>
          <w:p>
            <w:pPr>
              <w:spacing w:line="240" w:lineRule="exact"/>
              <w:rPr>
                <w:rFonts w:hint="eastAsia" w:ascii="仿宋_GB2312" w:hAnsi="Times New Roman" w:eastAsia="仿宋_GB2312"/>
                <w:sz w:val="18"/>
                <w:szCs w:val="18"/>
              </w:rPr>
            </w:pPr>
          </w:p>
        </w:tc>
        <w:tc>
          <w:tcPr>
            <w:tcW w:w="1487"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对将国有不可移动文物作为企业资产经营的行为进行处罚</w:t>
            </w:r>
          </w:p>
        </w:tc>
        <w:tc>
          <w:tcPr>
            <w:tcW w:w="1450" w:type="dxa"/>
            <w:vAlign w:val="center"/>
          </w:tcPr>
          <w:p>
            <w:pPr>
              <w:spacing w:line="240" w:lineRule="exact"/>
              <w:rPr>
                <w:rFonts w:hint="eastAsia" w:ascii="仿宋_GB2312" w:hAnsi="Times New Roman" w:eastAsia="仿宋_GB2312"/>
                <w:sz w:val="18"/>
                <w:szCs w:val="18"/>
              </w:rPr>
            </w:pPr>
          </w:p>
        </w:tc>
        <w:tc>
          <w:tcPr>
            <w:tcW w:w="2538"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3.处罚依据；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4.处罚结果。</w:t>
            </w:r>
          </w:p>
        </w:tc>
        <w:tc>
          <w:tcPr>
            <w:tcW w:w="2337"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58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628"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893"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429" w:type="dxa"/>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28" w:type="dxa"/>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450" w:type="dxa"/>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89" w:type="dxa"/>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454" w:type="dxa"/>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51" w:type="dxa"/>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40" w:type="dxa"/>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26</w:t>
            </w:r>
          </w:p>
        </w:tc>
        <w:tc>
          <w:tcPr>
            <w:tcW w:w="709" w:type="dxa"/>
            <w:vMerge w:val="continue"/>
            <w:vAlign w:val="center"/>
          </w:tcPr>
          <w:p>
            <w:pPr>
              <w:spacing w:line="240" w:lineRule="exact"/>
              <w:rPr>
                <w:rFonts w:hint="eastAsia" w:ascii="仿宋_GB2312" w:hAnsi="Times New Roman" w:eastAsia="仿宋_GB2312"/>
                <w:sz w:val="18"/>
                <w:szCs w:val="18"/>
              </w:rPr>
            </w:pPr>
          </w:p>
        </w:tc>
        <w:tc>
          <w:tcPr>
            <w:tcW w:w="1487"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对将非国有不可移动文物转让或者抵押给外国人的行为进行处罚</w:t>
            </w:r>
          </w:p>
        </w:tc>
        <w:tc>
          <w:tcPr>
            <w:tcW w:w="1450" w:type="dxa"/>
            <w:vAlign w:val="center"/>
          </w:tcPr>
          <w:p>
            <w:pPr>
              <w:spacing w:line="240" w:lineRule="exact"/>
              <w:rPr>
                <w:rFonts w:hint="eastAsia" w:ascii="仿宋_GB2312" w:hAnsi="Times New Roman" w:eastAsia="仿宋_GB2312"/>
                <w:sz w:val="18"/>
                <w:szCs w:val="18"/>
              </w:rPr>
            </w:pPr>
          </w:p>
        </w:tc>
        <w:tc>
          <w:tcPr>
            <w:tcW w:w="2538"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3.处罚依据；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4.处罚结果。</w:t>
            </w:r>
          </w:p>
        </w:tc>
        <w:tc>
          <w:tcPr>
            <w:tcW w:w="2337"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58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628"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893"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429" w:type="dxa"/>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28" w:type="dxa"/>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450" w:type="dxa"/>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89" w:type="dxa"/>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454" w:type="dxa"/>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51" w:type="dxa"/>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40" w:type="dxa"/>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27</w:t>
            </w:r>
          </w:p>
        </w:tc>
        <w:tc>
          <w:tcPr>
            <w:tcW w:w="709" w:type="dxa"/>
            <w:vMerge w:val="restart"/>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487"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对擅自改变国有文物保护单位用途的行为进行处罚</w:t>
            </w:r>
          </w:p>
        </w:tc>
        <w:tc>
          <w:tcPr>
            <w:tcW w:w="1450" w:type="dxa"/>
            <w:vAlign w:val="center"/>
          </w:tcPr>
          <w:p>
            <w:pPr>
              <w:spacing w:line="240" w:lineRule="exact"/>
              <w:rPr>
                <w:rFonts w:hint="eastAsia" w:ascii="仿宋_GB2312" w:hAnsi="Times New Roman" w:eastAsia="仿宋_GB2312"/>
                <w:sz w:val="18"/>
                <w:szCs w:val="18"/>
              </w:rPr>
            </w:pPr>
          </w:p>
        </w:tc>
        <w:tc>
          <w:tcPr>
            <w:tcW w:w="2538"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3.处罚依据；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4.处罚结果。</w:t>
            </w:r>
          </w:p>
        </w:tc>
        <w:tc>
          <w:tcPr>
            <w:tcW w:w="2337"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58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628"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893"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429" w:type="dxa"/>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28" w:type="dxa"/>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450" w:type="dxa"/>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89" w:type="dxa"/>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454" w:type="dxa"/>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51" w:type="dxa"/>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40" w:type="dxa"/>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28</w:t>
            </w:r>
          </w:p>
        </w:tc>
        <w:tc>
          <w:tcPr>
            <w:tcW w:w="709" w:type="dxa"/>
            <w:vMerge w:val="continue"/>
            <w:vAlign w:val="center"/>
          </w:tcPr>
          <w:p>
            <w:pPr>
              <w:spacing w:line="240" w:lineRule="exact"/>
              <w:rPr>
                <w:rFonts w:hint="eastAsia" w:ascii="仿宋_GB2312" w:hAnsi="Times New Roman" w:eastAsia="仿宋_GB2312"/>
                <w:sz w:val="18"/>
                <w:szCs w:val="18"/>
              </w:rPr>
            </w:pPr>
          </w:p>
        </w:tc>
        <w:tc>
          <w:tcPr>
            <w:tcW w:w="1487"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对文物收藏单位未按照国家有关规定配备防火、防盗、防自然损坏的设施的行为进行处罚</w:t>
            </w:r>
          </w:p>
        </w:tc>
        <w:tc>
          <w:tcPr>
            <w:tcW w:w="1450" w:type="dxa"/>
            <w:vAlign w:val="center"/>
          </w:tcPr>
          <w:p>
            <w:pPr>
              <w:spacing w:line="240" w:lineRule="exact"/>
              <w:rPr>
                <w:rFonts w:hint="eastAsia" w:ascii="仿宋_GB2312" w:hAnsi="Times New Roman" w:eastAsia="仿宋_GB2312"/>
                <w:sz w:val="18"/>
                <w:szCs w:val="18"/>
              </w:rPr>
            </w:pPr>
          </w:p>
        </w:tc>
        <w:tc>
          <w:tcPr>
            <w:tcW w:w="2538"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3.处罚依据；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4.处罚结果。</w:t>
            </w:r>
          </w:p>
        </w:tc>
        <w:tc>
          <w:tcPr>
            <w:tcW w:w="2337"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586" w:type="dxa"/>
            <w:vAlign w:val="center"/>
          </w:tcPr>
          <w:p>
            <w:pPr>
              <w:spacing w:line="240" w:lineRule="exact"/>
              <w:rPr>
                <w:rFonts w:hint="eastAsia" w:ascii="仿宋_GB2312" w:hAnsi="Times New Roman" w:eastAsia="仿宋_GB2312"/>
                <w:sz w:val="15"/>
                <w:szCs w:val="15"/>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628"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893"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429" w:type="dxa"/>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28" w:type="dxa"/>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450" w:type="dxa"/>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89" w:type="dxa"/>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454" w:type="dxa"/>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51" w:type="dxa"/>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40" w:type="dxa"/>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29</w:t>
            </w:r>
          </w:p>
        </w:tc>
        <w:tc>
          <w:tcPr>
            <w:tcW w:w="709" w:type="dxa"/>
            <w:vMerge w:val="restart"/>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487"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对国有文物收藏单位法定代表人离任时未按照馆藏文物档案移交馆藏文物，或者所移交的馆藏文物与馆藏文物档案不符的行为进行处罚</w:t>
            </w:r>
          </w:p>
        </w:tc>
        <w:tc>
          <w:tcPr>
            <w:tcW w:w="1450" w:type="dxa"/>
            <w:vAlign w:val="center"/>
          </w:tcPr>
          <w:p>
            <w:pPr>
              <w:spacing w:line="240" w:lineRule="exact"/>
              <w:rPr>
                <w:rFonts w:hint="eastAsia" w:ascii="仿宋_GB2312" w:hAnsi="Times New Roman" w:eastAsia="仿宋_GB2312"/>
                <w:sz w:val="18"/>
                <w:szCs w:val="18"/>
              </w:rPr>
            </w:pPr>
          </w:p>
        </w:tc>
        <w:tc>
          <w:tcPr>
            <w:tcW w:w="2538"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3.处罚依据；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4.处罚结果。</w:t>
            </w:r>
          </w:p>
        </w:tc>
        <w:tc>
          <w:tcPr>
            <w:tcW w:w="2337"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58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628"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893"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429" w:type="dxa"/>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28" w:type="dxa"/>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450" w:type="dxa"/>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89" w:type="dxa"/>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454" w:type="dxa"/>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51" w:type="dxa"/>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40" w:type="dxa"/>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30</w:t>
            </w:r>
          </w:p>
        </w:tc>
        <w:tc>
          <w:tcPr>
            <w:tcW w:w="709" w:type="dxa"/>
            <w:vMerge w:val="continue"/>
            <w:vAlign w:val="center"/>
          </w:tcPr>
          <w:p>
            <w:pPr>
              <w:spacing w:line="240" w:lineRule="exact"/>
              <w:rPr>
                <w:rFonts w:hint="eastAsia" w:ascii="仿宋_GB2312" w:hAnsi="Times New Roman" w:eastAsia="仿宋_GB2312"/>
                <w:sz w:val="18"/>
                <w:szCs w:val="18"/>
              </w:rPr>
            </w:pPr>
          </w:p>
        </w:tc>
        <w:tc>
          <w:tcPr>
            <w:tcW w:w="1487"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对将国有馆藏文物赠与、出租或者出售给其他单位、个人的行为进行处罚</w:t>
            </w:r>
          </w:p>
        </w:tc>
        <w:tc>
          <w:tcPr>
            <w:tcW w:w="1450" w:type="dxa"/>
            <w:vAlign w:val="center"/>
          </w:tcPr>
          <w:p>
            <w:pPr>
              <w:spacing w:line="240" w:lineRule="exact"/>
              <w:rPr>
                <w:rFonts w:hint="eastAsia" w:ascii="仿宋_GB2312" w:hAnsi="Times New Roman" w:eastAsia="仿宋_GB2312"/>
                <w:sz w:val="18"/>
                <w:szCs w:val="18"/>
              </w:rPr>
            </w:pPr>
          </w:p>
        </w:tc>
        <w:tc>
          <w:tcPr>
            <w:tcW w:w="2538"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3.处罚依据；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4.处罚结果。</w:t>
            </w:r>
          </w:p>
        </w:tc>
        <w:tc>
          <w:tcPr>
            <w:tcW w:w="2337"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58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628"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893"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429" w:type="dxa"/>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28" w:type="dxa"/>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450" w:type="dxa"/>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89" w:type="dxa"/>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454" w:type="dxa"/>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51" w:type="dxa"/>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40" w:type="dxa"/>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31</w:t>
            </w:r>
          </w:p>
        </w:tc>
        <w:tc>
          <w:tcPr>
            <w:tcW w:w="709" w:type="dxa"/>
            <w:vMerge w:val="restart"/>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487"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对违法借用、交换、处置国有馆藏文物的行为进行处罚</w:t>
            </w:r>
          </w:p>
        </w:tc>
        <w:tc>
          <w:tcPr>
            <w:tcW w:w="1450" w:type="dxa"/>
            <w:vAlign w:val="center"/>
          </w:tcPr>
          <w:p>
            <w:pPr>
              <w:spacing w:line="240" w:lineRule="exact"/>
              <w:rPr>
                <w:rFonts w:hint="eastAsia" w:ascii="仿宋_GB2312" w:hAnsi="Times New Roman" w:eastAsia="仿宋_GB2312"/>
                <w:sz w:val="18"/>
                <w:szCs w:val="18"/>
              </w:rPr>
            </w:pPr>
          </w:p>
        </w:tc>
        <w:tc>
          <w:tcPr>
            <w:tcW w:w="2538"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3.处罚依据；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4.处罚结果。</w:t>
            </w:r>
          </w:p>
        </w:tc>
        <w:tc>
          <w:tcPr>
            <w:tcW w:w="2337"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58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628"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893"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429" w:type="dxa"/>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28" w:type="dxa"/>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450" w:type="dxa"/>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89" w:type="dxa"/>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454" w:type="dxa"/>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51" w:type="dxa"/>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40" w:type="dxa"/>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32</w:t>
            </w:r>
          </w:p>
        </w:tc>
        <w:tc>
          <w:tcPr>
            <w:tcW w:w="709" w:type="dxa"/>
            <w:vMerge w:val="continue"/>
            <w:vAlign w:val="center"/>
          </w:tcPr>
          <w:p>
            <w:pPr>
              <w:spacing w:line="240" w:lineRule="exact"/>
              <w:rPr>
                <w:rFonts w:hint="eastAsia" w:ascii="仿宋_GB2312" w:hAnsi="Times New Roman" w:eastAsia="仿宋_GB2312"/>
                <w:sz w:val="18"/>
                <w:szCs w:val="18"/>
              </w:rPr>
            </w:pPr>
          </w:p>
        </w:tc>
        <w:tc>
          <w:tcPr>
            <w:tcW w:w="1487"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对违法挪用或者侵占依法调拨、交换、出借文物所得补偿费用的行为进行处罚</w:t>
            </w:r>
          </w:p>
        </w:tc>
        <w:tc>
          <w:tcPr>
            <w:tcW w:w="1450" w:type="dxa"/>
            <w:vAlign w:val="center"/>
          </w:tcPr>
          <w:p>
            <w:pPr>
              <w:spacing w:line="240" w:lineRule="exact"/>
              <w:rPr>
                <w:rFonts w:hint="eastAsia" w:ascii="仿宋_GB2312" w:hAnsi="Times New Roman" w:eastAsia="仿宋_GB2312"/>
                <w:sz w:val="18"/>
                <w:szCs w:val="18"/>
              </w:rPr>
            </w:pPr>
          </w:p>
        </w:tc>
        <w:tc>
          <w:tcPr>
            <w:tcW w:w="2538"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3.处罚依据；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4.处罚结果。</w:t>
            </w:r>
          </w:p>
        </w:tc>
        <w:tc>
          <w:tcPr>
            <w:tcW w:w="2337"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58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628"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893"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429" w:type="dxa"/>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28" w:type="dxa"/>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450" w:type="dxa"/>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89" w:type="dxa"/>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454" w:type="dxa"/>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51" w:type="dxa"/>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40" w:type="dxa"/>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33</w:t>
            </w:r>
          </w:p>
        </w:tc>
        <w:tc>
          <w:tcPr>
            <w:tcW w:w="709" w:type="dxa"/>
            <w:vMerge w:val="continue"/>
            <w:vAlign w:val="center"/>
          </w:tcPr>
          <w:p>
            <w:pPr>
              <w:spacing w:line="240" w:lineRule="exact"/>
              <w:rPr>
                <w:rFonts w:hint="eastAsia" w:ascii="仿宋_GB2312" w:hAnsi="Times New Roman" w:eastAsia="仿宋_GB2312"/>
                <w:sz w:val="18"/>
                <w:szCs w:val="18"/>
              </w:rPr>
            </w:pPr>
          </w:p>
        </w:tc>
        <w:tc>
          <w:tcPr>
            <w:tcW w:w="1487"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对发现文物隐匿不报，或者拒不上交的行为进行处罚</w:t>
            </w:r>
          </w:p>
        </w:tc>
        <w:tc>
          <w:tcPr>
            <w:tcW w:w="1450" w:type="dxa"/>
            <w:vAlign w:val="center"/>
          </w:tcPr>
          <w:p>
            <w:pPr>
              <w:spacing w:line="240" w:lineRule="exact"/>
              <w:rPr>
                <w:rFonts w:hint="eastAsia" w:ascii="仿宋_GB2312" w:hAnsi="Times New Roman" w:eastAsia="仿宋_GB2312"/>
                <w:sz w:val="18"/>
                <w:szCs w:val="18"/>
              </w:rPr>
            </w:pPr>
          </w:p>
        </w:tc>
        <w:tc>
          <w:tcPr>
            <w:tcW w:w="2538"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3.处罚依据；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4.处罚结果。</w:t>
            </w:r>
          </w:p>
        </w:tc>
        <w:tc>
          <w:tcPr>
            <w:tcW w:w="2337"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58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628"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893"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429" w:type="dxa"/>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28" w:type="dxa"/>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450" w:type="dxa"/>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89" w:type="dxa"/>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454" w:type="dxa"/>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51" w:type="dxa"/>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40" w:type="dxa"/>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34</w:t>
            </w:r>
          </w:p>
        </w:tc>
        <w:tc>
          <w:tcPr>
            <w:tcW w:w="709" w:type="dxa"/>
            <w:vMerge w:val="restar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487"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对未按照规定移交拣选文物的行为进行处罚</w:t>
            </w:r>
          </w:p>
        </w:tc>
        <w:tc>
          <w:tcPr>
            <w:tcW w:w="1450" w:type="dxa"/>
            <w:vAlign w:val="center"/>
          </w:tcPr>
          <w:p>
            <w:pPr>
              <w:spacing w:line="240" w:lineRule="exact"/>
              <w:rPr>
                <w:rFonts w:hint="eastAsia" w:ascii="仿宋_GB2312" w:hAnsi="Times New Roman" w:eastAsia="仿宋_GB2312"/>
                <w:sz w:val="18"/>
                <w:szCs w:val="18"/>
              </w:rPr>
            </w:pPr>
          </w:p>
        </w:tc>
        <w:tc>
          <w:tcPr>
            <w:tcW w:w="2538"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3.处罚依据；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4.处罚结果。</w:t>
            </w:r>
          </w:p>
        </w:tc>
        <w:tc>
          <w:tcPr>
            <w:tcW w:w="2337"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58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628"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文物行政部门</w:t>
            </w:r>
          </w:p>
        </w:tc>
        <w:tc>
          <w:tcPr>
            <w:tcW w:w="893"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w:t>
            </w:r>
          </w:p>
        </w:tc>
        <w:tc>
          <w:tcPr>
            <w:tcW w:w="42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428"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45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48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45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51"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4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35</w:t>
            </w:r>
          </w:p>
        </w:tc>
        <w:tc>
          <w:tcPr>
            <w:tcW w:w="709" w:type="dxa"/>
            <w:vMerge w:val="continue"/>
            <w:vAlign w:val="center"/>
          </w:tcPr>
          <w:p>
            <w:pPr>
              <w:spacing w:line="240" w:lineRule="exact"/>
              <w:rPr>
                <w:rFonts w:ascii="仿宋_GB2312" w:hAnsi="Times New Roman" w:eastAsia="仿宋_GB2312"/>
                <w:sz w:val="18"/>
                <w:szCs w:val="18"/>
              </w:rPr>
            </w:pPr>
          </w:p>
        </w:tc>
        <w:tc>
          <w:tcPr>
            <w:tcW w:w="1487"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对未取得相应等级的文物保护工程资质证书，擅自承担文物保护单位的修缮、迁移、重建工程逾期不改正，或者造成严重后果的行为进行处罚</w:t>
            </w:r>
          </w:p>
        </w:tc>
        <w:tc>
          <w:tcPr>
            <w:tcW w:w="1450" w:type="dxa"/>
            <w:vAlign w:val="center"/>
          </w:tcPr>
          <w:p>
            <w:pPr>
              <w:spacing w:line="240" w:lineRule="exact"/>
              <w:rPr>
                <w:rFonts w:hint="eastAsia" w:ascii="仿宋_GB2312" w:hAnsi="Times New Roman" w:eastAsia="仿宋_GB2312"/>
                <w:sz w:val="18"/>
                <w:szCs w:val="18"/>
              </w:rPr>
            </w:pPr>
          </w:p>
        </w:tc>
        <w:tc>
          <w:tcPr>
            <w:tcW w:w="2538"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3.处罚依据；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4.处罚结果。</w:t>
            </w:r>
          </w:p>
        </w:tc>
        <w:tc>
          <w:tcPr>
            <w:tcW w:w="2337"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586" w:type="dxa"/>
          </w:tcPr>
          <w:p>
            <w:pPr>
              <w:spacing w:line="240" w:lineRule="exact"/>
              <w:rPr>
                <w:rFonts w:ascii="仿宋_GB2312" w:hAnsi="Times New Roman" w:eastAsia="仿宋_GB2312"/>
                <w:sz w:val="15"/>
                <w:szCs w:val="15"/>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628"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文物行政部门</w:t>
            </w:r>
          </w:p>
        </w:tc>
        <w:tc>
          <w:tcPr>
            <w:tcW w:w="893"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w:t>
            </w:r>
          </w:p>
        </w:tc>
        <w:tc>
          <w:tcPr>
            <w:tcW w:w="42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428"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45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48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45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51"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4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36</w:t>
            </w:r>
          </w:p>
        </w:tc>
        <w:tc>
          <w:tcPr>
            <w:tcW w:w="709" w:type="dxa"/>
            <w:vMerge w:val="restar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487"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对未取得资质证书，擅自从事馆藏文物的修复、复制、拓印活动的行为进行处罚</w:t>
            </w:r>
          </w:p>
        </w:tc>
        <w:tc>
          <w:tcPr>
            <w:tcW w:w="1450" w:type="dxa"/>
            <w:vAlign w:val="center"/>
          </w:tcPr>
          <w:p>
            <w:pPr>
              <w:spacing w:line="240" w:lineRule="exact"/>
              <w:rPr>
                <w:rFonts w:hint="eastAsia" w:ascii="仿宋_GB2312" w:hAnsi="Times New Roman" w:eastAsia="仿宋_GB2312"/>
                <w:sz w:val="18"/>
                <w:szCs w:val="18"/>
              </w:rPr>
            </w:pPr>
          </w:p>
        </w:tc>
        <w:tc>
          <w:tcPr>
            <w:tcW w:w="2538"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3.处罚依据；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4.处罚结果。</w:t>
            </w:r>
          </w:p>
        </w:tc>
        <w:tc>
          <w:tcPr>
            <w:tcW w:w="2337"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586" w:type="dxa"/>
            <w:vAlign w:val="center"/>
          </w:tcPr>
          <w:p>
            <w:pPr>
              <w:spacing w:line="240" w:lineRule="exact"/>
              <w:rPr>
                <w:rFonts w:ascii="仿宋_GB2312" w:hAnsi="Times New Roman" w:eastAsia="仿宋_GB2312"/>
                <w:sz w:val="15"/>
                <w:szCs w:val="15"/>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628"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文物行政部门</w:t>
            </w:r>
          </w:p>
        </w:tc>
        <w:tc>
          <w:tcPr>
            <w:tcW w:w="893"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w:t>
            </w:r>
          </w:p>
        </w:tc>
        <w:tc>
          <w:tcPr>
            <w:tcW w:w="42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428"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45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48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45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51"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4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37</w:t>
            </w:r>
          </w:p>
        </w:tc>
        <w:tc>
          <w:tcPr>
            <w:tcW w:w="709" w:type="dxa"/>
            <w:vMerge w:val="continue"/>
            <w:vAlign w:val="center"/>
          </w:tcPr>
          <w:p>
            <w:pPr>
              <w:spacing w:line="240" w:lineRule="exact"/>
              <w:rPr>
                <w:rFonts w:ascii="仿宋_GB2312" w:hAnsi="Times New Roman" w:eastAsia="仿宋_GB2312"/>
                <w:sz w:val="18"/>
                <w:szCs w:val="18"/>
              </w:rPr>
            </w:pPr>
          </w:p>
        </w:tc>
        <w:tc>
          <w:tcPr>
            <w:tcW w:w="1487"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对擅自修复、复制、拓印馆藏珍贵文物的行为进行处罚</w:t>
            </w:r>
          </w:p>
        </w:tc>
        <w:tc>
          <w:tcPr>
            <w:tcW w:w="1450" w:type="dxa"/>
            <w:vAlign w:val="center"/>
          </w:tcPr>
          <w:p>
            <w:pPr>
              <w:spacing w:line="240" w:lineRule="exact"/>
              <w:rPr>
                <w:rFonts w:hint="eastAsia" w:ascii="仿宋_GB2312" w:hAnsi="Times New Roman" w:eastAsia="仿宋_GB2312"/>
                <w:sz w:val="18"/>
                <w:szCs w:val="18"/>
              </w:rPr>
            </w:pPr>
          </w:p>
        </w:tc>
        <w:tc>
          <w:tcPr>
            <w:tcW w:w="2538"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3.处罚依据；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4.处罚结果。</w:t>
            </w:r>
          </w:p>
        </w:tc>
        <w:tc>
          <w:tcPr>
            <w:tcW w:w="2337"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586" w:type="dxa"/>
            <w:vAlign w:val="center"/>
          </w:tcPr>
          <w:p>
            <w:pPr>
              <w:spacing w:line="240" w:lineRule="exact"/>
              <w:rPr>
                <w:rFonts w:ascii="仿宋_GB2312" w:hAnsi="Times New Roman" w:eastAsia="仿宋_GB2312"/>
                <w:sz w:val="15"/>
                <w:szCs w:val="15"/>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628"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文物行政部门</w:t>
            </w:r>
          </w:p>
        </w:tc>
        <w:tc>
          <w:tcPr>
            <w:tcW w:w="893"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w:t>
            </w:r>
          </w:p>
        </w:tc>
        <w:tc>
          <w:tcPr>
            <w:tcW w:w="42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428"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45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48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45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51"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4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38</w:t>
            </w:r>
          </w:p>
        </w:tc>
        <w:tc>
          <w:tcPr>
            <w:tcW w:w="70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强制</w:t>
            </w:r>
          </w:p>
        </w:tc>
        <w:tc>
          <w:tcPr>
            <w:tcW w:w="1487"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对擅自从事互联网上网服务经营活动场所的查封，专用工具、设备的扣押</w:t>
            </w:r>
          </w:p>
        </w:tc>
        <w:tc>
          <w:tcPr>
            <w:tcW w:w="1450" w:type="dxa"/>
            <w:vAlign w:val="center"/>
          </w:tcPr>
          <w:p>
            <w:pPr>
              <w:spacing w:line="240" w:lineRule="exact"/>
              <w:rPr>
                <w:rFonts w:hint="eastAsia" w:ascii="仿宋_GB2312" w:hAnsi="Times New Roman" w:eastAsia="仿宋_GB2312"/>
                <w:sz w:val="18"/>
                <w:szCs w:val="18"/>
              </w:rPr>
            </w:pPr>
          </w:p>
        </w:tc>
        <w:tc>
          <w:tcPr>
            <w:tcW w:w="2538"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3.处罚依据；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4.处罚结果。</w:t>
            </w:r>
          </w:p>
        </w:tc>
        <w:tc>
          <w:tcPr>
            <w:tcW w:w="2337" w:type="dxa"/>
            <w:vAlign w:val="center"/>
          </w:tcPr>
          <w:p>
            <w:pPr>
              <w:spacing w:line="240" w:lineRule="exact"/>
              <w:rPr>
                <w:rFonts w:ascii="仿宋_GB2312" w:hAnsi="Times New Roman" w:eastAsia="仿宋_GB2312"/>
                <w:sz w:val="15"/>
                <w:szCs w:val="15"/>
              </w:rPr>
            </w:pPr>
            <w:r>
              <w:rPr>
                <w:rFonts w:hint="eastAsia" w:ascii="仿宋_GB2312" w:hAnsi="Times New Roman" w:eastAsia="仿宋_GB2312"/>
                <w:sz w:val="18"/>
                <w:szCs w:val="18"/>
              </w:rPr>
              <w:t>《政府信息公开条例》、《互联网上网服务营业场所管理条例》、《国务院关于促进市场公平竞争维护市场正常秩序的若干意见》、《国务院办公厅关于全面推行行政执法公示制度执法全过程记录制度重大执法决定法制审核制度的指导意见》</w:t>
            </w:r>
          </w:p>
        </w:tc>
        <w:tc>
          <w:tcPr>
            <w:tcW w:w="1586" w:type="dxa"/>
            <w:vAlign w:val="center"/>
          </w:tcPr>
          <w:p>
            <w:pPr>
              <w:spacing w:line="240" w:lineRule="exact"/>
              <w:rPr>
                <w:rFonts w:ascii="仿宋_GB2312" w:hAnsi="Times New Roman" w:eastAsia="仿宋_GB2312"/>
                <w:sz w:val="15"/>
                <w:szCs w:val="15"/>
              </w:rPr>
            </w:pPr>
            <w:r>
              <w:rPr>
                <w:rFonts w:hint="eastAsia" w:ascii="仿宋_GB2312" w:hAnsi="Times New Roman" w:eastAsia="仿宋_GB2312"/>
                <w:sz w:val="18"/>
                <w:szCs w:val="18"/>
              </w:rPr>
              <w:t>信息形成或变更之日起20个工作日内公开</w:t>
            </w:r>
          </w:p>
        </w:tc>
        <w:tc>
          <w:tcPr>
            <w:tcW w:w="628"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893"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42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428"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45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48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45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51"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4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39</w:t>
            </w:r>
          </w:p>
        </w:tc>
        <w:tc>
          <w:tcPr>
            <w:tcW w:w="709" w:type="dxa"/>
            <w:vMerge w:val="restar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1487"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公共文化机构免费开放信息</w:t>
            </w:r>
          </w:p>
        </w:tc>
        <w:tc>
          <w:tcPr>
            <w:tcW w:w="1450" w:type="dxa"/>
            <w:vAlign w:val="center"/>
          </w:tcPr>
          <w:p>
            <w:pPr>
              <w:spacing w:line="240" w:lineRule="exact"/>
              <w:rPr>
                <w:rFonts w:hint="eastAsia" w:ascii="仿宋_GB2312" w:hAnsi="Times New Roman" w:eastAsia="仿宋_GB2312"/>
                <w:sz w:val="18"/>
                <w:szCs w:val="18"/>
              </w:rPr>
            </w:pPr>
          </w:p>
        </w:tc>
        <w:tc>
          <w:tcPr>
            <w:tcW w:w="2538"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1.机构名称；</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2.开放时间；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3.机构地址；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5.临时停止开放信息。</w:t>
            </w:r>
          </w:p>
        </w:tc>
        <w:tc>
          <w:tcPr>
            <w:tcW w:w="2337"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《公共文化服务保障法》、《政府信息公开条例》、《文化部 财政部关于推进全国美术馆、公共图书馆、文化馆（站）免费开放工作的意见》、《文化部 财政部关于做好城市社区(街道)文化中心免费开放工作的通知》</w:t>
            </w:r>
          </w:p>
        </w:tc>
        <w:tc>
          <w:tcPr>
            <w:tcW w:w="158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628"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893"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w:t>
            </w:r>
          </w:p>
        </w:tc>
        <w:tc>
          <w:tcPr>
            <w:tcW w:w="42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428"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45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48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45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51"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4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40</w:t>
            </w:r>
          </w:p>
        </w:tc>
        <w:tc>
          <w:tcPr>
            <w:tcW w:w="709" w:type="dxa"/>
            <w:vMerge w:val="continue"/>
            <w:vAlign w:val="center"/>
          </w:tcPr>
          <w:p>
            <w:pPr>
              <w:spacing w:line="240" w:lineRule="exact"/>
              <w:rPr>
                <w:rFonts w:ascii="仿宋_GB2312" w:hAnsi="Times New Roman" w:eastAsia="仿宋_GB2312"/>
                <w:sz w:val="18"/>
                <w:szCs w:val="18"/>
              </w:rPr>
            </w:pPr>
          </w:p>
        </w:tc>
        <w:tc>
          <w:tcPr>
            <w:tcW w:w="1487"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特殊群体公共文化服务信息</w:t>
            </w:r>
          </w:p>
        </w:tc>
        <w:tc>
          <w:tcPr>
            <w:tcW w:w="1450" w:type="dxa"/>
            <w:vAlign w:val="center"/>
          </w:tcPr>
          <w:p>
            <w:pPr>
              <w:spacing w:line="240" w:lineRule="exact"/>
              <w:rPr>
                <w:rFonts w:hint="eastAsia" w:ascii="仿宋_GB2312" w:hAnsi="Times New Roman" w:eastAsia="仿宋_GB2312"/>
                <w:sz w:val="18"/>
                <w:szCs w:val="18"/>
              </w:rPr>
            </w:pPr>
          </w:p>
        </w:tc>
        <w:tc>
          <w:tcPr>
            <w:tcW w:w="2538"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1.机构名称；</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2.开放时间；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3.机构地址；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5.临时停止开放信息。</w:t>
            </w:r>
          </w:p>
        </w:tc>
        <w:tc>
          <w:tcPr>
            <w:tcW w:w="2337"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《残疾人保障法》、《政府信息公开条例》、《中共中央办公厅 国务院办公厅印发关于加快构建现代公共文化服务体系的意见》</w:t>
            </w:r>
          </w:p>
        </w:tc>
        <w:tc>
          <w:tcPr>
            <w:tcW w:w="158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628"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893"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w:t>
            </w:r>
          </w:p>
        </w:tc>
        <w:tc>
          <w:tcPr>
            <w:tcW w:w="42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428"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45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48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45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51"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4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41</w:t>
            </w:r>
          </w:p>
        </w:tc>
        <w:tc>
          <w:tcPr>
            <w:tcW w:w="709" w:type="dxa"/>
            <w:vMerge w:val="restart"/>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1487"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组织开展群众文化活动</w:t>
            </w:r>
          </w:p>
        </w:tc>
        <w:tc>
          <w:tcPr>
            <w:tcW w:w="1450" w:type="dxa"/>
            <w:vAlign w:val="center"/>
          </w:tcPr>
          <w:p>
            <w:pPr>
              <w:spacing w:line="240" w:lineRule="exact"/>
              <w:rPr>
                <w:rFonts w:hint="eastAsia" w:ascii="仿宋_GB2312" w:hAnsi="Times New Roman" w:eastAsia="仿宋_GB2312"/>
                <w:sz w:val="18"/>
                <w:szCs w:val="18"/>
              </w:rPr>
            </w:pPr>
          </w:p>
        </w:tc>
        <w:tc>
          <w:tcPr>
            <w:tcW w:w="2538"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1.机构名称；</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2.开放时间；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3.机构地址；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5.临时停止开放信息。</w:t>
            </w:r>
          </w:p>
        </w:tc>
        <w:tc>
          <w:tcPr>
            <w:tcW w:w="2337"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《政府信息公开条例》、《文化馆服务标准》</w:t>
            </w:r>
          </w:p>
        </w:tc>
        <w:tc>
          <w:tcPr>
            <w:tcW w:w="158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628"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893"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42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428"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45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48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45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51"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4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42</w:t>
            </w:r>
          </w:p>
        </w:tc>
        <w:tc>
          <w:tcPr>
            <w:tcW w:w="709" w:type="dxa"/>
            <w:vMerge w:val="continue"/>
            <w:vAlign w:val="center"/>
          </w:tcPr>
          <w:p>
            <w:pPr>
              <w:spacing w:line="240" w:lineRule="exact"/>
              <w:rPr>
                <w:rFonts w:hint="eastAsia" w:ascii="仿宋_GB2312" w:hAnsi="Times New Roman" w:eastAsia="仿宋_GB2312"/>
                <w:sz w:val="18"/>
                <w:szCs w:val="18"/>
              </w:rPr>
            </w:pPr>
          </w:p>
        </w:tc>
        <w:tc>
          <w:tcPr>
            <w:tcW w:w="1487"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下基层辅导、演出、展览和指导基层群众文化活动</w:t>
            </w:r>
          </w:p>
        </w:tc>
        <w:tc>
          <w:tcPr>
            <w:tcW w:w="1450" w:type="dxa"/>
            <w:vAlign w:val="center"/>
          </w:tcPr>
          <w:p>
            <w:pPr>
              <w:spacing w:line="240" w:lineRule="exact"/>
              <w:rPr>
                <w:rFonts w:hint="eastAsia" w:ascii="仿宋_GB2312" w:hAnsi="Times New Roman" w:eastAsia="仿宋_GB2312"/>
                <w:sz w:val="18"/>
                <w:szCs w:val="18"/>
              </w:rPr>
            </w:pPr>
          </w:p>
        </w:tc>
        <w:tc>
          <w:tcPr>
            <w:tcW w:w="2538"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1.机构名称；</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2.开放时间；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3.机构地址；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5.临时停止开放信息。</w:t>
            </w:r>
          </w:p>
        </w:tc>
        <w:tc>
          <w:tcPr>
            <w:tcW w:w="2337"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《政府信息公开条例》、《文化馆服务标准》</w:t>
            </w:r>
          </w:p>
        </w:tc>
        <w:tc>
          <w:tcPr>
            <w:tcW w:w="158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628"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893"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42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428"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45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48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45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51"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4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43</w:t>
            </w:r>
          </w:p>
        </w:tc>
        <w:tc>
          <w:tcPr>
            <w:tcW w:w="709" w:type="dxa"/>
            <w:vMerge w:val="continue"/>
            <w:vAlign w:val="center"/>
          </w:tcPr>
          <w:p>
            <w:pPr>
              <w:spacing w:line="240" w:lineRule="exact"/>
              <w:rPr>
                <w:rFonts w:hint="eastAsia" w:ascii="仿宋_GB2312" w:hAnsi="Times New Roman" w:eastAsia="仿宋_GB2312"/>
                <w:sz w:val="18"/>
                <w:szCs w:val="18"/>
              </w:rPr>
            </w:pPr>
          </w:p>
        </w:tc>
        <w:tc>
          <w:tcPr>
            <w:tcW w:w="1487"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举办各类展览、讲座信息</w:t>
            </w:r>
          </w:p>
        </w:tc>
        <w:tc>
          <w:tcPr>
            <w:tcW w:w="1450" w:type="dxa"/>
            <w:vAlign w:val="center"/>
          </w:tcPr>
          <w:p>
            <w:pPr>
              <w:spacing w:line="240" w:lineRule="exact"/>
              <w:rPr>
                <w:rFonts w:hint="eastAsia" w:ascii="仿宋_GB2312" w:hAnsi="Times New Roman" w:eastAsia="仿宋_GB2312"/>
                <w:sz w:val="18"/>
                <w:szCs w:val="18"/>
              </w:rPr>
            </w:pPr>
          </w:p>
        </w:tc>
        <w:tc>
          <w:tcPr>
            <w:tcW w:w="2538"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1.机构名称；</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2.开放时间；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3.机构地址；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5.临时停止开放信息。</w:t>
            </w:r>
          </w:p>
        </w:tc>
        <w:tc>
          <w:tcPr>
            <w:tcW w:w="2337"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《政府信息公开条例》、《乡镇综合文化站管理办法》</w:t>
            </w:r>
          </w:p>
        </w:tc>
        <w:tc>
          <w:tcPr>
            <w:tcW w:w="158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628"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893"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42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428"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45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48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45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51"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4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44</w:t>
            </w:r>
          </w:p>
        </w:tc>
        <w:tc>
          <w:tcPr>
            <w:tcW w:w="709" w:type="dxa"/>
            <w:vMerge w:val="continue"/>
            <w:vAlign w:val="center"/>
          </w:tcPr>
          <w:p>
            <w:pPr>
              <w:spacing w:line="240" w:lineRule="exact"/>
              <w:rPr>
                <w:rFonts w:hint="eastAsia" w:ascii="仿宋_GB2312" w:hAnsi="Times New Roman" w:eastAsia="仿宋_GB2312"/>
                <w:sz w:val="18"/>
                <w:szCs w:val="18"/>
              </w:rPr>
            </w:pPr>
          </w:p>
        </w:tc>
        <w:tc>
          <w:tcPr>
            <w:tcW w:w="1487"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辅导和培训基层文化骨干</w:t>
            </w:r>
          </w:p>
        </w:tc>
        <w:tc>
          <w:tcPr>
            <w:tcW w:w="1450" w:type="dxa"/>
            <w:vAlign w:val="center"/>
          </w:tcPr>
          <w:p>
            <w:pPr>
              <w:spacing w:line="240" w:lineRule="exact"/>
              <w:rPr>
                <w:rFonts w:hint="eastAsia" w:ascii="仿宋_GB2312" w:hAnsi="Times New Roman" w:eastAsia="仿宋_GB2312"/>
                <w:sz w:val="18"/>
                <w:szCs w:val="18"/>
              </w:rPr>
            </w:pPr>
          </w:p>
        </w:tc>
        <w:tc>
          <w:tcPr>
            <w:tcW w:w="2538"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1.机构名称；</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2.开放时间；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3.机构地址；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5.临时停止开放信息。</w:t>
            </w:r>
          </w:p>
        </w:tc>
        <w:tc>
          <w:tcPr>
            <w:tcW w:w="2337"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《政府信息公开条例》、《乡镇综合文化站管理办法》</w:t>
            </w:r>
          </w:p>
        </w:tc>
        <w:tc>
          <w:tcPr>
            <w:tcW w:w="158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628"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893"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42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428"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45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48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45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51"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4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45</w:t>
            </w:r>
          </w:p>
        </w:tc>
        <w:tc>
          <w:tcPr>
            <w:tcW w:w="709" w:type="dxa"/>
            <w:vMerge w:val="continue"/>
            <w:vAlign w:val="center"/>
          </w:tcPr>
          <w:p>
            <w:pPr>
              <w:spacing w:line="240" w:lineRule="exact"/>
              <w:rPr>
                <w:rFonts w:hint="eastAsia" w:ascii="仿宋_GB2312" w:hAnsi="Times New Roman" w:eastAsia="仿宋_GB2312"/>
                <w:sz w:val="18"/>
                <w:szCs w:val="18"/>
              </w:rPr>
            </w:pPr>
          </w:p>
        </w:tc>
        <w:tc>
          <w:tcPr>
            <w:tcW w:w="1487"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非物质文化遗产展示传播活动</w:t>
            </w:r>
          </w:p>
        </w:tc>
        <w:tc>
          <w:tcPr>
            <w:tcW w:w="1450" w:type="dxa"/>
            <w:vAlign w:val="center"/>
          </w:tcPr>
          <w:p>
            <w:pPr>
              <w:spacing w:line="240" w:lineRule="exact"/>
              <w:rPr>
                <w:rFonts w:hint="eastAsia" w:ascii="仿宋_GB2312" w:hAnsi="Times New Roman" w:eastAsia="仿宋_GB2312"/>
                <w:sz w:val="18"/>
                <w:szCs w:val="18"/>
              </w:rPr>
            </w:pPr>
          </w:p>
        </w:tc>
        <w:tc>
          <w:tcPr>
            <w:tcW w:w="2538"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1.机构名称；</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2.开放时间；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3.机构地址；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5.临时停止开放信息。</w:t>
            </w:r>
          </w:p>
        </w:tc>
        <w:tc>
          <w:tcPr>
            <w:tcW w:w="2337"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《非物质文化遗产法》、《政府信息公开条例》  </w:t>
            </w:r>
          </w:p>
        </w:tc>
        <w:tc>
          <w:tcPr>
            <w:tcW w:w="158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628"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893"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42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428"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45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48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45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51"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4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46</w:t>
            </w:r>
          </w:p>
        </w:tc>
        <w:tc>
          <w:tcPr>
            <w:tcW w:w="709"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1487"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文博单位名录</w:t>
            </w:r>
          </w:p>
        </w:tc>
        <w:tc>
          <w:tcPr>
            <w:tcW w:w="1450" w:type="dxa"/>
            <w:vAlign w:val="center"/>
          </w:tcPr>
          <w:p>
            <w:pPr>
              <w:spacing w:line="240" w:lineRule="exact"/>
              <w:rPr>
                <w:rFonts w:hint="eastAsia" w:ascii="仿宋_GB2312" w:hAnsi="Times New Roman" w:eastAsia="仿宋_GB2312"/>
                <w:sz w:val="18"/>
                <w:szCs w:val="18"/>
              </w:rPr>
            </w:pPr>
          </w:p>
        </w:tc>
        <w:tc>
          <w:tcPr>
            <w:tcW w:w="2538"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文物保护管理机构和博物馆名录。</w:t>
            </w:r>
          </w:p>
        </w:tc>
        <w:tc>
          <w:tcPr>
            <w:tcW w:w="2337"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w:t>
            </w:r>
          </w:p>
        </w:tc>
        <w:tc>
          <w:tcPr>
            <w:tcW w:w="158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628"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文物行政部门</w:t>
            </w:r>
          </w:p>
        </w:tc>
        <w:tc>
          <w:tcPr>
            <w:tcW w:w="893"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42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428"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45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48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45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451"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4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bl>
    <w:p>
      <w:pPr>
        <w:jc w:val="left"/>
        <w:rPr>
          <w:rFonts w:hint="eastAsia" w:ascii="Times New Roman" w:hAnsi="Times New Roman" w:eastAsia="方正小标宋_GBK"/>
          <w:sz w:val="28"/>
          <w:szCs w:val="28"/>
        </w:rPr>
      </w:pPr>
    </w:p>
    <w:sectPr>
      <w:pgSz w:w="16838" w:h="11906" w:orient="landscape"/>
      <w:pgMar w:top="851" w:right="1134" w:bottom="1418" w:left="1361"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5576D2"/>
    <w:multiLevelType w:val="singleLevel"/>
    <w:tmpl w:val="C85576D2"/>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EA5"/>
    <w:rsid w:val="00005FB9"/>
    <w:rsid w:val="00006ADC"/>
    <w:rsid w:val="0001250B"/>
    <w:rsid w:val="00015B0A"/>
    <w:rsid w:val="000201F0"/>
    <w:rsid w:val="00020EFB"/>
    <w:rsid w:val="000370A9"/>
    <w:rsid w:val="00040ED3"/>
    <w:rsid w:val="000533DA"/>
    <w:rsid w:val="0006032D"/>
    <w:rsid w:val="00060CFE"/>
    <w:rsid w:val="000645DC"/>
    <w:rsid w:val="00065A21"/>
    <w:rsid w:val="00070BF9"/>
    <w:rsid w:val="00070FC6"/>
    <w:rsid w:val="00077FC8"/>
    <w:rsid w:val="0008032D"/>
    <w:rsid w:val="00082AC9"/>
    <w:rsid w:val="00086FDC"/>
    <w:rsid w:val="0008715E"/>
    <w:rsid w:val="00093A2C"/>
    <w:rsid w:val="000964CC"/>
    <w:rsid w:val="00097674"/>
    <w:rsid w:val="000A2775"/>
    <w:rsid w:val="000A5C97"/>
    <w:rsid w:val="000A7F01"/>
    <w:rsid w:val="000B13FA"/>
    <w:rsid w:val="000C6BF3"/>
    <w:rsid w:val="000D0945"/>
    <w:rsid w:val="000D1F17"/>
    <w:rsid w:val="000E3D7D"/>
    <w:rsid w:val="000E5A3C"/>
    <w:rsid w:val="000E6E67"/>
    <w:rsid w:val="000E7C68"/>
    <w:rsid w:val="000F751F"/>
    <w:rsid w:val="00100C59"/>
    <w:rsid w:val="001024D7"/>
    <w:rsid w:val="001078E3"/>
    <w:rsid w:val="0011248F"/>
    <w:rsid w:val="0011273B"/>
    <w:rsid w:val="00116932"/>
    <w:rsid w:val="00117834"/>
    <w:rsid w:val="001273B6"/>
    <w:rsid w:val="00131909"/>
    <w:rsid w:val="00140ABD"/>
    <w:rsid w:val="0014190C"/>
    <w:rsid w:val="00142E1C"/>
    <w:rsid w:val="0014417E"/>
    <w:rsid w:val="00150886"/>
    <w:rsid w:val="00154D1A"/>
    <w:rsid w:val="001668D4"/>
    <w:rsid w:val="00167E59"/>
    <w:rsid w:val="00167F53"/>
    <w:rsid w:val="00170B78"/>
    <w:rsid w:val="00170C6B"/>
    <w:rsid w:val="00172E7B"/>
    <w:rsid w:val="00172FDE"/>
    <w:rsid w:val="00173340"/>
    <w:rsid w:val="00174543"/>
    <w:rsid w:val="00176850"/>
    <w:rsid w:val="00184E14"/>
    <w:rsid w:val="0018519A"/>
    <w:rsid w:val="001901C0"/>
    <w:rsid w:val="001905F8"/>
    <w:rsid w:val="001A0EE1"/>
    <w:rsid w:val="001A3FFF"/>
    <w:rsid w:val="001A7CDB"/>
    <w:rsid w:val="001B4494"/>
    <w:rsid w:val="001B4DA1"/>
    <w:rsid w:val="001C09D3"/>
    <w:rsid w:val="001D7831"/>
    <w:rsid w:val="001E254A"/>
    <w:rsid w:val="001E357F"/>
    <w:rsid w:val="001E40EA"/>
    <w:rsid w:val="001E42A6"/>
    <w:rsid w:val="001E7825"/>
    <w:rsid w:val="002055CD"/>
    <w:rsid w:val="00225626"/>
    <w:rsid w:val="00241BD7"/>
    <w:rsid w:val="00251380"/>
    <w:rsid w:val="00254893"/>
    <w:rsid w:val="00265B1E"/>
    <w:rsid w:val="002705D2"/>
    <w:rsid w:val="0027262A"/>
    <w:rsid w:val="00275AB0"/>
    <w:rsid w:val="0027712D"/>
    <w:rsid w:val="00277BC9"/>
    <w:rsid w:val="002818AF"/>
    <w:rsid w:val="00282FF2"/>
    <w:rsid w:val="002864E7"/>
    <w:rsid w:val="00290AAA"/>
    <w:rsid w:val="002954B3"/>
    <w:rsid w:val="00296CB4"/>
    <w:rsid w:val="002A5174"/>
    <w:rsid w:val="002B6627"/>
    <w:rsid w:val="002B79B9"/>
    <w:rsid w:val="002D218F"/>
    <w:rsid w:val="002E1CF7"/>
    <w:rsid w:val="002E23D2"/>
    <w:rsid w:val="002E33B1"/>
    <w:rsid w:val="002E5486"/>
    <w:rsid w:val="002F13AE"/>
    <w:rsid w:val="002F1EAD"/>
    <w:rsid w:val="002F3EAA"/>
    <w:rsid w:val="002F547E"/>
    <w:rsid w:val="00316253"/>
    <w:rsid w:val="003163F0"/>
    <w:rsid w:val="00320AFE"/>
    <w:rsid w:val="00321BC5"/>
    <w:rsid w:val="003228E5"/>
    <w:rsid w:val="0032427E"/>
    <w:rsid w:val="003374D8"/>
    <w:rsid w:val="00337F02"/>
    <w:rsid w:val="003436E8"/>
    <w:rsid w:val="00346A3E"/>
    <w:rsid w:val="003506F5"/>
    <w:rsid w:val="00350D04"/>
    <w:rsid w:val="00356811"/>
    <w:rsid w:val="00357025"/>
    <w:rsid w:val="003579E1"/>
    <w:rsid w:val="00360682"/>
    <w:rsid w:val="003707AD"/>
    <w:rsid w:val="00391DA6"/>
    <w:rsid w:val="00395C82"/>
    <w:rsid w:val="00396BFA"/>
    <w:rsid w:val="003A055F"/>
    <w:rsid w:val="003A4319"/>
    <w:rsid w:val="003A5130"/>
    <w:rsid w:val="003A75F6"/>
    <w:rsid w:val="003B4A21"/>
    <w:rsid w:val="003C13DB"/>
    <w:rsid w:val="003C778E"/>
    <w:rsid w:val="003C7F00"/>
    <w:rsid w:val="003D76DD"/>
    <w:rsid w:val="003E03A3"/>
    <w:rsid w:val="003E351F"/>
    <w:rsid w:val="003F66AA"/>
    <w:rsid w:val="003F7D5F"/>
    <w:rsid w:val="00403760"/>
    <w:rsid w:val="0040597B"/>
    <w:rsid w:val="00405AA0"/>
    <w:rsid w:val="0041066C"/>
    <w:rsid w:val="00413BC2"/>
    <w:rsid w:val="00420339"/>
    <w:rsid w:val="0042050B"/>
    <w:rsid w:val="00421025"/>
    <w:rsid w:val="004262D2"/>
    <w:rsid w:val="004344D3"/>
    <w:rsid w:val="00434C58"/>
    <w:rsid w:val="00443643"/>
    <w:rsid w:val="00447D1E"/>
    <w:rsid w:val="004529D1"/>
    <w:rsid w:val="00454B66"/>
    <w:rsid w:val="0046131F"/>
    <w:rsid w:val="00470A45"/>
    <w:rsid w:val="004735CC"/>
    <w:rsid w:val="00473616"/>
    <w:rsid w:val="004741F3"/>
    <w:rsid w:val="004748F3"/>
    <w:rsid w:val="00474C0C"/>
    <w:rsid w:val="004800CF"/>
    <w:rsid w:val="00480F60"/>
    <w:rsid w:val="0048114D"/>
    <w:rsid w:val="00481A24"/>
    <w:rsid w:val="004934D6"/>
    <w:rsid w:val="00495D55"/>
    <w:rsid w:val="004A6AED"/>
    <w:rsid w:val="004B70E4"/>
    <w:rsid w:val="004B7B49"/>
    <w:rsid w:val="004C0093"/>
    <w:rsid w:val="004C2064"/>
    <w:rsid w:val="004C520F"/>
    <w:rsid w:val="004D0346"/>
    <w:rsid w:val="004E0CF9"/>
    <w:rsid w:val="004E3C7D"/>
    <w:rsid w:val="004F0F2A"/>
    <w:rsid w:val="004F1782"/>
    <w:rsid w:val="004F2C26"/>
    <w:rsid w:val="004F31FF"/>
    <w:rsid w:val="004F4BBC"/>
    <w:rsid w:val="0050212F"/>
    <w:rsid w:val="0050438F"/>
    <w:rsid w:val="00504CD4"/>
    <w:rsid w:val="00510D24"/>
    <w:rsid w:val="005128E6"/>
    <w:rsid w:val="005134ED"/>
    <w:rsid w:val="00520F11"/>
    <w:rsid w:val="005222BB"/>
    <w:rsid w:val="0052697A"/>
    <w:rsid w:val="005309CA"/>
    <w:rsid w:val="00535DBF"/>
    <w:rsid w:val="00537936"/>
    <w:rsid w:val="005601E2"/>
    <w:rsid w:val="00566960"/>
    <w:rsid w:val="0056726C"/>
    <w:rsid w:val="00567A97"/>
    <w:rsid w:val="00570AD8"/>
    <w:rsid w:val="0057243A"/>
    <w:rsid w:val="00573AF7"/>
    <w:rsid w:val="00574873"/>
    <w:rsid w:val="00577B8D"/>
    <w:rsid w:val="005873B9"/>
    <w:rsid w:val="00587789"/>
    <w:rsid w:val="00590D0E"/>
    <w:rsid w:val="00595E5C"/>
    <w:rsid w:val="005A0ADC"/>
    <w:rsid w:val="005A3D28"/>
    <w:rsid w:val="005A5DD7"/>
    <w:rsid w:val="005B117C"/>
    <w:rsid w:val="005C1EA4"/>
    <w:rsid w:val="005D1EA5"/>
    <w:rsid w:val="005D4396"/>
    <w:rsid w:val="005E1276"/>
    <w:rsid w:val="005F38B9"/>
    <w:rsid w:val="00610FD3"/>
    <w:rsid w:val="0061198E"/>
    <w:rsid w:val="00615839"/>
    <w:rsid w:val="00622A42"/>
    <w:rsid w:val="006359C4"/>
    <w:rsid w:val="0063753D"/>
    <w:rsid w:val="0064282F"/>
    <w:rsid w:val="006447DD"/>
    <w:rsid w:val="0064510A"/>
    <w:rsid w:val="00646A00"/>
    <w:rsid w:val="00655727"/>
    <w:rsid w:val="0066461C"/>
    <w:rsid w:val="0067009C"/>
    <w:rsid w:val="00673CAF"/>
    <w:rsid w:val="00675DA3"/>
    <w:rsid w:val="00680467"/>
    <w:rsid w:val="00682E1D"/>
    <w:rsid w:val="00693B6C"/>
    <w:rsid w:val="006953F4"/>
    <w:rsid w:val="006A05F7"/>
    <w:rsid w:val="006A0C1A"/>
    <w:rsid w:val="006B1596"/>
    <w:rsid w:val="006B5D0D"/>
    <w:rsid w:val="006C3373"/>
    <w:rsid w:val="006C37CE"/>
    <w:rsid w:val="006C72FC"/>
    <w:rsid w:val="006D28DC"/>
    <w:rsid w:val="006E49C7"/>
    <w:rsid w:val="006E504B"/>
    <w:rsid w:val="006E5B70"/>
    <w:rsid w:val="007000D3"/>
    <w:rsid w:val="0070268C"/>
    <w:rsid w:val="00704079"/>
    <w:rsid w:val="0070432E"/>
    <w:rsid w:val="007066B2"/>
    <w:rsid w:val="00717AE7"/>
    <w:rsid w:val="00720C59"/>
    <w:rsid w:val="00722DF5"/>
    <w:rsid w:val="00726208"/>
    <w:rsid w:val="00727666"/>
    <w:rsid w:val="00731A17"/>
    <w:rsid w:val="00737236"/>
    <w:rsid w:val="007526E0"/>
    <w:rsid w:val="00754433"/>
    <w:rsid w:val="00764DBF"/>
    <w:rsid w:val="007662F5"/>
    <w:rsid w:val="007769B7"/>
    <w:rsid w:val="007803B1"/>
    <w:rsid w:val="00781C45"/>
    <w:rsid w:val="00782CAF"/>
    <w:rsid w:val="0078392A"/>
    <w:rsid w:val="00791687"/>
    <w:rsid w:val="00793C8A"/>
    <w:rsid w:val="007A13EA"/>
    <w:rsid w:val="007A5CF5"/>
    <w:rsid w:val="007B00FD"/>
    <w:rsid w:val="007B032A"/>
    <w:rsid w:val="007B6D40"/>
    <w:rsid w:val="007C2942"/>
    <w:rsid w:val="007C43ED"/>
    <w:rsid w:val="007D1ABA"/>
    <w:rsid w:val="007D4D96"/>
    <w:rsid w:val="007E5652"/>
    <w:rsid w:val="007E6AEC"/>
    <w:rsid w:val="007F1730"/>
    <w:rsid w:val="007F2517"/>
    <w:rsid w:val="007F2593"/>
    <w:rsid w:val="007F7E67"/>
    <w:rsid w:val="00800726"/>
    <w:rsid w:val="008070F0"/>
    <w:rsid w:val="00812A82"/>
    <w:rsid w:val="00814F97"/>
    <w:rsid w:val="00815596"/>
    <w:rsid w:val="0082234A"/>
    <w:rsid w:val="00824E6A"/>
    <w:rsid w:val="00831763"/>
    <w:rsid w:val="008319C2"/>
    <w:rsid w:val="00834C8B"/>
    <w:rsid w:val="008356F8"/>
    <w:rsid w:val="00835816"/>
    <w:rsid w:val="0084087D"/>
    <w:rsid w:val="00843056"/>
    <w:rsid w:val="0084306F"/>
    <w:rsid w:val="00844017"/>
    <w:rsid w:val="008445EA"/>
    <w:rsid w:val="008454E8"/>
    <w:rsid w:val="00847E39"/>
    <w:rsid w:val="00850C4C"/>
    <w:rsid w:val="00854A64"/>
    <w:rsid w:val="00856C98"/>
    <w:rsid w:val="00861EF2"/>
    <w:rsid w:val="00866024"/>
    <w:rsid w:val="008708C3"/>
    <w:rsid w:val="00872EA4"/>
    <w:rsid w:val="008832FF"/>
    <w:rsid w:val="00883971"/>
    <w:rsid w:val="00885490"/>
    <w:rsid w:val="008878BF"/>
    <w:rsid w:val="00887948"/>
    <w:rsid w:val="008915F9"/>
    <w:rsid w:val="00897C4F"/>
    <w:rsid w:val="008B7A10"/>
    <w:rsid w:val="008C4153"/>
    <w:rsid w:val="008D4338"/>
    <w:rsid w:val="008D74D9"/>
    <w:rsid w:val="008E5DCD"/>
    <w:rsid w:val="008F4728"/>
    <w:rsid w:val="00902803"/>
    <w:rsid w:val="00911314"/>
    <w:rsid w:val="00924599"/>
    <w:rsid w:val="009267D9"/>
    <w:rsid w:val="00927160"/>
    <w:rsid w:val="0093115B"/>
    <w:rsid w:val="00934DD1"/>
    <w:rsid w:val="00935C49"/>
    <w:rsid w:val="00936C9E"/>
    <w:rsid w:val="0094023C"/>
    <w:rsid w:val="0094041B"/>
    <w:rsid w:val="00940512"/>
    <w:rsid w:val="009455C5"/>
    <w:rsid w:val="009461E2"/>
    <w:rsid w:val="00947BBC"/>
    <w:rsid w:val="0095342A"/>
    <w:rsid w:val="009550FC"/>
    <w:rsid w:val="00955AA2"/>
    <w:rsid w:val="00955AE6"/>
    <w:rsid w:val="00955E8D"/>
    <w:rsid w:val="00957A9D"/>
    <w:rsid w:val="00957CB5"/>
    <w:rsid w:val="0097122A"/>
    <w:rsid w:val="0097686B"/>
    <w:rsid w:val="00976D9A"/>
    <w:rsid w:val="00983C2C"/>
    <w:rsid w:val="00992CAC"/>
    <w:rsid w:val="00995A3C"/>
    <w:rsid w:val="0099602F"/>
    <w:rsid w:val="009A2712"/>
    <w:rsid w:val="009A5FC0"/>
    <w:rsid w:val="009C2BFE"/>
    <w:rsid w:val="009C62C7"/>
    <w:rsid w:val="009D57CF"/>
    <w:rsid w:val="009D6496"/>
    <w:rsid w:val="009E6EC1"/>
    <w:rsid w:val="009F0D49"/>
    <w:rsid w:val="009F5946"/>
    <w:rsid w:val="00A00B7A"/>
    <w:rsid w:val="00A0700D"/>
    <w:rsid w:val="00A071A4"/>
    <w:rsid w:val="00A247E2"/>
    <w:rsid w:val="00A27F7E"/>
    <w:rsid w:val="00A305E1"/>
    <w:rsid w:val="00A31388"/>
    <w:rsid w:val="00A35FCC"/>
    <w:rsid w:val="00A36FE3"/>
    <w:rsid w:val="00A41350"/>
    <w:rsid w:val="00A435BA"/>
    <w:rsid w:val="00A45B4F"/>
    <w:rsid w:val="00A46C46"/>
    <w:rsid w:val="00A50B42"/>
    <w:rsid w:val="00A536BE"/>
    <w:rsid w:val="00A53A03"/>
    <w:rsid w:val="00A577B0"/>
    <w:rsid w:val="00A83F13"/>
    <w:rsid w:val="00A84C60"/>
    <w:rsid w:val="00A8554D"/>
    <w:rsid w:val="00A94D8C"/>
    <w:rsid w:val="00A95B71"/>
    <w:rsid w:val="00AA05A1"/>
    <w:rsid w:val="00AA25DD"/>
    <w:rsid w:val="00AB006A"/>
    <w:rsid w:val="00AB13B4"/>
    <w:rsid w:val="00AB437A"/>
    <w:rsid w:val="00AB6B82"/>
    <w:rsid w:val="00AC0F61"/>
    <w:rsid w:val="00AC4189"/>
    <w:rsid w:val="00AD087C"/>
    <w:rsid w:val="00AD7A41"/>
    <w:rsid w:val="00AE0076"/>
    <w:rsid w:val="00AF544A"/>
    <w:rsid w:val="00AF7A06"/>
    <w:rsid w:val="00B11854"/>
    <w:rsid w:val="00B15870"/>
    <w:rsid w:val="00B17885"/>
    <w:rsid w:val="00B379A5"/>
    <w:rsid w:val="00B43A1D"/>
    <w:rsid w:val="00B4622E"/>
    <w:rsid w:val="00B629DE"/>
    <w:rsid w:val="00B62CD5"/>
    <w:rsid w:val="00B63C96"/>
    <w:rsid w:val="00B7223F"/>
    <w:rsid w:val="00B738F2"/>
    <w:rsid w:val="00B77453"/>
    <w:rsid w:val="00B82002"/>
    <w:rsid w:val="00B91926"/>
    <w:rsid w:val="00B93B0A"/>
    <w:rsid w:val="00B956DC"/>
    <w:rsid w:val="00B95E92"/>
    <w:rsid w:val="00B96432"/>
    <w:rsid w:val="00BA004D"/>
    <w:rsid w:val="00BA6205"/>
    <w:rsid w:val="00BB2517"/>
    <w:rsid w:val="00BB3AF4"/>
    <w:rsid w:val="00BB3FA3"/>
    <w:rsid w:val="00BB636A"/>
    <w:rsid w:val="00BD6049"/>
    <w:rsid w:val="00BD7CAF"/>
    <w:rsid w:val="00BE27DC"/>
    <w:rsid w:val="00BE5734"/>
    <w:rsid w:val="00BE5967"/>
    <w:rsid w:val="00BE668B"/>
    <w:rsid w:val="00C0161F"/>
    <w:rsid w:val="00C1798A"/>
    <w:rsid w:val="00C20262"/>
    <w:rsid w:val="00C37D06"/>
    <w:rsid w:val="00C47B4D"/>
    <w:rsid w:val="00C511D6"/>
    <w:rsid w:val="00C606E9"/>
    <w:rsid w:val="00C6384F"/>
    <w:rsid w:val="00C64ED8"/>
    <w:rsid w:val="00C66344"/>
    <w:rsid w:val="00C764A6"/>
    <w:rsid w:val="00C7671A"/>
    <w:rsid w:val="00C80F7E"/>
    <w:rsid w:val="00C82291"/>
    <w:rsid w:val="00C8354F"/>
    <w:rsid w:val="00C91BD4"/>
    <w:rsid w:val="00CA595A"/>
    <w:rsid w:val="00CA7724"/>
    <w:rsid w:val="00CB64E4"/>
    <w:rsid w:val="00CB6505"/>
    <w:rsid w:val="00CC0F91"/>
    <w:rsid w:val="00CC30CA"/>
    <w:rsid w:val="00CC7D09"/>
    <w:rsid w:val="00CD3DB4"/>
    <w:rsid w:val="00CD74B5"/>
    <w:rsid w:val="00CE3CD7"/>
    <w:rsid w:val="00CE584C"/>
    <w:rsid w:val="00CE58FA"/>
    <w:rsid w:val="00CE6AF2"/>
    <w:rsid w:val="00CF0F9F"/>
    <w:rsid w:val="00CF3ADD"/>
    <w:rsid w:val="00D131BD"/>
    <w:rsid w:val="00D21EB4"/>
    <w:rsid w:val="00D225C8"/>
    <w:rsid w:val="00D2351D"/>
    <w:rsid w:val="00D25C0B"/>
    <w:rsid w:val="00D30D1A"/>
    <w:rsid w:val="00D33F6D"/>
    <w:rsid w:val="00D409C1"/>
    <w:rsid w:val="00D63AD3"/>
    <w:rsid w:val="00D70227"/>
    <w:rsid w:val="00D70F1D"/>
    <w:rsid w:val="00D72800"/>
    <w:rsid w:val="00D84489"/>
    <w:rsid w:val="00D877E7"/>
    <w:rsid w:val="00D90BA2"/>
    <w:rsid w:val="00DA1CB8"/>
    <w:rsid w:val="00DA64AA"/>
    <w:rsid w:val="00DA7434"/>
    <w:rsid w:val="00DB7680"/>
    <w:rsid w:val="00DC487C"/>
    <w:rsid w:val="00DD19D2"/>
    <w:rsid w:val="00DD4E2A"/>
    <w:rsid w:val="00DD6E11"/>
    <w:rsid w:val="00DE6B9E"/>
    <w:rsid w:val="00DF3708"/>
    <w:rsid w:val="00DF4661"/>
    <w:rsid w:val="00E12F8A"/>
    <w:rsid w:val="00E17025"/>
    <w:rsid w:val="00E17F1F"/>
    <w:rsid w:val="00E30681"/>
    <w:rsid w:val="00E31715"/>
    <w:rsid w:val="00E31CF6"/>
    <w:rsid w:val="00E3230D"/>
    <w:rsid w:val="00E37CF0"/>
    <w:rsid w:val="00E43A72"/>
    <w:rsid w:val="00E46E53"/>
    <w:rsid w:val="00E51123"/>
    <w:rsid w:val="00E540BA"/>
    <w:rsid w:val="00E56D4A"/>
    <w:rsid w:val="00E70880"/>
    <w:rsid w:val="00E76487"/>
    <w:rsid w:val="00E83276"/>
    <w:rsid w:val="00E84DF1"/>
    <w:rsid w:val="00E85AD2"/>
    <w:rsid w:val="00E86CD0"/>
    <w:rsid w:val="00E9149A"/>
    <w:rsid w:val="00E91746"/>
    <w:rsid w:val="00E91EB1"/>
    <w:rsid w:val="00EA078A"/>
    <w:rsid w:val="00EA179F"/>
    <w:rsid w:val="00EA3D01"/>
    <w:rsid w:val="00EA7E98"/>
    <w:rsid w:val="00EB123E"/>
    <w:rsid w:val="00EB3A62"/>
    <w:rsid w:val="00EB7039"/>
    <w:rsid w:val="00EC42DF"/>
    <w:rsid w:val="00ED20BE"/>
    <w:rsid w:val="00EE5EE8"/>
    <w:rsid w:val="00EE6966"/>
    <w:rsid w:val="00EF14C6"/>
    <w:rsid w:val="00EF20F1"/>
    <w:rsid w:val="00F10AA0"/>
    <w:rsid w:val="00F22328"/>
    <w:rsid w:val="00F3769F"/>
    <w:rsid w:val="00F419F8"/>
    <w:rsid w:val="00F4550F"/>
    <w:rsid w:val="00F523DB"/>
    <w:rsid w:val="00F5499A"/>
    <w:rsid w:val="00F60BDC"/>
    <w:rsid w:val="00F7175D"/>
    <w:rsid w:val="00F819F8"/>
    <w:rsid w:val="00F9016D"/>
    <w:rsid w:val="00F97583"/>
    <w:rsid w:val="00F97C27"/>
    <w:rsid w:val="00FA08C7"/>
    <w:rsid w:val="00FB38B5"/>
    <w:rsid w:val="00FB7FA5"/>
    <w:rsid w:val="00FC3342"/>
    <w:rsid w:val="00FC5D44"/>
    <w:rsid w:val="00FC6558"/>
    <w:rsid w:val="00FC7E69"/>
    <w:rsid w:val="00FD07F0"/>
    <w:rsid w:val="00FD10F1"/>
    <w:rsid w:val="00FD202C"/>
    <w:rsid w:val="00FD7321"/>
    <w:rsid w:val="00FE0FE4"/>
    <w:rsid w:val="00FE7FFE"/>
    <w:rsid w:val="00FF77BB"/>
    <w:rsid w:val="01802D91"/>
    <w:rsid w:val="02AD1713"/>
    <w:rsid w:val="05B0124F"/>
    <w:rsid w:val="06033B05"/>
    <w:rsid w:val="079A129B"/>
    <w:rsid w:val="08806440"/>
    <w:rsid w:val="0A7B3CA6"/>
    <w:rsid w:val="0BC9737E"/>
    <w:rsid w:val="0BF355BC"/>
    <w:rsid w:val="0C210DB0"/>
    <w:rsid w:val="0C8C1198"/>
    <w:rsid w:val="107C4738"/>
    <w:rsid w:val="1185475A"/>
    <w:rsid w:val="12BA4494"/>
    <w:rsid w:val="13902E49"/>
    <w:rsid w:val="14062987"/>
    <w:rsid w:val="142E221A"/>
    <w:rsid w:val="151633DE"/>
    <w:rsid w:val="15441937"/>
    <w:rsid w:val="15AD7C91"/>
    <w:rsid w:val="165C414F"/>
    <w:rsid w:val="19EA7ADB"/>
    <w:rsid w:val="1CEC2FEA"/>
    <w:rsid w:val="1EE6538B"/>
    <w:rsid w:val="1FDC56D3"/>
    <w:rsid w:val="215E52D2"/>
    <w:rsid w:val="21A048B8"/>
    <w:rsid w:val="21F97278"/>
    <w:rsid w:val="229C3DF2"/>
    <w:rsid w:val="26230C4E"/>
    <w:rsid w:val="280430B3"/>
    <w:rsid w:val="28CF713E"/>
    <w:rsid w:val="294802A1"/>
    <w:rsid w:val="2A704489"/>
    <w:rsid w:val="2AD02E61"/>
    <w:rsid w:val="2AE1482E"/>
    <w:rsid w:val="2C6D7156"/>
    <w:rsid w:val="2CC06B58"/>
    <w:rsid w:val="2D037174"/>
    <w:rsid w:val="2D174F7B"/>
    <w:rsid w:val="2D367078"/>
    <w:rsid w:val="2DEC2F6F"/>
    <w:rsid w:val="2EA356E4"/>
    <w:rsid w:val="2F163F27"/>
    <w:rsid w:val="2FAF1BBF"/>
    <w:rsid w:val="32A822DA"/>
    <w:rsid w:val="33386804"/>
    <w:rsid w:val="33973126"/>
    <w:rsid w:val="350846E4"/>
    <w:rsid w:val="35912B5B"/>
    <w:rsid w:val="36222866"/>
    <w:rsid w:val="375B4500"/>
    <w:rsid w:val="37736D26"/>
    <w:rsid w:val="37DB5918"/>
    <w:rsid w:val="380476D3"/>
    <w:rsid w:val="38AA5E44"/>
    <w:rsid w:val="38B55B19"/>
    <w:rsid w:val="38DA5253"/>
    <w:rsid w:val="390943C5"/>
    <w:rsid w:val="390A1532"/>
    <w:rsid w:val="3B4B73FC"/>
    <w:rsid w:val="3BA93F8A"/>
    <w:rsid w:val="3C466AD6"/>
    <w:rsid w:val="3CC4574F"/>
    <w:rsid w:val="3D7A5F26"/>
    <w:rsid w:val="3E007F3F"/>
    <w:rsid w:val="3E0B3D5D"/>
    <w:rsid w:val="403A4FCC"/>
    <w:rsid w:val="41493CF7"/>
    <w:rsid w:val="43B53AB6"/>
    <w:rsid w:val="4510466F"/>
    <w:rsid w:val="45747CAA"/>
    <w:rsid w:val="459D5E46"/>
    <w:rsid w:val="467F0E0D"/>
    <w:rsid w:val="47E015FE"/>
    <w:rsid w:val="47FE3689"/>
    <w:rsid w:val="4AB047BA"/>
    <w:rsid w:val="4C405BA8"/>
    <w:rsid w:val="4DD717BB"/>
    <w:rsid w:val="4ED87995"/>
    <w:rsid w:val="511F13AA"/>
    <w:rsid w:val="51B91A48"/>
    <w:rsid w:val="51FE3D57"/>
    <w:rsid w:val="51FE4B63"/>
    <w:rsid w:val="52905658"/>
    <w:rsid w:val="57910B3A"/>
    <w:rsid w:val="5A794287"/>
    <w:rsid w:val="5C69329F"/>
    <w:rsid w:val="5CCB6ECA"/>
    <w:rsid w:val="5E7F0A8E"/>
    <w:rsid w:val="5F1528F2"/>
    <w:rsid w:val="61384583"/>
    <w:rsid w:val="61A761C9"/>
    <w:rsid w:val="632B5419"/>
    <w:rsid w:val="64461DA8"/>
    <w:rsid w:val="645E796D"/>
    <w:rsid w:val="64A06D67"/>
    <w:rsid w:val="666D3D76"/>
    <w:rsid w:val="67014FF3"/>
    <w:rsid w:val="684649D8"/>
    <w:rsid w:val="6AFE0D33"/>
    <w:rsid w:val="6D601CEC"/>
    <w:rsid w:val="6D8A0AED"/>
    <w:rsid w:val="6EA6664B"/>
    <w:rsid w:val="6FCE56A4"/>
    <w:rsid w:val="6FD2127A"/>
    <w:rsid w:val="70C92EEA"/>
    <w:rsid w:val="70E313D0"/>
    <w:rsid w:val="7224530D"/>
    <w:rsid w:val="728B202D"/>
    <w:rsid w:val="73EE0D54"/>
    <w:rsid w:val="742B7E2A"/>
    <w:rsid w:val="74C6311D"/>
    <w:rsid w:val="75376CF8"/>
    <w:rsid w:val="75A177BF"/>
    <w:rsid w:val="766F127A"/>
    <w:rsid w:val="76D53B61"/>
    <w:rsid w:val="76DC5E9B"/>
    <w:rsid w:val="7A640194"/>
    <w:rsid w:val="7B814E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2">
    <w:name w:val="Default Paragraph Font"/>
    <w:semiHidden/>
    <w:uiPriority w:val="0"/>
  </w:style>
  <w:style w:type="table" w:default="1" w:styleId="10">
    <w:name w:val="Normal Table"/>
    <w:semiHidden/>
    <w:uiPriority w:val="0"/>
    <w:tblPr>
      <w:tblCellMar>
        <w:top w:w="0" w:type="dxa"/>
        <w:left w:w="108" w:type="dxa"/>
        <w:bottom w:w="0" w:type="dxa"/>
        <w:right w:w="108" w:type="dxa"/>
      </w:tblCellMar>
    </w:tblPr>
  </w:style>
  <w:style w:type="paragraph" w:styleId="3">
    <w:name w:val="annotation text"/>
    <w:basedOn w:val="1"/>
    <w:semiHidden/>
    <w:qFormat/>
    <w:uiPriority w:val="0"/>
    <w:pPr>
      <w:jc w:val="left"/>
    </w:p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semiHidden/>
    <w:qFormat/>
    <w:uiPriority w:val="0"/>
    <w:pPr>
      <w:tabs>
        <w:tab w:val="right" w:leader="dot" w:pos="14760"/>
      </w:tabs>
      <w:spacing w:line="700" w:lineRule="exact"/>
      <w:ind w:left="359" w:leftChars="171" w:right="332" w:rightChars="158"/>
    </w:pPr>
  </w:style>
  <w:style w:type="paragraph" w:styleId="8">
    <w:name w:val="Normal (Web)"/>
    <w:basedOn w:val="1"/>
    <w:qFormat/>
    <w:uiPriority w:val="0"/>
    <w:pPr>
      <w:spacing w:before="100" w:beforeAutospacing="1" w:after="100" w:afterAutospacing="1"/>
      <w:jc w:val="left"/>
    </w:pPr>
    <w:rPr>
      <w:kern w:val="0"/>
      <w:sz w:val="24"/>
    </w:rPr>
  </w:style>
  <w:style w:type="paragraph" w:styleId="9">
    <w:name w:val="annotation subject"/>
    <w:basedOn w:val="3"/>
    <w:next w:val="3"/>
    <w:semiHidden/>
    <w:uiPriority w:val="0"/>
    <w:rPr>
      <w:b/>
      <w:bCs/>
    </w:rPr>
  </w:style>
  <w:style w:type="table" w:styleId="11">
    <w:name w:val="Table Grid"/>
    <w:basedOn w:val="10"/>
    <w:qFormat/>
    <w:uiPriority w:val="0"/>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3">
    <w:name w:val="page number"/>
    <w:basedOn w:val="12"/>
    <w:uiPriority w:val="0"/>
  </w:style>
  <w:style w:type="character" w:styleId="14">
    <w:name w:val="Hyperlink"/>
    <w:uiPriority w:val="0"/>
    <w:rPr>
      <w:color w:val="0000FF"/>
      <w:u w:val="single"/>
    </w:rPr>
  </w:style>
  <w:style w:type="character" w:styleId="15">
    <w:name w:val="annotation reference"/>
    <w:semiHidden/>
    <w:uiPriority w:val="0"/>
    <w:rPr>
      <w:sz w:val="21"/>
      <w:szCs w:val="21"/>
    </w:rPr>
  </w:style>
  <w:style w:type="paragraph" w:customStyle="1" w:styleId="16">
    <w:name w:val="列出段落1"/>
    <w:basedOn w:val="1"/>
    <w:qFormat/>
    <w:uiPriority w:val="0"/>
    <w:pPr>
      <w:ind w:firstLine="420" w:firstLineChars="200"/>
    </w:pPr>
  </w:style>
  <w:style w:type="paragraph" w:styleId="17">
    <w:name w:val="List Paragraph"/>
    <w:basedOn w:val="1"/>
    <w:qFormat/>
    <w:uiPriority w:val="0"/>
    <w:pPr>
      <w:ind w:firstLine="420" w:firstLineChars="200"/>
    </w:pPr>
    <w:rPr>
      <w:rFonts w:ascii="等线" w:hAnsi="等线" w:eastAsia="等线"/>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D2B02-5462-44CF-B2BB-B244C3E0CA68}">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14</Pages>
  <Words>9602</Words>
  <Characters>9927</Characters>
  <Lines>84</Lines>
  <Paragraphs>23</Paragraphs>
  <TotalTime>0</TotalTime>
  <ScaleCrop>false</ScaleCrop>
  <LinksUpToDate>false</LinksUpToDate>
  <CharactersWithSpaces>10614</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2020-11-23T07:12:00Z</dcterms:created>
  <dc:creator>USER</dc:creator>
  <cp:lastModifiedBy>GIGABYTE</cp:lastModifiedBy>
  <cp:lastPrinted>2020-10-12T08:48:00Z</cp:lastPrinted>
  <dcterms:modified xsi:type="dcterms:W3CDTF">2022-04-18T02:32:24Z</dcterms:modified>
  <dc:title>扶贫领域基层政务公开标准目录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CB5C73F640D84E4C8A107CF797679172</vt:lpwstr>
  </property>
</Properties>
</file>