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eastAsia="方正小标宋简体"/>
          <w:b w:val="0"/>
          <w:sz w:val="36"/>
        </w:rPr>
      </w:pPr>
      <w:bookmarkStart w:id="1" w:name="_GoBack"/>
      <w:bookmarkStart w:id="0" w:name="_Toc24724723"/>
      <w:r>
        <w:rPr>
          <w:rFonts w:hint="eastAsia" w:ascii="方正小标宋简体" w:eastAsia="方正小标宋简体"/>
          <w:b w:val="0"/>
          <w:sz w:val="36"/>
        </w:rPr>
        <w:t>（</w:t>
      </w:r>
      <w:r>
        <w:rPr>
          <w:rFonts w:hint="eastAsia" w:ascii="方正小标宋简体" w:eastAsia="方正小标宋简体"/>
          <w:b w:val="0"/>
          <w:sz w:val="36"/>
          <w:lang w:val="en-US" w:eastAsia="zh-CN"/>
        </w:rPr>
        <w:t>十九</w:t>
      </w:r>
      <w:r>
        <w:rPr>
          <w:rFonts w:hint="eastAsia" w:ascii="方正小标宋简体" w:eastAsia="方正小标宋简体"/>
          <w:b w:val="0"/>
          <w:sz w:val="36"/>
        </w:rPr>
        <w:t>）公共文化服务领域基层政务公开标准目录</w:t>
      </w:r>
      <w:bookmarkEnd w:id="0"/>
    </w:p>
    <w:bookmarkEnd w:id="1"/>
    <w:tbl>
      <w:tblPr>
        <w:tblStyle w:val="10"/>
        <w:tblW w:w="152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709"/>
        <w:gridCol w:w="1487"/>
        <w:gridCol w:w="1450"/>
        <w:gridCol w:w="2538"/>
        <w:gridCol w:w="2337"/>
        <w:gridCol w:w="1586"/>
        <w:gridCol w:w="628"/>
        <w:gridCol w:w="893"/>
        <w:gridCol w:w="429"/>
        <w:gridCol w:w="428"/>
        <w:gridCol w:w="450"/>
        <w:gridCol w:w="489"/>
        <w:gridCol w:w="454"/>
        <w:gridCol w:w="451"/>
        <w:gridCol w:w="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502" w:type="dxa"/>
            <w:vMerge w:val="restart"/>
            <w:vAlign w:val="center"/>
          </w:tcPr>
          <w:p>
            <w:pPr>
              <w:widowControl/>
              <w:jc w:val="center"/>
              <w:rPr>
                <w:rFonts w:ascii="Times New Roman" w:hAnsi="Times New Roman"/>
                <w:color w:val="000000"/>
                <w:kern w:val="0"/>
                <w:sz w:val="22"/>
              </w:rPr>
            </w:pPr>
            <w:r>
              <w:rPr>
                <w:rFonts w:hint="eastAsia" w:ascii="黑体" w:hAnsi="宋体" w:eastAsia="黑体" w:cs="宋体"/>
                <w:color w:val="000000"/>
                <w:kern w:val="0"/>
                <w:sz w:val="22"/>
              </w:rPr>
              <w:t>序号</w:t>
            </w:r>
          </w:p>
        </w:tc>
        <w:tc>
          <w:tcPr>
            <w:tcW w:w="3646" w:type="dxa"/>
            <w:gridSpan w:val="3"/>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3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3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8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628"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89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85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93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45"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502" w:type="dxa"/>
            <w:vMerge w:val="continue"/>
            <w:vAlign w:val="center"/>
          </w:tcPr>
          <w:p>
            <w:pPr>
              <w:widowControl/>
              <w:jc w:val="center"/>
              <w:rPr>
                <w:rFonts w:ascii="Times New Roman" w:hAnsi="Times New Roman"/>
                <w:color w:val="000000"/>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87"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事项</w:t>
            </w:r>
          </w:p>
        </w:tc>
        <w:tc>
          <w:tcPr>
            <w:tcW w:w="1450"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三级</w:t>
            </w:r>
          </w:p>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事项</w:t>
            </w:r>
          </w:p>
        </w:tc>
        <w:tc>
          <w:tcPr>
            <w:tcW w:w="2538" w:type="dxa"/>
            <w:vMerge w:val="continue"/>
            <w:vAlign w:val="center"/>
          </w:tcPr>
          <w:p>
            <w:pPr>
              <w:widowControl/>
              <w:jc w:val="left"/>
              <w:rPr>
                <w:rFonts w:ascii="黑体" w:hAnsi="宋体" w:eastAsia="黑体" w:cs="宋体"/>
                <w:color w:val="000000"/>
                <w:kern w:val="0"/>
                <w:sz w:val="22"/>
              </w:rPr>
            </w:pPr>
          </w:p>
        </w:tc>
        <w:tc>
          <w:tcPr>
            <w:tcW w:w="2337" w:type="dxa"/>
            <w:vMerge w:val="continue"/>
            <w:vAlign w:val="center"/>
          </w:tcPr>
          <w:p>
            <w:pPr>
              <w:widowControl/>
              <w:jc w:val="left"/>
              <w:rPr>
                <w:rFonts w:ascii="黑体" w:hAnsi="宋体" w:eastAsia="黑体" w:cs="宋体"/>
                <w:color w:val="000000"/>
                <w:kern w:val="0"/>
                <w:sz w:val="22"/>
              </w:rPr>
            </w:pPr>
          </w:p>
        </w:tc>
        <w:tc>
          <w:tcPr>
            <w:tcW w:w="1586" w:type="dxa"/>
            <w:vMerge w:val="continue"/>
            <w:vAlign w:val="center"/>
          </w:tcPr>
          <w:p>
            <w:pPr>
              <w:widowControl/>
              <w:jc w:val="left"/>
              <w:rPr>
                <w:rFonts w:ascii="黑体" w:hAnsi="宋体" w:eastAsia="黑体" w:cs="宋体"/>
                <w:color w:val="000000"/>
                <w:kern w:val="0"/>
                <w:sz w:val="22"/>
              </w:rPr>
            </w:pPr>
          </w:p>
        </w:tc>
        <w:tc>
          <w:tcPr>
            <w:tcW w:w="628" w:type="dxa"/>
            <w:vMerge w:val="continue"/>
            <w:vAlign w:val="center"/>
          </w:tcPr>
          <w:p>
            <w:pPr>
              <w:widowControl/>
              <w:jc w:val="left"/>
              <w:rPr>
                <w:rFonts w:ascii="黑体" w:hAnsi="宋体" w:eastAsia="黑体" w:cs="宋体"/>
                <w:color w:val="000000"/>
                <w:kern w:val="0"/>
                <w:sz w:val="22"/>
              </w:rPr>
            </w:pPr>
          </w:p>
        </w:tc>
        <w:tc>
          <w:tcPr>
            <w:tcW w:w="893" w:type="dxa"/>
            <w:vMerge w:val="continue"/>
            <w:vAlign w:val="center"/>
          </w:tcPr>
          <w:p>
            <w:pPr>
              <w:widowControl/>
              <w:jc w:val="left"/>
              <w:rPr>
                <w:rFonts w:ascii="黑体" w:hAnsi="宋体" w:eastAsia="黑体" w:cs="宋体"/>
                <w:kern w:val="0"/>
                <w:sz w:val="22"/>
              </w:rPr>
            </w:pPr>
          </w:p>
        </w:tc>
        <w:tc>
          <w:tcPr>
            <w:tcW w:w="42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42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48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54" w:type="dxa"/>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市级</w:t>
            </w:r>
          </w:p>
        </w:tc>
        <w:tc>
          <w:tcPr>
            <w:tcW w:w="4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502" w:type="dxa"/>
            <w:vMerge w:val="restart"/>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709"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487" w:type="dxa"/>
            <w:vMerge w:val="restart"/>
            <w:vAlign w:val="center"/>
          </w:tcPr>
          <w:p>
            <w:pPr>
              <w:spacing w:line="240" w:lineRule="exact"/>
              <w:rPr>
                <w:rFonts w:hint="eastAsia" w:ascii="仿宋_GB2312" w:hAnsi="Times New Roman" w:eastAsia="仿宋_GB2312"/>
                <w:sz w:val="18"/>
                <w:szCs w:val="18"/>
                <w:highlight w:val="yellow"/>
              </w:rPr>
            </w:pPr>
            <w:r>
              <w:rPr>
                <w:rFonts w:hint="eastAsia" w:ascii="仿宋_GB2312" w:hAnsi="Times New Roman" w:eastAsia="仿宋_GB2312"/>
                <w:sz w:val="18"/>
                <w:szCs w:val="18"/>
              </w:rPr>
              <w:t>互联网上网服务营业场所经营许可</w:t>
            </w: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1.互联网上网服务营业场所设立许可</w:t>
            </w:r>
          </w:p>
        </w:tc>
        <w:tc>
          <w:tcPr>
            <w:tcW w:w="2538" w:type="dxa"/>
            <w:vAlign w:val="center"/>
          </w:tcPr>
          <w:p>
            <w:pPr>
              <w:numPr>
                <w:ilvl w:val="0"/>
                <w:numId w:val="1"/>
              </w:num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办事指南：主要包括事项名称、设定依据、申请条件、办理材料、办理地点、办理时间、联系电话、办理流程、办理期限、申请行政许可需要提交的全部材料目录及办理情况。</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《行政许可法》、《政府信息公开条例》、《互联网上网服务营业场所管理条例》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502" w:type="dxa"/>
            <w:vMerge w:val="continue"/>
            <w:vAlign w:val="center"/>
          </w:tcPr>
          <w:p>
            <w:pPr>
              <w:spacing w:line="240" w:lineRule="exact"/>
              <w:jc w:val="center"/>
              <w:rPr>
                <w:rFonts w:hint="eastAsia" w:ascii="仿宋_GB2312" w:hAnsi="Times New Roman" w:eastAsia="仿宋_GB2312"/>
                <w:sz w:val="18"/>
                <w:szCs w:val="18"/>
                <w:highlight w:val="yellow"/>
              </w:rPr>
            </w:pPr>
          </w:p>
        </w:tc>
        <w:tc>
          <w:tcPr>
            <w:tcW w:w="709" w:type="dxa"/>
            <w:vMerge w:val="continue"/>
            <w:vAlign w:val="center"/>
          </w:tcPr>
          <w:p>
            <w:pPr>
              <w:spacing w:line="240" w:lineRule="exact"/>
              <w:rPr>
                <w:rFonts w:hint="eastAsia" w:ascii="仿宋_GB2312" w:hAnsi="Times New Roman" w:eastAsia="仿宋_GB2312"/>
                <w:sz w:val="18"/>
                <w:szCs w:val="18"/>
                <w:highlight w:val="yellow"/>
              </w:rPr>
            </w:pPr>
          </w:p>
        </w:tc>
        <w:tc>
          <w:tcPr>
            <w:tcW w:w="1487" w:type="dxa"/>
            <w:vMerge w:val="continue"/>
            <w:vAlign w:val="center"/>
          </w:tcPr>
          <w:p>
            <w:pPr>
              <w:spacing w:line="240" w:lineRule="exact"/>
              <w:rPr>
                <w:rFonts w:hint="eastAsia" w:ascii="仿宋_GB2312" w:hAnsi="Times New Roman" w:eastAsia="仿宋_GB2312"/>
                <w:sz w:val="18"/>
                <w:szCs w:val="18"/>
                <w:highlight w:val="yellow"/>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2.互联网上网服务营业场所变更许可</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《行政许可法》、《政府信息公开条例》、《互联网上网服务营业场所管理条例》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3.香港、澳门服务提供者在内地设立内地方控股的合资演出团体审批</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0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487" w:type="dxa"/>
            <w:vMerge w:val="continue"/>
            <w:vAlign w:val="center"/>
          </w:tcPr>
          <w:p>
            <w:pPr>
              <w:spacing w:line="240" w:lineRule="exact"/>
              <w:rPr>
                <w:rFonts w:hint="eastAsia" w:ascii="仿宋_GB2312" w:hAnsi="Times New Roman" w:eastAsia="仿宋_GB2312"/>
                <w:sz w:val="18"/>
                <w:szCs w:val="18"/>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4.香港、澳门服务提供者在内地设立内地方控股的合资演出团体变更、延续、补证、注销审批</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highlight w:val="lightGray"/>
              </w:rPr>
            </w:pPr>
            <w:r>
              <w:rPr>
                <w:rFonts w:hint="eastAsia" w:ascii="仿宋_GB2312" w:hAnsi="Times New Roman" w:eastAsia="仿宋_GB2312"/>
                <w:sz w:val="18"/>
                <w:szCs w:val="18"/>
              </w:rPr>
              <w:t>《行政许可法》、《政府信息公开条例》、《营业性演出管理条例》、《文化部关于落实“先照后证”改进文化市场行政审批工作的通知》</w:t>
            </w:r>
          </w:p>
        </w:tc>
        <w:tc>
          <w:tcPr>
            <w:tcW w:w="1586" w:type="dxa"/>
            <w:vAlign w:val="center"/>
          </w:tcPr>
          <w:p>
            <w:pPr>
              <w:spacing w:line="240" w:lineRule="exact"/>
              <w:rPr>
                <w:rFonts w:hint="eastAsia" w:ascii="仿宋_GB2312" w:hAnsi="Times New Roman" w:eastAsia="仿宋_GB2312"/>
                <w:sz w:val="18"/>
                <w:szCs w:val="18"/>
                <w:highlight w:val="lightGray"/>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highlight w:val="lightGray"/>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highlight w:val="lightGray"/>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09"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487" w:type="dxa"/>
            <w:vMerge w:val="continue"/>
            <w:vAlign w:val="center"/>
          </w:tcPr>
          <w:p>
            <w:pPr>
              <w:spacing w:line="240" w:lineRule="exact"/>
              <w:rPr>
                <w:rFonts w:hint="eastAsia" w:ascii="仿宋_GB2312" w:hAnsi="Times New Roman" w:eastAsia="仿宋_GB2312"/>
                <w:sz w:val="18"/>
                <w:szCs w:val="18"/>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5.国内文艺表演团体设立审批</w:t>
            </w:r>
          </w:p>
        </w:tc>
        <w:tc>
          <w:tcPr>
            <w:tcW w:w="2538" w:type="dxa"/>
            <w:vAlign w:val="center"/>
          </w:tcPr>
          <w:p>
            <w:pPr>
              <w:spacing w:line="240" w:lineRule="exact"/>
              <w:rPr>
                <w:rFonts w:hint="eastAsia" w:ascii="仿宋_GB2312" w:hAnsi="Times New Roman" w:eastAsia="仿宋_GB2312"/>
                <w:b/>
                <w:bCs/>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pPr>
              <w:jc w:val="cente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continue"/>
            <w:vAlign w:val="center"/>
          </w:tcPr>
          <w:p>
            <w:pPr>
              <w:spacing w:line="240" w:lineRule="exact"/>
              <w:rPr>
                <w:rFonts w:hint="eastAsia" w:ascii="仿宋_GB2312" w:hAnsi="Times New Roman" w:eastAsia="仿宋_GB2312"/>
                <w:sz w:val="18"/>
                <w:szCs w:val="18"/>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6.国内文艺表演团体变更</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pPr>
              <w:jc w:val="cente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continue"/>
            <w:vAlign w:val="center"/>
          </w:tcPr>
          <w:p>
            <w:pPr>
              <w:spacing w:line="240" w:lineRule="exact"/>
              <w:rPr>
                <w:rFonts w:hint="eastAsia" w:ascii="仿宋_GB2312" w:hAnsi="Times New Roman" w:eastAsia="仿宋_GB2312"/>
                <w:sz w:val="18"/>
                <w:szCs w:val="18"/>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7.国内文艺表演团体注销</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pPr>
              <w:jc w:val="cente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continue"/>
            <w:vAlign w:val="center"/>
          </w:tcPr>
          <w:p>
            <w:pPr>
              <w:spacing w:line="240" w:lineRule="exact"/>
              <w:rPr>
                <w:rFonts w:hint="eastAsia" w:ascii="仿宋_GB2312" w:hAnsi="Times New Roman" w:eastAsia="仿宋_GB2312"/>
                <w:sz w:val="18"/>
                <w:szCs w:val="18"/>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8.国内文艺表演团体延续</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pPr>
              <w:jc w:val="cente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continue"/>
            <w:vAlign w:val="center"/>
          </w:tcPr>
          <w:p>
            <w:pPr>
              <w:spacing w:line="240" w:lineRule="exact"/>
              <w:rPr>
                <w:rFonts w:hint="eastAsia" w:ascii="仿宋_GB2312" w:hAnsi="Times New Roman" w:eastAsia="仿宋_GB2312"/>
                <w:sz w:val="18"/>
                <w:szCs w:val="18"/>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9.国内文艺表演团体补证</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《行政许可法》、《政府信息公开条例》、《营业性演出管理条例》、《文化部关于落实“先照后证”改进文化市场行政审批工作的通知》</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pPr>
              <w:jc w:val="cente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70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487"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营业性演出审批</w:t>
            </w: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10.举办涉港澳和在歌舞娱乐场所进行的涉外营业性演出审批</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70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487" w:type="dxa"/>
            <w:vMerge w:val="continue"/>
            <w:vAlign w:val="center"/>
          </w:tcPr>
          <w:p>
            <w:pPr>
              <w:spacing w:line="240" w:lineRule="exact"/>
              <w:rPr>
                <w:rFonts w:hint="eastAsia" w:ascii="仿宋_GB2312" w:hAnsi="Times New Roman" w:eastAsia="仿宋_GB2312"/>
                <w:sz w:val="18"/>
                <w:szCs w:val="18"/>
                <w:highlight w:val="yellow"/>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11.涉港澳和在歌舞娱乐场所进行的涉外营业性演出变更审批</w:t>
            </w:r>
          </w:p>
        </w:tc>
        <w:tc>
          <w:tcPr>
            <w:tcW w:w="2538"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70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487" w:type="dxa"/>
            <w:vMerge w:val="continue"/>
            <w:vAlign w:val="center"/>
          </w:tcPr>
          <w:p>
            <w:pPr>
              <w:spacing w:line="240" w:lineRule="exact"/>
              <w:rPr>
                <w:rFonts w:hint="eastAsia" w:ascii="仿宋_GB2312" w:hAnsi="Times New Roman" w:eastAsia="仿宋_GB2312"/>
                <w:sz w:val="18"/>
                <w:szCs w:val="18"/>
                <w:highlight w:val="yellow"/>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12.举办国内营业性演出审批</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《行政许可法》、《政府信息公开条例》、《互联网上网服务营业场所管理条例》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70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487" w:type="dxa"/>
            <w:vMerge w:val="continue"/>
            <w:vAlign w:val="center"/>
          </w:tcPr>
          <w:p>
            <w:pPr>
              <w:spacing w:line="240" w:lineRule="exact"/>
              <w:rPr>
                <w:rFonts w:hint="eastAsia" w:ascii="仿宋_GB2312" w:hAnsi="Times New Roman" w:eastAsia="仿宋_GB2312"/>
                <w:sz w:val="18"/>
                <w:szCs w:val="18"/>
                <w:highlight w:val="yellow"/>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13.国内营业性演出变更演出时间、场地、演员、节目审批</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《行政许可法》、《政府信息公开条例》、《互联网上网服务营业场所管理条例》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709"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487" w:type="dxa"/>
            <w:vMerge w:val="restart"/>
            <w:vAlign w:val="center"/>
          </w:tcPr>
          <w:p>
            <w:pPr>
              <w:spacing w:line="240" w:lineRule="exact"/>
              <w:rPr>
                <w:rFonts w:hint="eastAsia" w:ascii="仿宋_GB2312" w:hAnsi="Times New Roman" w:eastAsia="仿宋_GB2312"/>
                <w:sz w:val="18"/>
                <w:szCs w:val="18"/>
                <w:highlight w:val="yellow"/>
              </w:rPr>
            </w:pPr>
            <w:r>
              <w:rPr>
                <w:rFonts w:hint="eastAsia" w:ascii="仿宋_GB2312" w:hAnsi="Times New Roman" w:eastAsia="仿宋_GB2312"/>
                <w:sz w:val="18"/>
                <w:szCs w:val="18"/>
              </w:rPr>
              <w:t>娱乐场所经营许可</w:t>
            </w: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14.设立中外合资、中外合作经营娱乐场所审批</w:t>
            </w:r>
          </w:p>
        </w:tc>
        <w:tc>
          <w:tcPr>
            <w:tcW w:w="2538" w:type="dxa"/>
            <w:vAlign w:val="center"/>
          </w:tcPr>
          <w:p>
            <w:pPr>
              <w:spacing w:line="240" w:lineRule="exact"/>
              <w:rPr>
                <w:rFonts w:hint="eastAsia" w:ascii="仿宋_GB2312" w:hAnsi="Times New Roman" w:eastAsia="仿宋_GB2312"/>
                <w:sz w:val="11"/>
                <w:szCs w:val="11"/>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continue"/>
            <w:vAlign w:val="center"/>
          </w:tcPr>
          <w:p>
            <w:pPr>
              <w:spacing w:line="240" w:lineRule="exact"/>
              <w:rPr>
                <w:rFonts w:hint="eastAsia" w:ascii="仿宋_GB2312" w:hAnsi="Times New Roman" w:eastAsia="仿宋_GB2312"/>
                <w:sz w:val="18"/>
                <w:szCs w:val="18"/>
                <w:highlight w:val="yellow"/>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15.中外合资、中外合作经营娱乐场所变更、延续、补证、注销审批</w:t>
            </w:r>
          </w:p>
        </w:tc>
        <w:tc>
          <w:tcPr>
            <w:tcW w:w="2538" w:type="dxa"/>
            <w:vAlign w:val="center"/>
          </w:tcPr>
          <w:p>
            <w:pPr>
              <w:spacing w:line="240" w:lineRule="exact"/>
              <w:rPr>
                <w:rFonts w:hint="eastAsia" w:ascii="仿宋_GB2312" w:hAnsi="Times New Roman" w:eastAsia="仿宋_GB2312"/>
                <w:sz w:val="8"/>
                <w:szCs w:val="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continue"/>
            <w:vAlign w:val="center"/>
          </w:tcPr>
          <w:p>
            <w:pPr>
              <w:spacing w:line="240" w:lineRule="exact"/>
              <w:rPr>
                <w:rFonts w:hint="eastAsia" w:ascii="仿宋_GB2312" w:hAnsi="Times New Roman" w:eastAsia="仿宋_GB2312"/>
                <w:sz w:val="18"/>
                <w:szCs w:val="18"/>
                <w:highlight w:val="yellow"/>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16.香港、澳门服务提供者在广东省独资设立娱乐场所审批</w:t>
            </w:r>
          </w:p>
        </w:tc>
        <w:tc>
          <w:tcPr>
            <w:tcW w:w="2538" w:type="dxa"/>
            <w:vAlign w:val="center"/>
          </w:tcPr>
          <w:p>
            <w:pPr>
              <w:spacing w:line="240" w:lineRule="exact"/>
              <w:rPr>
                <w:rFonts w:hint="eastAsia" w:ascii="仿宋_GB2312" w:hAnsi="Times New Roman" w:eastAsia="仿宋_GB2312"/>
                <w:sz w:val="8"/>
                <w:szCs w:val="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continue"/>
            <w:vAlign w:val="center"/>
          </w:tcPr>
          <w:p>
            <w:pPr>
              <w:spacing w:line="240" w:lineRule="exact"/>
              <w:rPr>
                <w:rFonts w:hint="eastAsia" w:ascii="仿宋_GB2312" w:hAnsi="Times New Roman" w:eastAsia="仿宋_GB2312"/>
                <w:sz w:val="18"/>
                <w:szCs w:val="18"/>
                <w:highlight w:val="yellow"/>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17.香港、澳门服务提供者在广东省独资设立娱乐场所变更、延续、补证、注销审批</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continue"/>
            <w:vAlign w:val="center"/>
          </w:tcPr>
          <w:p>
            <w:pPr>
              <w:spacing w:line="240" w:lineRule="exact"/>
              <w:rPr>
                <w:rFonts w:hint="eastAsia" w:ascii="仿宋_GB2312" w:hAnsi="Times New Roman" w:eastAsia="仿宋_GB2312"/>
                <w:sz w:val="18"/>
                <w:szCs w:val="18"/>
                <w:highlight w:val="yellow"/>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18.设立内资娱乐场所审批</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r>
              <w:rPr>
                <w:rFonts w:hint="eastAsia" w:ascii="仿宋_GB2312" w:hAnsi="Times New Roman" w:eastAsia="仿宋_GB2312"/>
                <w:sz w:val="18"/>
                <w:szCs w:val="18"/>
              </w:rPr>
              <w:br w:type="textWrapping"/>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Merge w:val="continue"/>
            <w:vAlign w:val="center"/>
          </w:tcPr>
          <w:p>
            <w:pPr>
              <w:spacing w:line="240" w:lineRule="exact"/>
              <w:rPr>
                <w:rFonts w:hint="eastAsia" w:ascii="仿宋_GB2312" w:hAnsi="Times New Roman" w:eastAsia="仿宋_GB2312"/>
                <w:sz w:val="18"/>
                <w:szCs w:val="18"/>
                <w:highlight w:val="yellow"/>
              </w:rPr>
            </w:pPr>
          </w:p>
        </w:tc>
        <w:tc>
          <w:tcPr>
            <w:tcW w:w="1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19.内资娱乐场所变更、延续、补证、注销审批</w:t>
            </w: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p>
        </w:tc>
        <w:tc>
          <w:tcPr>
            <w:tcW w:w="454" w:type="dxa"/>
            <w:vAlign w:val="center"/>
          </w:tcPr>
          <w:p>
            <w:pPr>
              <w:spacing w:line="240" w:lineRule="exact"/>
              <w:rPr>
                <w:rFonts w:hint="eastAsia" w:ascii="仿宋_GB2312" w:hAnsi="Times New Roman" w:eastAsia="仿宋_GB2312"/>
                <w:sz w:val="18"/>
                <w:szCs w:val="18"/>
              </w:rPr>
            </w:pPr>
          </w:p>
        </w:tc>
        <w:tc>
          <w:tcPr>
            <w:tcW w:w="451" w:type="dxa"/>
            <w:vAlign w:val="center"/>
          </w:tcPr>
          <w:p>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市、县级文物保护单位保护范围内其他建设工程或者爆破、钻探、挖掘等作业审批</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市、县级文物保护单位建设控制地带内建设工程设计方案审批</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市、县级文物保护单位实施原址保护措施审批</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8</w:t>
            </w:r>
          </w:p>
        </w:tc>
        <w:tc>
          <w:tcPr>
            <w:tcW w:w="709"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市、县级文物保护单位和未核定为文物保护单位的不可移动文物修缮审批</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pPr>
            <w:r>
              <w:rPr>
                <w:rFonts w:hint="eastAsia" w:ascii="仿宋_GB2312" w:hAnsi="Times New Roman" w:eastAsia="仿宋_GB2312"/>
                <w:sz w:val="18"/>
                <w:szCs w:val="18"/>
              </w:rPr>
              <w:t>√</w:t>
            </w:r>
          </w:p>
        </w:tc>
        <w:tc>
          <w:tcPr>
            <w:tcW w:w="451" w:type="dxa"/>
            <w:vAlign w:val="center"/>
          </w:tcPr>
          <w:p>
            <w:pPr>
              <w:spacing w:line="240" w:lineRule="exact"/>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9</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核定为市、县级文物保护单位的属于国家所有的纪念建筑物或者古建筑改变用途审批</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10</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■公开查阅点     ■政务服务中心     </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11</w:t>
            </w:r>
          </w:p>
        </w:tc>
        <w:tc>
          <w:tcPr>
            <w:tcW w:w="709"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5"/>
                <w:szCs w:val="15"/>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86" w:type="dxa"/>
            <w:vAlign w:val="center"/>
          </w:tcPr>
          <w:p>
            <w:pPr>
              <w:spacing w:line="240" w:lineRule="exact"/>
              <w:rPr>
                <w:rFonts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12</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5"/>
                <w:szCs w:val="15"/>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586"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13</w:t>
            </w:r>
          </w:p>
        </w:tc>
        <w:tc>
          <w:tcPr>
            <w:tcW w:w="709"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586"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14</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5"/>
                <w:szCs w:val="15"/>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586"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15</w:t>
            </w:r>
          </w:p>
        </w:tc>
        <w:tc>
          <w:tcPr>
            <w:tcW w:w="709"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对网络游戏运营单位违法行为的行政处罚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5"/>
                <w:szCs w:val="15"/>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586"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16</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5"/>
                <w:szCs w:val="15"/>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586"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17</w:t>
            </w:r>
          </w:p>
        </w:tc>
        <w:tc>
          <w:tcPr>
            <w:tcW w:w="709"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586" w:type="dxa"/>
            <w:vAlign w:val="center"/>
          </w:tcPr>
          <w:p>
            <w:pPr>
              <w:spacing w:line="240" w:lineRule="exact"/>
              <w:rPr>
                <w:rFonts w:ascii="仿宋_GB2312" w:hAnsi="Times New Roman" w:eastAsia="仿宋_GB2312"/>
                <w:sz w:val="15"/>
                <w:szCs w:val="15"/>
              </w:rPr>
            </w:pPr>
            <w:r>
              <w:rPr>
                <w:rFonts w:hint="eastAsia" w:ascii="仿宋_GB2312" w:hAnsi="Times New Roman" w:eastAsia="仿宋_GB2312"/>
                <w:sz w:val="15"/>
                <w:szCs w:val="15"/>
              </w:rPr>
              <w:t>执法决定信息在决定作出之日起7个工作日内公开，其他相关信息形成或变更之日起20个工作日内公开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18</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ascii="仿宋_GB2312" w:hAnsi="Times New Roman" w:eastAsia="仿宋_GB2312"/>
                <w:sz w:val="15"/>
                <w:szCs w:val="15"/>
              </w:rPr>
            </w:pPr>
            <w:r>
              <w:rPr>
                <w:rFonts w:hint="eastAsia" w:ascii="仿宋_GB2312" w:hAnsi="Times New Roman" w:eastAsia="仿宋_GB2312"/>
                <w:sz w:val="15"/>
                <w:szCs w:val="15"/>
              </w:rPr>
              <w:t>执法决定信息在决定作出之日起7个工作日内公开，其他相关信息形成或变更之日起20个工作日内公开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19</w:t>
            </w:r>
          </w:p>
        </w:tc>
        <w:tc>
          <w:tcPr>
            <w:tcW w:w="709"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5"/>
                <w:szCs w:val="15"/>
              </w:rPr>
              <w:t>对在文物保护单位的建设控制地带内进行建设工程，其工程设计方案未经文物行政部门同意、报城乡建设规划部门批准，对文物保护单位的历史风貌造成破坏的行为进行处罚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5"/>
                <w:szCs w:val="15"/>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20</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5"/>
                <w:szCs w:val="15"/>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709"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5"/>
                <w:szCs w:val="15"/>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22</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23</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24</w:t>
            </w:r>
          </w:p>
        </w:tc>
        <w:tc>
          <w:tcPr>
            <w:tcW w:w="709"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25</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26</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27</w:t>
            </w:r>
          </w:p>
        </w:tc>
        <w:tc>
          <w:tcPr>
            <w:tcW w:w="709" w:type="dxa"/>
            <w:vMerge w:val="restart"/>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28</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29</w:t>
            </w:r>
          </w:p>
        </w:tc>
        <w:tc>
          <w:tcPr>
            <w:tcW w:w="709" w:type="dxa"/>
            <w:vMerge w:val="restart"/>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30</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31</w:t>
            </w:r>
          </w:p>
        </w:tc>
        <w:tc>
          <w:tcPr>
            <w:tcW w:w="709" w:type="dxa"/>
            <w:vMerge w:val="restart"/>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32</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33</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34</w:t>
            </w:r>
          </w:p>
        </w:tc>
        <w:tc>
          <w:tcPr>
            <w:tcW w:w="709"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35</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tcPr>
          <w:p>
            <w:pPr>
              <w:spacing w:line="240" w:lineRule="exact"/>
              <w:rPr>
                <w:rFonts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36</w:t>
            </w:r>
          </w:p>
        </w:tc>
        <w:tc>
          <w:tcPr>
            <w:tcW w:w="709"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37</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《政府信息公开条例》、《国务院办公厅关于全面推行行政执法公示制度执法全过程记录制度重大执法决定法制审核制度的指导意见》</w:t>
            </w:r>
          </w:p>
        </w:tc>
        <w:tc>
          <w:tcPr>
            <w:tcW w:w="1586" w:type="dxa"/>
            <w:vAlign w:val="center"/>
          </w:tcPr>
          <w:p>
            <w:pPr>
              <w:spacing w:line="240" w:lineRule="exact"/>
              <w:rPr>
                <w:rFonts w:ascii="仿宋_GB2312" w:hAnsi="Times New Roman" w:eastAsia="仿宋_GB2312"/>
                <w:sz w:val="15"/>
                <w:szCs w:val="15"/>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38</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强制</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对擅自从事互联网上网服务经营活动场所的查封，专用工具、设备的扣押</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p>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3.处罚依据；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4.处罚结果。</w:t>
            </w:r>
          </w:p>
        </w:tc>
        <w:tc>
          <w:tcPr>
            <w:tcW w:w="2337" w:type="dxa"/>
            <w:vAlign w:val="center"/>
          </w:tcPr>
          <w:p>
            <w:pPr>
              <w:spacing w:line="240" w:lineRule="exact"/>
              <w:rPr>
                <w:rFonts w:ascii="仿宋_GB2312" w:hAnsi="Times New Roman" w:eastAsia="仿宋_GB2312"/>
                <w:sz w:val="15"/>
                <w:szCs w:val="15"/>
              </w:rPr>
            </w:pPr>
            <w:r>
              <w:rPr>
                <w:rFonts w:hint="eastAsia" w:ascii="仿宋_GB2312" w:hAnsi="Times New Roman" w:eastAsia="仿宋_GB2312"/>
                <w:sz w:val="18"/>
                <w:szCs w:val="18"/>
              </w:rPr>
              <w:t>《政府信息公开条例》、《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586" w:type="dxa"/>
            <w:vAlign w:val="center"/>
          </w:tcPr>
          <w:p>
            <w:pPr>
              <w:spacing w:line="240" w:lineRule="exact"/>
              <w:rPr>
                <w:rFonts w:ascii="仿宋_GB2312" w:hAnsi="Times New Roman" w:eastAsia="仿宋_GB2312"/>
                <w:sz w:val="15"/>
                <w:szCs w:val="15"/>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■政府网站          </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39</w:t>
            </w:r>
          </w:p>
        </w:tc>
        <w:tc>
          <w:tcPr>
            <w:tcW w:w="709" w:type="dxa"/>
            <w:vMerge w:val="restart"/>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40</w:t>
            </w:r>
          </w:p>
        </w:tc>
        <w:tc>
          <w:tcPr>
            <w:tcW w:w="709" w:type="dxa"/>
            <w:vMerge w:val="continue"/>
            <w:vAlign w:val="center"/>
          </w:tcPr>
          <w:p>
            <w:pPr>
              <w:spacing w:line="240" w:lineRule="exact"/>
              <w:rPr>
                <w:rFonts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41</w:t>
            </w:r>
          </w:p>
        </w:tc>
        <w:tc>
          <w:tcPr>
            <w:tcW w:w="709" w:type="dxa"/>
            <w:vMerge w:val="restart"/>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42</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43</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44</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45</w:t>
            </w:r>
          </w:p>
        </w:tc>
        <w:tc>
          <w:tcPr>
            <w:tcW w:w="709" w:type="dxa"/>
            <w:vMerge w:val="continue"/>
            <w:vAlign w:val="center"/>
          </w:tcPr>
          <w:p>
            <w:pPr>
              <w:spacing w:line="240" w:lineRule="exact"/>
              <w:rPr>
                <w:rFonts w:hint="eastAsia" w:ascii="仿宋_GB2312" w:hAnsi="Times New Roman" w:eastAsia="仿宋_GB2312"/>
                <w:sz w:val="18"/>
                <w:szCs w:val="18"/>
              </w:rPr>
            </w:pP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46</w:t>
            </w:r>
          </w:p>
        </w:tc>
        <w:tc>
          <w:tcPr>
            <w:tcW w:w="709"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4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450" w:type="dxa"/>
            <w:vAlign w:val="center"/>
          </w:tcPr>
          <w:p>
            <w:pPr>
              <w:spacing w:line="240" w:lineRule="exact"/>
              <w:rPr>
                <w:rFonts w:hint="eastAsia" w:ascii="仿宋_GB2312" w:hAnsi="Times New Roman" w:eastAsia="仿宋_GB2312"/>
                <w:sz w:val="18"/>
                <w:szCs w:val="18"/>
              </w:rPr>
            </w:pPr>
          </w:p>
        </w:tc>
        <w:tc>
          <w:tcPr>
            <w:tcW w:w="2538"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233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5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6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893"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w:t>
            </w:r>
          </w:p>
        </w:tc>
        <w:tc>
          <w:tcPr>
            <w:tcW w:w="42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28"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8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45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4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hint="eastAsia" w:ascii="Times New Roman" w:hAnsi="Times New Roman" w:eastAsia="方正小标宋_GBK"/>
          <w:sz w:val="28"/>
          <w:szCs w:val="28"/>
        </w:rPr>
      </w:pPr>
    </w:p>
    <w:sectPr>
      <w:pgSz w:w="16838" w:h="11906" w:orient="landscape"/>
      <w:pgMar w:top="851" w:right="1134" w:bottom="1418" w:left="136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576D2"/>
    <w:multiLevelType w:val="singleLevel"/>
    <w:tmpl w:val="C85576D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A5"/>
    <w:rsid w:val="00005FB9"/>
    <w:rsid w:val="00006ADC"/>
    <w:rsid w:val="0001250B"/>
    <w:rsid w:val="00015B0A"/>
    <w:rsid w:val="000201F0"/>
    <w:rsid w:val="00020EFB"/>
    <w:rsid w:val="000370A9"/>
    <w:rsid w:val="00040ED3"/>
    <w:rsid w:val="000533DA"/>
    <w:rsid w:val="0006032D"/>
    <w:rsid w:val="00060CFE"/>
    <w:rsid w:val="000645DC"/>
    <w:rsid w:val="00065A21"/>
    <w:rsid w:val="00070BF9"/>
    <w:rsid w:val="00070FC6"/>
    <w:rsid w:val="00077FC8"/>
    <w:rsid w:val="0008032D"/>
    <w:rsid w:val="00082AC9"/>
    <w:rsid w:val="00086FDC"/>
    <w:rsid w:val="0008715E"/>
    <w:rsid w:val="00093A2C"/>
    <w:rsid w:val="000964CC"/>
    <w:rsid w:val="00097674"/>
    <w:rsid w:val="000A2775"/>
    <w:rsid w:val="000A5C97"/>
    <w:rsid w:val="000A7F01"/>
    <w:rsid w:val="000B13FA"/>
    <w:rsid w:val="000C6BF3"/>
    <w:rsid w:val="000D0945"/>
    <w:rsid w:val="000D1F17"/>
    <w:rsid w:val="000E3D7D"/>
    <w:rsid w:val="000E5A3C"/>
    <w:rsid w:val="000E6E67"/>
    <w:rsid w:val="000E7C68"/>
    <w:rsid w:val="000F751F"/>
    <w:rsid w:val="00100C59"/>
    <w:rsid w:val="001024D7"/>
    <w:rsid w:val="001078E3"/>
    <w:rsid w:val="0011248F"/>
    <w:rsid w:val="0011273B"/>
    <w:rsid w:val="00116932"/>
    <w:rsid w:val="00117834"/>
    <w:rsid w:val="001273B6"/>
    <w:rsid w:val="00131909"/>
    <w:rsid w:val="00140ABD"/>
    <w:rsid w:val="0014190C"/>
    <w:rsid w:val="00142E1C"/>
    <w:rsid w:val="0014417E"/>
    <w:rsid w:val="00150886"/>
    <w:rsid w:val="00154D1A"/>
    <w:rsid w:val="001668D4"/>
    <w:rsid w:val="00167E59"/>
    <w:rsid w:val="00167F53"/>
    <w:rsid w:val="00170B78"/>
    <w:rsid w:val="00170C6B"/>
    <w:rsid w:val="00172E7B"/>
    <w:rsid w:val="00172FDE"/>
    <w:rsid w:val="00173340"/>
    <w:rsid w:val="00174543"/>
    <w:rsid w:val="00176850"/>
    <w:rsid w:val="00184E14"/>
    <w:rsid w:val="0018519A"/>
    <w:rsid w:val="001901C0"/>
    <w:rsid w:val="001905F8"/>
    <w:rsid w:val="001A0EE1"/>
    <w:rsid w:val="001A3FFF"/>
    <w:rsid w:val="001A7CDB"/>
    <w:rsid w:val="001B4494"/>
    <w:rsid w:val="001B4DA1"/>
    <w:rsid w:val="001C09D3"/>
    <w:rsid w:val="001D7831"/>
    <w:rsid w:val="001E254A"/>
    <w:rsid w:val="001E357F"/>
    <w:rsid w:val="001E40EA"/>
    <w:rsid w:val="001E42A6"/>
    <w:rsid w:val="001E7825"/>
    <w:rsid w:val="002055CD"/>
    <w:rsid w:val="00225626"/>
    <w:rsid w:val="00241BD7"/>
    <w:rsid w:val="00251380"/>
    <w:rsid w:val="00254893"/>
    <w:rsid w:val="00265B1E"/>
    <w:rsid w:val="002705D2"/>
    <w:rsid w:val="0027262A"/>
    <w:rsid w:val="00275AB0"/>
    <w:rsid w:val="0027712D"/>
    <w:rsid w:val="00277BC9"/>
    <w:rsid w:val="002818AF"/>
    <w:rsid w:val="00282FF2"/>
    <w:rsid w:val="002864E7"/>
    <w:rsid w:val="00290AAA"/>
    <w:rsid w:val="002954B3"/>
    <w:rsid w:val="00296CB4"/>
    <w:rsid w:val="002A5174"/>
    <w:rsid w:val="002B6627"/>
    <w:rsid w:val="002B79B9"/>
    <w:rsid w:val="002D218F"/>
    <w:rsid w:val="002E1CF7"/>
    <w:rsid w:val="002E23D2"/>
    <w:rsid w:val="002E33B1"/>
    <w:rsid w:val="002E5486"/>
    <w:rsid w:val="002F13AE"/>
    <w:rsid w:val="002F1EAD"/>
    <w:rsid w:val="002F3EAA"/>
    <w:rsid w:val="002F547E"/>
    <w:rsid w:val="00316253"/>
    <w:rsid w:val="003163F0"/>
    <w:rsid w:val="00320AFE"/>
    <w:rsid w:val="00321BC5"/>
    <w:rsid w:val="003228E5"/>
    <w:rsid w:val="0032427E"/>
    <w:rsid w:val="003374D8"/>
    <w:rsid w:val="00337F02"/>
    <w:rsid w:val="003436E8"/>
    <w:rsid w:val="00346A3E"/>
    <w:rsid w:val="003506F5"/>
    <w:rsid w:val="00350D04"/>
    <w:rsid w:val="00356811"/>
    <w:rsid w:val="00357025"/>
    <w:rsid w:val="003579E1"/>
    <w:rsid w:val="00360682"/>
    <w:rsid w:val="003707AD"/>
    <w:rsid w:val="00391DA6"/>
    <w:rsid w:val="00395C82"/>
    <w:rsid w:val="00396BFA"/>
    <w:rsid w:val="003A055F"/>
    <w:rsid w:val="003A4319"/>
    <w:rsid w:val="003A5130"/>
    <w:rsid w:val="003A75F6"/>
    <w:rsid w:val="003B4A21"/>
    <w:rsid w:val="003C13DB"/>
    <w:rsid w:val="003C778E"/>
    <w:rsid w:val="003C7F00"/>
    <w:rsid w:val="003D76DD"/>
    <w:rsid w:val="003E03A3"/>
    <w:rsid w:val="003E351F"/>
    <w:rsid w:val="003F66AA"/>
    <w:rsid w:val="003F7D5F"/>
    <w:rsid w:val="00403760"/>
    <w:rsid w:val="0040597B"/>
    <w:rsid w:val="00405AA0"/>
    <w:rsid w:val="0041066C"/>
    <w:rsid w:val="00413BC2"/>
    <w:rsid w:val="00420339"/>
    <w:rsid w:val="0042050B"/>
    <w:rsid w:val="00421025"/>
    <w:rsid w:val="004262D2"/>
    <w:rsid w:val="004344D3"/>
    <w:rsid w:val="00434C58"/>
    <w:rsid w:val="00443643"/>
    <w:rsid w:val="00447D1E"/>
    <w:rsid w:val="004529D1"/>
    <w:rsid w:val="00454B66"/>
    <w:rsid w:val="0046131F"/>
    <w:rsid w:val="00470A45"/>
    <w:rsid w:val="004735CC"/>
    <w:rsid w:val="00473616"/>
    <w:rsid w:val="004741F3"/>
    <w:rsid w:val="004748F3"/>
    <w:rsid w:val="00474C0C"/>
    <w:rsid w:val="004800CF"/>
    <w:rsid w:val="00480F60"/>
    <w:rsid w:val="0048114D"/>
    <w:rsid w:val="00481A24"/>
    <w:rsid w:val="004934D6"/>
    <w:rsid w:val="00495D55"/>
    <w:rsid w:val="004A6AED"/>
    <w:rsid w:val="004B70E4"/>
    <w:rsid w:val="004B7B49"/>
    <w:rsid w:val="004C0093"/>
    <w:rsid w:val="004C2064"/>
    <w:rsid w:val="004C520F"/>
    <w:rsid w:val="004D0346"/>
    <w:rsid w:val="004E0CF9"/>
    <w:rsid w:val="004E3C7D"/>
    <w:rsid w:val="004F0F2A"/>
    <w:rsid w:val="004F1782"/>
    <w:rsid w:val="004F2C26"/>
    <w:rsid w:val="004F31FF"/>
    <w:rsid w:val="004F4BBC"/>
    <w:rsid w:val="0050212F"/>
    <w:rsid w:val="0050438F"/>
    <w:rsid w:val="00504CD4"/>
    <w:rsid w:val="00510D24"/>
    <w:rsid w:val="005128E6"/>
    <w:rsid w:val="005134ED"/>
    <w:rsid w:val="00520F11"/>
    <w:rsid w:val="005222BB"/>
    <w:rsid w:val="0052697A"/>
    <w:rsid w:val="005309CA"/>
    <w:rsid w:val="00535DBF"/>
    <w:rsid w:val="00537936"/>
    <w:rsid w:val="005601E2"/>
    <w:rsid w:val="00566960"/>
    <w:rsid w:val="0056726C"/>
    <w:rsid w:val="00567A97"/>
    <w:rsid w:val="00570AD8"/>
    <w:rsid w:val="0057243A"/>
    <w:rsid w:val="00573AF7"/>
    <w:rsid w:val="00574873"/>
    <w:rsid w:val="00577B8D"/>
    <w:rsid w:val="005873B9"/>
    <w:rsid w:val="00587789"/>
    <w:rsid w:val="00590D0E"/>
    <w:rsid w:val="00595E5C"/>
    <w:rsid w:val="005A0ADC"/>
    <w:rsid w:val="005A3D28"/>
    <w:rsid w:val="005A5DD7"/>
    <w:rsid w:val="005B117C"/>
    <w:rsid w:val="005C1EA4"/>
    <w:rsid w:val="005D1EA5"/>
    <w:rsid w:val="005D4396"/>
    <w:rsid w:val="005E1276"/>
    <w:rsid w:val="005F38B9"/>
    <w:rsid w:val="00610FD3"/>
    <w:rsid w:val="0061198E"/>
    <w:rsid w:val="00615839"/>
    <w:rsid w:val="00622A42"/>
    <w:rsid w:val="006359C4"/>
    <w:rsid w:val="0063753D"/>
    <w:rsid w:val="0064282F"/>
    <w:rsid w:val="006447DD"/>
    <w:rsid w:val="0064510A"/>
    <w:rsid w:val="00646A00"/>
    <w:rsid w:val="00655727"/>
    <w:rsid w:val="0066461C"/>
    <w:rsid w:val="0067009C"/>
    <w:rsid w:val="00673CAF"/>
    <w:rsid w:val="00675DA3"/>
    <w:rsid w:val="00680467"/>
    <w:rsid w:val="00682E1D"/>
    <w:rsid w:val="00693B6C"/>
    <w:rsid w:val="006953F4"/>
    <w:rsid w:val="006A05F7"/>
    <w:rsid w:val="006A0C1A"/>
    <w:rsid w:val="006B1596"/>
    <w:rsid w:val="006B5D0D"/>
    <w:rsid w:val="006C3373"/>
    <w:rsid w:val="006C37CE"/>
    <w:rsid w:val="006C72FC"/>
    <w:rsid w:val="006D28DC"/>
    <w:rsid w:val="006E49C7"/>
    <w:rsid w:val="006E504B"/>
    <w:rsid w:val="006E5B70"/>
    <w:rsid w:val="007000D3"/>
    <w:rsid w:val="0070268C"/>
    <w:rsid w:val="00704079"/>
    <w:rsid w:val="0070432E"/>
    <w:rsid w:val="007066B2"/>
    <w:rsid w:val="00717AE7"/>
    <w:rsid w:val="00720C59"/>
    <w:rsid w:val="00722DF5"/>
    <w:rsid w:val="00726208"/>
    <w:rsid w:val="00727666"/>
    <w:rsid w:val="00731A17"/>
    <w:rsid w:val="00737236"/>
    <w:rsid w:val="007526E0"/>
    <w:rsid w:val="00754433"/>
    <w:rsid w:val="00764DBF"/>
    <w:rsid w:val="007662F5"/>
    <w:rsid w:val="007769B7"/>
    <w:rsid w:val="007803B1"/>
    <w:rsid w:val="00781C45"/>
    <w:rsid w:val="00782CAF"/>
    <w:rsid w:val="0078392A"/>
    <w:rsid w:val="00791687"/>
    <w:rsid w:val="00793C8A"/>
    <w:rsid w:val="007A13EA"/>
    <w:rsid w:val="007A5CF5"/>
    <w:rsid w:val="007B00FD"/>
    <w:rsid w:val="007B032A"/>
    <w:rsid w:val="007B6D40"/>
    <w:rsid w:val="007C2942"/>
    <w:rsid w:val="007C43ED"/>
    <w:rsid w:val="007D1ABA"/>
    <w:rsid w:val="007D4D96"/>
    <w:rsid w:val="007E5652"/>
    <w:rsid w:val="007E6AEC"/>
    <w:rsid w:val="007F1730"/>
    <w:rsid w:val="007F2517"/>
    <w:rsid w:val="007F2593"/>
    <w:rsid w:val="007F7E67"/>
    <w:rsid w:val="00800726"/>
    <w:rsid w:val="008070F0"/>
    <w:rsid w:val="00812A82"/>
    <w:rsid w:val="00814F97"/>
    <w:rsid w:val="00815596"/>
    <w:rsid w:val="0082234A"/>
    <w:rsid w:val="00824E6A"/>
    <w:rsid w:val="00831763"/>
    <w:rsid w:val="008319C2"/>
    <w:rsid w:val="00834C8B"/>
    <w:rsid w:val="008356F8"/>
    <w:rsid w:val="00835816"/>
    <w:rsid w:val="0084087D"/>
    <w:rsid w:val="00843056"/>
    <w:rsid w:val="0084306F"/>
    <w:rsid w:val="00844017"/>
    <w:rsid w:val="008445EA"/>
    <w:rsid w:val="008454E8"/>
    <w:rsid w:val="00847E39"/>
    <w:rsid w:val="00850C4C"/>
    <w:rsid w:val="00854A64"/>
    <w:rsid w:val="00856C98"/>
    <w:rsid w:val="00861EF2"/>
    <w:rsid w:val="00866024"/>
    <w:rsid w:val="008708C3"/>
    <w:rsid w:val="00872EA4"/>
    <w:rsid w:val="008832FF"/>
    <w:rsid w:val="00883971"/>
    <w:rsid w:val="00885490"/>
    <w:rsid w:val="008878BF"/>
    <w:rsid w:val="00887948"/>
    <w:rsid w:val="008915F9"/>
    <w:rsid w:val="00897C4F"/>
    <w:rsid w:val="008B7A10"/>
    <w:rsid w:val="008C4153"/>
    <w:rsid w:val="008D4338"/>
    <w:rsid w:val="008D74D9"/>
    <w:rsid w:val="008E5DCD"/>
    <w:rsid w:val="008F4728"/>
    <w:rsid w:val="00902803"/>
    <w:rsid w:val="00911314"/>
    <w:rsid w:val="00924599"/>
    <w:rsid w:val="009267D9"/>
    <w:rsid w:val="00927160"/>
    <w:rsid w:val="0093115B"/>
    <w:rsid w:val="00934DD1"/>
    <w:rsid w:val="00935C49"/>
    <w:rsid w:val="00936C9E"/>
    <w:rsid w:val="0094023C"/>
    <w:rsid w:val="0094041B"/>
    <w:rsid w:val="00940512"/>
    <w:rsid w:val="009455C5"/>
    <w:rsid w:val="009461E2"/>
    <w:rsid w:val="00947BBC"/>
    <w:rsid w:val="0095342A"/>
    <w:rsid w:val="009550FC"/>
    <w:rsid w:val="00955AA2"/>
    <w:rsid w:val="00955AE6"/>
    <w:rsid w:val="00955E8D"/>
    <w:rsid w:val="00957A9D"/>
    <w:rsid w:val="00957CB5"/>
    <w:rsid w:val="0097122A"/>
    <w:rsid w:val="0097686B"/>
    <w:rsid w:val="00976D9A"/>
    <w:rsid w:val="00983C2C"/>
    <w:rsid w:val="00992CAC"/>
    <w:rsid w:val="00995A3C"/>
    <w:rsid w:val="0099602F"/>
    <w:rsid w:val="009A2712"/>
    <w:rsid w:val="009A5FC0"/>
    <w:rsid w:val="009C2BFE"/>
    <w:rsid w:val="009C62C7"/>
    <w:rsid w:val="009D57CF"/>
    <w:rsid w:val="009D6496"/>
    <w:rsid w:val="009E6EC1"/>
    <w:rsid w:val="009F0D49"/>
    <w:rsid w:val="009F5946"/>
    <w:rsid w:val="00A00B7A"/>
    <w:rsid w:val="00A0700D"/>
    <w:rsid w:val="00A071A4"/>
    <w:rsid w:val="00A247E2"/>
    <w:rsid w:val="00A27F7E"/>
    <w:rsid w:val="00A305E1"/>
    <w:rsid w:val="00A31388"/>
    <w:rsid w:val="00A35FCC"/>
    <w:rsid w:val="00A36FE3"/>
    <w:rsid w:val="00A41350"/>
    <w:rsid w:val="00A435BA"/>
    <w:rsid w:val="00A45B4F"/>
    <w:rsid w:val="00A46C46"/>
    <w:rsid w:val="00A50B42"/>
    <w:rsid w:val="00A536BE"/>
    <w:rsid w:val="00A53A03"/>
    <w:rsid w:val="00A577B0"/>
    <w:rsid w:val="00A83F13"/>
    <w:rsid w:val="00A84C60"/>
    <w:rsid w:val="00A8554D"/>
    <w:rsid w:val="00A94D8C"/>
    <w:rsid w:val="00A95B71"/>
    <w:rsid w:val="00AA05A1"/>
    <w:rsid w:val="00AA25DD"/>
    <w:rsid w:val="00AB006A"/>
    <w:rsid w:val="00AB13B4"/>
    <w:rsid w:val="00AB437A"/>
    <w:rsid w:val="00AB6B82"/>
    <w:rsid w:val="00AC0F61"/>
    <w:rsid w:val="00AC4189"/>
    <w:rsid w:val="00AD087C"/>
    <w:rsid w:val="00AD7A41"/>
    <w:rsid w:val="00AE0076"/>
    <w:rsid w:val="00AF544A"/>
    <w:rsid w:val="00AF7A06"/>
    <w:rsid w:val="00B11854"/>
    <w:rsid w:val="00B15870"/>
    <w:rsid w:val="00B17885"/>
    <w:rsid w:val="00B379A5"/>
    <w:rsid w:val="00B43A1D"/>
    <w:rsid w:val="00B4622E"/>
    <w:rsid w:val="00B629DE"/>
    <w:rsid w:val="00B62CD5"/>
    <w:rsid w:val="00B63C96"/>
    <w:rsid w:val="00B7223F"/>
    <w:rsid w:val="00B738F2"/>
    <w:rsid w:val="00B77453"/>
    <w:rsid w:val="00B82002"/>
    <w:rsid w:val="00B91926"/>
    <w:rsid w:val="00B93B0A"/>
    <w:rsid w:val="00B956DC"/>
    <w:rsid w:val="00B95E92"/>
    <w:rsid w:val="00B96432"/>
    <w:rsid w:val="00BA004D"/>
    <w:rsid w:val="00BA6205"/>
    <w:rsid w:val="00BB2517"/>
    <w:rsid w:val="00BB3AF4"/>
    <w:rsid w:val="00BB3FA3"/>
    <w:rsid w:val="00BB636A"/>
    <w:rsid w:val="00BD6049"/>
    <w:rsid w:val="00BD7CAF"/>
    <w:rsid w:val="00BE27DC"/>
    <w:rsid w:val="00BE5734"/>
    <w:rsid w:val="00BE5967"/>
    <w:rsid w:val="00BE668B"/>
    <w:rsid w:val="00C0161F"/>
    <w:rsid w:val="00C1798A"/>
    <w:rsid w:val="00C20262"/>
    <w:rsid w:val="00C37D06"/>
    <w:rsid w:val="00C47B4D"/>
    <w:rsid w:val="00C511D6"/>
    <w:rsid w:val="00C606E9"/>
    <w:rsid w:val="00C6384F"/>
    <w:rsid w:val="00C64ED8"/>
    <w:rsid w:val="00C66344"/>
    <w:rsid w:val="00C764A6"/>
    <w:rsid w:val="00C7671A"/>
    <w:rsid w:val="00C80F7E"/>
    <w:rsid w:val="00C82291"/>
    <w:rsid w:val="00C8354F"/>
    <w:rsid w:val="00C91BD4"/>
    <w:rsid w:val="00CA595A"/>
    <w:rsid w:val="00CA7724"/>
    <w:rsid w:val="00CB64E4"/>
    <w:rsid w:val="00CB6505"/>
    <w:rsid w:val="00CC0F91"/>
    <w:rsid w:val="00CC30CA"/>
    <w:rsid w:val="00CC7D09"/>
    <w:rsid w:val="00CD3DB4"/>
    <w:rsid w:val="00CD74B5"/>
    <w:rsid w:val="00CE3CD7"/>
    <w:rsid w:val="00CE584C"/>
    <w:rsid w:val="00CE58FA"/>
    <w:rsid w:val="00CE6AF2"/>
    <w:rsid w:val="00CF0F9F"/>
    <w:rsid w:val="00CF3ADD"/>
    <w:rsid w:val="00D131BD"/>
    <w:rsid w:val="00D21EB4"/>
    <w:rsid w:val="00D225C8"/>
    <w:rsid w:val="00D2351D"/>
    <w:rsid w:val="00D25C0B"/>
    <w:rsid w:val="00D30D1A"/>
    <w:rsid w:val="00D33F6D"/>
    <w:rsid w:val="00D409C1"/>
    <w:rsid w:val="00D63AD3"/>
    <w:rsid w:val="00D70227"/>
    <w:rsid w:val="00D70F1D"/>
    <w:rsid w:val="00D72800"/>
    <w:rsid w:val="00D84489"/>
    <w:rsid w:val="00D877E7"/>
    <w:rsid w:val="00D90BA2"/>
    <w:rsid w:val="00DA1CB8"/>
    <w:rsid w:val="00DA64AA"/>
    <w:rsid w:val="00DA7434"/>
    <w:rsid w:val="00DB7680"/>
    <w:rsid w:val="00DC487C"/>
    <w:rsid w:val="00DD19D2"/>
    <w:rsid w:val="00DD4E2A"/>
    <w:rsid w:val="00DD6E11"/>
    <w:rsid w:val="00DE6B9E"/>
    <w:rsid w:val="00DF3708"/>
    <w:rsid w:val="00DF4661"/>
    <w:rsid w:val="00E12F8A"/>
    <w:rsid w:val="00E17025"/>
    <w:rsid w:val="00E17F1F"/>
    <w:rsid w:val="00E30681"/>
    <w:rsid w:val="00E31715"/>
    <w:rsid w:val="00E31CF6"/>
    <w:rsid w:val="00E3230D"/>
    <w:rsid w:val="00E37CF0"/>
    <w:rsid w:val="00E43A72"/>
    <w:rsid w:val="00E46E53"/>
    <w:rsid w:val="00E51123"/>
    <w:rsid w:val="00E540BA"/>
    <w:rsid w:val="00E56D4A"/>
    <w:rsid w:val="00E70880"/>
    <w:rsid w:val="00E76487"/>
    <w:rsid w:val="00E83276"/>
    <w:rsid w:val="00E84DF1"/>
    <w:rsid w:val="00E85AD2"/>
    <w:rsid w:val="00E86CD0"/>
    <w:rsid w:val="00E9149A"/>
    <w:rsid w:val="00E91746"/>
    <w:rsid w:val="00E91EB1"/>
    <w:rsid w:val="00EA078A"/>
    <w:rsid w:val="00EA179F"/>
    <w:rsid w:val="00EA3D01"/>
    <w:rsid w:val="00EA7E98"/>
    <w:rsid w:val="00EB123E"/>
    <w:rsid w:val="00EB3A62"/>
    <w:rsid w:val="00EB7039"/>
    <w:rsid w:val="00EC42DF"/>
    <w:rsid w:val="00ED20BE"/>
    <w:rsid w:val="00EE5EE8"/>
    <w:rsid w:val="00EE6966"/>
    <w:rsid w:val="00EF14C6"/>
    <w:rsid w:val="00EF20F1"/>
    <w:rsid w:val="00F10AA0"/>
    <w:rsid w:val="00F22328"/>
    <w:rsid w:val="00F3769F"/>
    <w:rsid w:val="00F419F8"/>
    <w:rsid w:val="00F4550F"/>
    <w:rsid w:val="00F523DB"/>
    <w:rsid w:val="00F5499A"/>
    <w:rsid w:val="00F60BDC"/>
    <w:rsid w:val="00F7175D"/>
    <w:rsid w:val="00F819F8"/>
    <w:rsid w:val="00F9016D"/>
    <w:rsid w:val="00F97583"/>
    <w:rsid w:val="00F97C27"/>
    <w:rsid w:val="00FA08C7"/>
    <w:rsid w:val="00FB38B5"/>
    <w:rsid w:val="00FB7FA5"/>
    <w:rsid w:val="00FC3342"/>
    <w:rsid w:val="00FC5D44"/>
    <w:rsid w:val="00FC6558"/>
    <w:rsid w:val="00FC7E69"/>
    <w:rsid w:val="00FD07F0"/>
    <w:rsid w:val="00FD10F1"/>
    <w:rsid w:val="00FD202C"/>
    <w:rsid w:val="00FD7321"/>
    <w:rsid w:val="00FE0FE4"/>
    <w:rsid w:val="00FE7FFE"/>
    <w:rsid w:val="00FF77BB"/>
    <w:rsid w:val="01802D91"/>
    <w:rsid w:val="02AD1713"/>
    <w:rsid w:val="05B0124F"/>
    <w:rsid w:val="06033B05"/>
    <w:rsid w:val="079A129B"/>
    <w:rsid w:val="08806440"/>
    <w:rsid w:val="0A7B3CA6"/>
    <w:rsid w:val="0BC9737E"/>
    <w:rsid w:val="0BF355BC"/>
    <w:rsid w:val="0C210DB0"/>
    <w:rsid w:val="0C8C1198"/>
    <w:rsid w:val="107C4738"/>
    <w:rsid w:val="1185475A"/>
    <w:rsid w:val="12BA4494"/>
    <w:rsid w:val="13902E49"/>
    <w:rsid w:val="14062987"/>
    <w:rsid w:val="142E221A"/>
    <w:rsid w:val="151633DE"/>
    <w:rsid w:val="15441937"/>
    <w:rsid w:val="15AD7C91"/>
    <w:rsid w:val="165C414F"/>
    <w:rsid w:val="19EA7ADB"/>
    <w:rsid w:val="1CEC2FEA"/>
    <w:rsid w:val="1EE6538B"/>
    <w:rsid w:val="1FDC56D3"/>
    <w:rsid w:val="215E52D2"/>
    <w:rsid w:val="21A048B8"/>
    <w:rsid w:val="21F97278"/>
    <w:rsid w:val="229C3DF2"/>
    <w:rsid w:val="26230C4E"/>
    <w:rsid w:val="280430B3"/>
    <w:rsid w:val="28CF713E"/>
    <w:rsid w:val="294802A1"/>
    <w:rsid w:val="2A704489"/>
    <w:rsid w:val="2AD02E61"/>
    <w:rsid w:val="2AE1482E"/>
    <w:rsid w:val="2C6D7156"/>
    <w:rsid w:val="2CC06B58"/>
    <w:rsid w:val="2D037174"/>
    <w:rsid w:val="2D174F7B"/>
    <w:rsid w:val="2D367078"/>
    <w:rsid w:val="2DEC2F6F"/>
    <w:rsid w:val="2EA356E4"/>
    <w:rsid w:val="2F163F27"/>
    <w:rsid w:val="2FAF1BBF"/>
    <w:rsid w:val="32A822DA"/>
    <w:rsid w:val="33386804"/>
    <w:rsid w:val="33973126"/>
    <w:rsid w:val="350846E4"/>
    <w:rsid w:val="35912B5B"/>
    <w:rsid w:val="36222866"/>
    <w:rsid w:val="375B4500"/>
    <w:rsid w:val="37736D26"/>
    <w:rsid w:val="37DB5918"/>
    <w:rsid w:val="380476D3"/>
    <w:rsid w:val="38AA5E44"/>
    <w:rsid w:val="38B55B19"/>
    <w:rsid w:val="38DA5253"/>
    <w:rsid w:val="390943C5"/>
    <w:rsid w:val="390A1532"/>
    <w:rsid w:val="3B4B73FC"/>
    <w:rsid w:val="3BA93F8A"/>
    <w:rsid w:val="3C466AD6"/>
    <w:rsid w:val="3CC4574F"/>
    <w:rsid w:val="3D7A5F26"/>
    <w:rsid w:val="3E007F3F"/>
    <w:rsid w:val="3E0B3D5D"/>
    <w:rsid w:val="403A4FCC"/>
    <w:rsid w:val="41493CF7"/>
    <w:rsid w:val="43B53AB6"/>
    <w:rsid w:val="4510466F"/>
    <w:rsid w:val="45747CAA"/>
    <w:rsid w:val="459D5E46"/>
    <w:rsid w:val="467F0E0D"/>
    <w:rsid w:val="47E015FE"/>
    <w:rsid w:val="47FE3689"/>
    <w:rsid w:val="4AB047BA"/>
    <w:rsid w:val="4C405BA8"/>
    <w:rsid w:val="4DD717BB"/>
    <w:rsid w:val="4ED87995"/>
    <w:rsid w:val="511F13AA"/>
    <w:rsid w:val="51B91A48"/>
    <w:rsid w:val="51FE3D57"/>
    <w:rsid w:val="51FE4B63"/>
    <w:rsid w:val="52905658"/>
    <w:rsid w:val="57910B3A"/>
    <w:rsid w:val="5A794287"/>
    <w:rsid w:val="5C69329F"/>
    <w:rsid w:val="5CCB6ECA"/>
    <w:rsid w:val="5E7F0A8E"/>
    <w:rsid w:val="5F1528F2"/>
    <w:rsid w:val="61384583"/>
    <w:rsid w:val="61A761C9"/>
    <w:rsid w:val="632B5419"/>
    <w:rsid w:val="64461DA8"/>
    <w:rsid w:val="645E796D"/>
    <w:rsid w:val="64A06D67"/>
    <w:rsid w:val="666D3D76"/>
    <w:rsid w:val="67014FF3"/>
    <w:rsid w:val="684649D8"/>
    <w:rsid w:val="6AFE0D33"/>
    <w:rsid w:val="6D601CEC"/>
    <w:rsid w:val="6D8A0AED"/>
    <w:rsid w:val="6EA6664B"/>
    <w:rsid w:val="6FCE56A4"/>
    <w:rsid w:val="6FD2127A"/>
    <w:rsid w:val="70C92EEA"/>
    <w:rsid w:val="70E313D0"/>
    <w:rsid w:val="7224530D"/>
    <w:rsid w:val="728B202D"/>
    <w:rsid w:val="73EE0D54"/>
    <w:rsid w:val="742B7E2A"/>
    <w:rsid w:val="74C6311D"/>
    <w:rsid w:val="75376CF8"/>
    <w:rsid w:val="75A177BF"/>
    <w:rsid w:val="766F127A"/>
    <w:rsid w:val="76D53B61"/>
    <w:rsid w:val="76DC5E9B"/>
    <w:rsid w:val="7A640194"/>
    <w:rsid w:val="7B81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3"/>
    <w:next w:val="3"/>
    <w:semiHidden/>
    <w:uiPriority w:val="0"/>
    <w:rPr>
      <w:b/>
      <w:bCs/>
    </w:rPr>
  </w:style>
  <w:style w:type="table" w:styleId="11">
    <w:name w:val="Table Grid"/>
    <w:basedOn w:val="1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uiPriority w:val="0"/>
  </w:style>
  <w:style w:type="character" w:styleId="14">
    <w:name w:val="Hyperlink"/>
    <w:uiPriority w:val="0"/>
    <w:rPr>
      <w:color w:val="0000FF"/>
      <w:u w:val="single"/>
    </w:rPr>
  </w:style>
  <w:style w:type="character" w:styleId="15">
    <w:name w:val="annotation reference"/>
    <w:semiHidden/>
    <w:uiPriority w:val="0"/>
    <w:rPr>
      <w:sz w:val="21"/>
      <w:szCs w:val="21"/>
    </w:rPr>
  </w:style>
  <w:style w:type="paragraph" w:customStyle="1" w:styleId="16">
    <w:name w:val="列出段落1"/>
    <w:basedOn w:val="1"/>
    <w:qFormat/>
    <w:uiPriority w:val="0"/>
    <w:pPr>
      <w:ind w:firstLine="420" w:firstLineChars="200"/>
    </w:pPr>
  </w:style>
  <w:style w:type="paragraph" w:styleId="17">
    <w:name w:val="List Paragraph"/>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2B02-5462-44CF-B2BB-B244C3E0CA68}">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14</Pages>
  <Words>9602</Words>
  <Characters>9927</Characters>
  <Lines>84</Lines>
  <Paragraphs>23</Paragraphs>
  <TotalTime>0</TotalTime>
  <ScaleCrop>false</ScaleCrop>
  <LinksUpToDate>false</LinksUpToDate>
  <CharactersWithSpaces>10614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2020-11-23T07:12:00Z</dcterms:created>
  <dc:creator>USER</dc:creator>
  <cp:lastModifiedBy>GIGABYTE</cp:lastModifiedBy>
  <cp:lastPrinted>2020-10-12T08:48:00Z</cp:lastPrinted>
  <dcterms:modified xsi:type="dcterms:W3CDTF">2022-04-18T02:32:24Z</dcterms:modified>
  <dc:title>扶贫领域基层政务公开标准目录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CB5C73F640D84E4C8A107CF797679172</vt:lpwstr>
  </property>
</Properties>
</file>