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rPr>
      </w:pPr>
    </w:p>
    <w:tbl>
      <w:tblPr>
        <w:tblStyle w:val="4"/>
        <w:tblW w:w="15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649"/>
        <w:gridCol w:w="1395"/>
        <w:gridCol w:w="1913"/>
        <w:gridCol w:w="1484"/>
        <w:gridCol w:w="1282"/>
        <w:gridCol w:w="1156"/>
        <w:gridCol w:w="2684"/>
        <w:gridCol w:w="629"/>
        <w:gridCol w:w="629"/>
        <w:gridCol w:w="629"/>
        <w:gridCol w:w="629"/>
        <w:gridCol w:w="629"/>
        <w:gridCol w:w="629"/>
        <w:gridCol w:w="629"/>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16" w:type="dxa"/>
            <w:gridSpan w:val="15"/>
            <w:tcBorders>
              <w:top w:val="nil"/>
              <w:left w:val="nil"/>
              <w:bottom w:val="single" w:color="auto" w:sz="4" w:space="0"/>
              <w:right w:val="nil"/>
            </w:tcBorders>
            <w:shd w:val="clear" w:color="auto" w:fill="auto"/>
            <w:noWrap/>
            <w:vAlign w:val="center"/>
          </w:tcPr>
          <w:p>
            <w:pPr>
              <w:widowControl/>
              <w:jc w:val="center"/>
              <w:rPr>
                <w:rFonts w:ascii="方正小标宋简体" w:hAnsi="仿宋" w:eastAsia="方正小标宋简体" w:cs="宋体"/>
                <w:color w:val="000000"/>
                <w:kern w:val="0"/>
                <w:sz w:val="36"/>
                <w:szCs w:val="28"/>
              </w:rPr>
            </w:pPr>
            <w:bookmarkStart w:id="0" w:name="_GoBack"/>
            <w:r>
              <w:rPr>
                <w:rFonts w:hint="eastAsia" w:ascii="方正小标宋简体" w:hAnsi="仿宋" w:eastAsia="方正小标宋简体" w:cs="宋体"/>
                <w:color w:val="000000"/>
                <w:kern w:val="0"/>
                <w:sz w:val="36"/>
                <w:szCs w:val="28"/>
                <w:lang w:eastAsia="zh-CN"/>
              </w:rPr>
              <w:t>（十</w:t>
            </w:r>
            <w:r>
              <w:rPr>
                <w:rFonts w:hint="eastAsia" w:ascii="方正小标宋简体" w:hAnsi="仿宋" w:eastAsia="方正小标宋简体" w:cs="宋体"/>
                <w:color w:val="000000"/>
                <w:kern w:val="0"/>
                <w:sz w:val="36"/>
                <w:szCs w:val="28"/>
                <w:lang w:val="en-US" w:eastAsia="zh-CN"/>
              </w:rPr>
              <w:t>七</w:t>
            </w:r>
            <w:r>
              <w:rPr>
                <w:rFonts w:hint="eastAsia" w:ascii="方正小标宋简体" w:hAnsi="仿宋" w:eastAsia="方正小标宋简体" w:cs="宋体"/>
                <w:color w:val="000000"/>
                <w:kern w:val="0"/>
                <w:sz w:val="36"/>
                <w:szCs w:val="28"/>
                <w:lang w:eastAsia="zh-CN"/>
              </w:rPr>
              <w:t>）</w:t>
            </w:r>
            <w:r>
              <w:rPr>
                <w:rFonts w:hint="eastAsia" w:ascii="方正小标宋简体" w:hAnsi="仿宋" w:eastAsia="方正小标宋简体" w:cs="宋体"/>
                <w:color w:val="000000"/>
                <w:kern w:val="0"/>
                <w:sz w:val="36"/>
                <w:szCs w:val="28"/>
              </w:rPr>
              <w:t>江门市城市综合执法领域基层政务公开标准目录</w:t>
            </w:r>
            <w:bookmarkEnd w:id="0"/>
          </w:p>
        </w:tc>
        <w:tc>
          <w:tcPr>
            <w:tcW w:w="478" w:type="dxa"/>
            <w:tcBorders>
              <w:top w:val="nil"/>
              <w:left w:val="nil"/>
              <w:bottom w:val="single" w:color="auto" w:sz="4" w:space="0"/>
              <w:right w:val="nil"/>
            </w:tcBorders>
          </w:tcPr>
          <w:p>
            <w:pPr>
              <w:widowControl/>
              <w:jc w:val="center"/>
              <w:rPr>
                <w:rFonts w:ascii="仿宋" w:hAnsi="仿宋" w:eastAsia="仿宋"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55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2044"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1913"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1484"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282"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w:t>
            </w:r>
            <w:r>
              <w:rPr>
                <w:rFonts w:hint="eastAsia" w:ascii="黑体" w:hAnsi="黑体" w:eastAsia="黑体" w:cs="宋体"/>
                <w:bCs/>
                <w:color w:val="000000"/>
                <w:kern w:val="0"/>
                <w:sz w:val="18"/>
                <w:szCs w:val="18"/>
              </w:rPr>
              <w:br w:type="textWrapping"/>
            </w:r>
            <w:r>
              <w:rPr>
                <w:rFonts w:hint="eastAsia" w:ascii="黑体" w:hAnsi="黑体" w:eastAsia="黑体" w:cs="宋体"/>
                <w:bCs/>
                <w:color w:val="000000"/>
                <w:kern w:val="0"/>
                <w:sz w:val="18"/>
                <w:szCs w:val="18"/>
              </w:rPr>
              <w:t>时限</w:t>
            </w:r>
          </w:p>
        </w:tc>
        <w:tc>
          <w:tcPr>
            <w:tcW w:w="1156"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w:t>
            </w:r>
            <w:r>
              <w:rPr>
                <w:rFonts w:hint="eastAsia" w:ascii="黑体" w:hAnsi="黑体" w:eastAsia="黑体" w:cs="宋体"/>
                <w:bCs/>
                <w:color w:val="000000"/>
                <w:kern w:val="0"/>
                <w:sz w:val="18"/>
                <w:szCs w:val="18"/>
              </w:rPr>
              <w:br w:type="textWrapping"/>
            </w:r>
            <w:r>
              <w:rPr>
                <w:rFonts w:hint="eastAsia" w:ascii="黑体" w:hAnsi="黑体" w:eastAsia="黑体" w:cs="宋体"/>
                <w:bCs/>
                <w:color w:val="000000"/>
                <w:kern w:val="0"/>
                <w:sz w:val="18"/>
                <w:szCs w:val="18"/>
              </w:rPr>
              <w:t>主体</w:t>
            </w:r>
          </w:p>
        </w:tc>
        <w:tc>
          <w:tcPr>
            <w:tcW w:w="2684" w:type="dxa"/>
            <w:vMerge w:val="restart"/>
            <w:tcBorders>
              <w:top w:val="single" w:color="auto" w:sz="4" w:space="0"/>
            </w:tcBorders>
            <w:shd w:val="clear" w:color="auto" w:fill="auto"/>
            <w:vAlign w:val="center"/>
          </w:tcPr>
          <w:p>
            <w:pPr>
              <w:widowControl/>
              <w:jc w:val="left"/>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 xml:space="preserve">        公开渠道和载体                      （“■”表示必选项，“□”表示可选项）</w:t>
            </w:r>
          </w:p>
        </w:tc>
        <w:tc>
          <w:tcPr>
            <w:tcW w:w="125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125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2365" w:type="dxa"/>
            <w:gridSpan w:val="4"/>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50" w:type="dxa"/>
            <w:vMerge w:val="continue"/>
            <w:vAlign w:val="center"/>
          </w:tcPr>
          <w:p>
            <w:pPr>
              <w:widowControl/>
              <w:jc w:val="left"/>
              <w:rPr>
                <w:rFonts w:ascii="黑体" w:hAnsi="黑体" w:eastAsia="黑体" w:cs="宋体"/>
                <w:bCs/>
                <w:color w:val="000000"/>
                <w:kern w:val="0"/>
                <w:sz w:val="18"/>
                <w:szCs w:val="18"/>
              </w:rPr>
            </w:pPr>
          </w:p>
        </w:tc>
        <w:tc>
          <w:tcPr>
            <w:tcW w:w="64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1395"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1913" w:type="dxa"/>
            <w:vMerge w:val="continue"/>
            <w:vAlign w:val="center"/>
          </w:tcPr>
          <w:p>
            <w:pPr>
              <w:widowControl/>
              <w:jc w:val="left"/>
              <w:rPr>
                <w:rFonts w:ascii="黑体" w:hAnsi="黑体" w:eastAsia="黑体" w:cs="宋体"/>
                <w:bCs/>
                <w:color w:val="000000"/>
                <w:kern w:val="0"/>
                <w:sz w:val="18"/>
                <w:szCs w:val="18"/>
              </w:rPr>
            </w:pPr>
          </w:p>
        </w:tc>
        <w:tc>
          <w:tcPr>
            <w:tcW w:w="1484" w:type="dxa"/>
            <w:vMerge w:val="continue"/>
            <w:vAlign w:val="center"/>
          </w:tcPr>
          <w:p>
            <w:pPr>
              <w:widowControl/>
              <w:jc w:val="left"/>
              <w:rPr>
                <w:rFonts w:ascii="黑体" w:hAnsi="黑体" w:eastAsia="黑体" w:cs="宋体"/>
                <w:bCs/>
                <w:color w:val="000000"/>
                <w:kern w:val="0"/>
                <w:sz w:val="18"/>
                <w:szCs w:val="18"/>
              </w:rPr>
            </w:pPr>
          </w:p>
        </w:tc>
        <w:tc>
          <w:tcPr>
            <w:tcW w:w="1282" w:type="dxa"/>
            <w:vMerge w:val="continue"/>
            <w:vAlign w:val="center"/>
          </w:tcPr>
          <w:p>
            <w:pPr>
              <w:widowControl/>
              <w:jc w:val="left"/>
              <w:rPr>
                <w:rFonts w:ascii="黑体" w:hAnsi="黑体" w:eastAsia="黑体" w:cs="宋体"/>
                <w:bCs/>
                <w:color w:val="000000"/>
                <w:kern w:val="0"/>
                <w:sz w:val="18"/>
                <w:szCs w:val="18"/>
              </w:rPr>
            </w:pPr>
          </w:p>
        </w:tc>
        <w:tc>
          <w:tcPr>
            <w:tcW w:w="1156" w:type="dxa"/>
            <w:vMerge w:val="continue"/>
            <w:vAlign w:val="center"/>
          </w:tcPr>
          <w:p>
            <w:pPr>
              <w:widowControl/>
              <w:jc w:val="left"/>
              <w:rPr>
                <w:rFonts w:ascii="黑体" w:hAnsi="黑体" w:eastAsia="黑体" w:cs="宋体"/>
                <w:bCs/>
                <w:color w:val="000000"/>
                <w:kern w:val="0"/>
                <w:sz w:val="18"/>
                <w:szCs w:val="18"/>
              </w:rPr>
            </w:pPr>
          </w:p>
        </w:tc>
        <w:tc>
          <w:tcPr>
            <w:tcW w:w="2684" w:type="dxa"/>
            <w:vMerge w:val="continue"/>
            <w:vAlign w:val="center"/>
          </w:tcPr>
          <w:p>
            <w:pPr>
              <w:widowControl/>
              <w:jc w:val="left"/>
              <w:rPr>
                <w:rFonts w:ascii="黑体" w:hAnsi="黑体" w:eastAsia="黑体" w:cs="宋体"/>
                <w:bCs/>
                <w:color w:val="000000"/>
                <w:kern w:val="0"/>
                <w:sz w:val="18"/>
                <w:szCs w:val="18"/>
              </w:rPr>
            </w:pP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629" w:type="dxa"/>
            <w:shd w:val="clear" w:color="auto" w:fill="auto"/>
            <w:vAlign w:val="center"/>
          </w:tcPr>
          <w:p>
            <w:pPr>
              <w:widowControl/>
              <w:jc w:val="center"/>
              <w:rPr>
                <w:rFonts w:ascii="黑体" w:hAnsi="黑体" w:eastAsia="黑体" w:cs="宋体"/>
                <w:bCs/>
                <w:kern w:val="0"/>
                <w:sz w:val="18"/>
                <w:szCs w:val="18"/>
              </w:rPr>
            </w:pPr>
            <w:r>
              <w:rPr>
                <w:rFonts w:hint="eastAsia" w:ascii="黑体" w:hAnsi="黑体" w:eastAsia="黑体" w:cs="宋体"/>
                <w:bCs/>
                <w:kern w:val="0"/>
                <w:sz w:val="18"/>
                <w:szCs w:val="18"/>
              </w:rPr>
              <w:t>市级</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629" w:type="dxa"/>
            <w:shd w:val="clear" w:color="auto" w:fill="auto"/>
            <w:vAlign w:val="center"/>
          </w:tcPr>
          <w:p>
            <w:pPr>
              <w:widowControl/>
              <w:jc w:val="center"/>
              <w:rPr>
                <w:rFonts w:ascii="黑体" w:hAnsi="黑体" w:eastAsia="黑体" w:cs="宋体"/>
                <w:bCs/>
                <w:color w:val="000000"/>
                <w:kern w:val="0"/>
                <w:sz w:val="20"/>
                <w:szCs w:val="20"/>
              </w:rPr>
            </w:pPr>
            <w:r>
              <w:rPr>
                <w:rFonts w:hint="eastAsia" w:ascii="黑体" w:hAnsi="黑体" w:eastAsia="黑体" w:cs="宋体"/>
                <w:bCs/>
                <w:color w:val="000000"/>
                <w:kern w:val="0"/>
                <w:sz w:val="20"/>
                <w:szCs w:val="20"/>
              </w:rPr>
              <w:t>镇级</w:t>
            </w:r>
          </w:p>
        </w:tc>
        <w:tc>
          <w:tcPr>
            <w:tcW w:w="478" w:type="dxa"/>
            <w:vAlign w:val="center"/>
          </w:tcPr>
          <w:p>
            <w:pPr>
              <w:widowControl/>
              <w:jc w:val="center"/>
              <w:rPr>
                <w:rFonts w:ascii="黑体" w:hAnsi="黑体" w:eastAsia="黑体" w:cs="宋体"/>
                <w:bCs/>
                <w:color w:val="000000"/>
                <w:kern w:val="0"/>
                <w:sz w:val="20"/>
                <w:szCs w:val="20"/>
              </w:rPr>
            </w:pPr>
            <w:r>
              <w:rPr>
                <w:rFonts w:hint="eastAsia" w:ascii="黑体" w:hAnsi="黑体" w:eastAsia="黑体" w:cs="宋体"/>
                <w:bCs/>
                <w:color w:val="000000"/>
                <w:kern w:val="0"/>
                <w:sz w:val="20"/>
                <w:szCs w:val="20"/>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不符合预售条件预售商品房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《城市房地产管理法》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未取得资质等级证书或者超越资质等级从事房地产开发经营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《城市房地产开发经营管理条例》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擅自预售商品房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《城市房地产开发经营管理条例》                                                                                                                                      《商品房销售管理办法》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房产测绘单位在房产面积测算中不执行国家标准、规范和规定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房产测绘单位在房产面积测算中弄虚作假、欺骗房屋权利人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房产测绘单位房产面积测算失误，造成重大损失</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房地产经纪人员以个人名义承接房地产经纪业务和收取费用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房地产经纪机构提供代办贷款、代办房地产登记等其他服务，未向委托人说明服务内容、收费标准等情况，并未经委托人同意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房地产经纪服务合同未由从事该业务的一名房地产经纪人或者两名房地产经纪人协理签名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房地产经纪机构签订房地产经纪服务合同前，不向交易当事人说明和书面告知规定事项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房地产经纪机构未按照规定如实记录业务情况或者保存房地产经纪服务合同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房地产经纪机构擅自对外发布房源信息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房地产经纪机构擅自划转客户交易结算资金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房地产经纪机构和房地产经纪人员以隐瞒、欺诈、胁迫、贿赂等不正当手段招揽业务，诱骗消费者交易或者强制交易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房地产经纪机构和房地产经纪人员泄露或者不当使用委托人的个人信息或者商业秘密，谋取不正当利益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为交易当事人规避房屋交易税费等非法目的，房地产经纪机构和房地产经纪人员就同一房屋签订不同交易价款的合同提供便利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房地产经纪机构和房地产经纪人员改变房屋内部结构分割出租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房地产经纪机构和房地产经纪人员侵占、挪用房地产交易资金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房地产经纪机构和房地产经纪人员承购、承租自己提供经纪服务的房屋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房地产经纪机构和房地产经纪人员为不符合交易条件的保障性住房和禁止交易的房屋提供经纪服务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房地产经纪机构和房地产经纪人员做出法律、法规禁止的其他行为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申请人隐瞒有关情况或者提供虚假材料申请房地产估价机构资质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以欺骗、贿赂等不正当手段取得房地产估价机构资质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未取得房地产估价机构资质从事房地产估价活动或者超越资质等级承揽估价业务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一级资质房地产估价机构不按规定设立分支机构，或二、三级资质房地产估价机构设立分支机构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房地产估价机构不按照规定条件设立分支机构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房地产估计机构新设立的分支机构不备案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房地产估价机构不按规定承揽业务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房地产估价机构不按规定出具估价报告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房地产估价机构及其估价人员应当回避未回避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房地产估价机构涂改、倒卖、出租、出借或者以其他形式非法转让资质证书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房地产估价机构超越资质等级业务范围承接房地产估价业务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房地产估价机构以迎合高估或者低估要求、给予回扣、恶意压低收费等方式进行不正当竞争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房地产估价机构违反房地产估价规范和标准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房地产估价机构出具有虚假记载、误导性陈述或者重大遗漏的估价报告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房地产估价机构擅自设立分支机构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房地产估价机构未经委托人书面同意，擅自转让受托的估价业务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房地产估价机构有法律、法规禁止的其他行为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公共租赁住房的所有权人及其委托的运营单位向不符合条件的对象出租公共租赁住房的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公共租赁住房的所有权人及其委托的运营单位未履行公共租赁住房及其配套设施维修养护义务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公共租赁住房的所有权人及其委托的运营单位改变公共租赁住房的保障性住房性质、用途，以及配套设施的规划用途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申请人以欺骗等不正手段，登记为轮候对象或者承租公共租赁住房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承租人转借、转租或者擅自调换所承租公共租赁住房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承租人改变所承租公共租赁住房用途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承租人破坏或者擅自装修所承租公共租赁住房，拒不恢复原状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承租人在公共租赁住房内从事违法活动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承租人无正当理由连续6个月以上闲置公共租赁住房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房地产经纪机构及其经纪人员提供公共租赁住房出租、转租、出售等经纪业务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出租属于违法建筑的房屋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出租不符合安全、防灾等工程建设强制性标准的房屋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出租违反规定改变房屋使用性质的房屋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出租法律、法规规定禁止出租的房屋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未以原设计的房间为最小出租单位，或人均租住建筑面积低于当地人民政府规定的最低标准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出租厨房、卫生间、阳台和地下储藏室供人员居住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房屋租赁合同订立后三十日内，房屋租赁当事人未按规定办理房屋租赁登记备案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房屋租赁登记备案内容发生变化、续租或者租赁终止后三十日内，当事人未按规定办理房屋租赁登记备案的变更、延续或者注销手续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公有住房售房单位未按规定交存首期住宅专项维修资金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未按规定交存首期住宅专项维修资金，公有住房售房单位将房屋交付买受人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公有住房售房单位未按规定分摊维修、更新、改造费用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未按规定交存首期住宅专项维修资金，开发建设单位将房屋交付买受人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开发建设单位未按规定分摊维修、更新和改造费用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挪用住宅专项维修资金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城市低收入住房困难家庭隐瞒有关情况或者提供虚假材料申请廉租住房保障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《廉租住房保障办法》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对以欺骗等不正当手段，取得审核同意或者获得廉租住房保障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《廉租住房保障办法》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隐瞒有关情况或者提供虚假材料申请房地产估价师注册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注册房地产估价师聘用单位为申请人提供虚假注册材料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未经注册，擅自以注册房地产估价师名义从事房地产估价活动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注册房地产估价师未办理变更注册仍执业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注册房地产估价师不履行注册房地产估价师义务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注册房地产估价师在执业过程中，索贿、受贿或者谋取合同约定费用外的其他利益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注册房地产估价师在执业过程中实施商业贿赂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注册房地产估价师签署有虚假记载、误导性陈述或者重大遗漏的估价报告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注册房地产估价师在估价报告中隐瞒或者歪曲事实</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注册房地产估价师允许他人以自己的名义从事房地产估价业务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注册房地产估价师同时在2个或者2个以上房地产估价机构执业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注册房地产估价师以个人名义承揽房地产估价业务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注册房地产估价师涂改、出租、出借或者以其他形式非法转让注册证书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注册房地产估价师超出聘用单位业务范围从事房地产估价活动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注册房地产估价师严重损害他人利益、名誉的行为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注册房地产估价师有法律、法规禁止的其他行为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注册房地产估价师或者其聘用单位未按照要求提供房地产估价师信用档案信息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开发企业未取得《商品房预售许可证》预售商品房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《城市商品房预售管理办法》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《城市房地产开发经营管理条例》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开发企业不按规定使用商品房预售款项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《城市商品房预售管理办法》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开发企业隐瞒有关情况、提供虚假材料，或者采用欺骗、贿赂等不正当手段取得商品房预售许可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《城市商品房预售管理办法》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不具备条件的单位从事白蚁防治业务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白蚁防治单位未建立健全白蚁防治质量保证体系，未严格按照国家和地方有关城市房屋白蚁防治的施工技术规范和操作程序进行防治</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白蚁防治单位违反规定，使用不合格药物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房地产开发企业在进行商品房销(预)售时未向购房人出具该项目的《白蚁预防合同》或者其他实施房屋白蚁预防的证明文件，或提供的《住宅质量保证书》中未包括白蚁预防质量保证的内容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原有房屋和超过白蚁预防包治期限的房屋发生蚁害的，房屋所有人、使用人或者房屋管理单位未委托白蚁防治单位进行灭治或未配合白蚁防治单位进行白蚁的检查和灭治工作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装修人未申报登记进行住宅室内装饰装修活动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装修人将住宅室内装饰装修工程委托给不具有相应资质等级企业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将没有防水要求的房间或者阳台改为卫生间、厨房间的，或者拆除连接阳台的砖、混凝土墙体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损坏房屋原有节能设施或者降低节能效果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擅自拆改供暖、燃气管道和设施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未经原设计单位或者具有相应资质等级的设计单位提出设计方案，擅自超过设计标准或者规范增加楼面荷载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装饰装修企业违反国家有关安全生产规定和安全生产技术规程，不按照规定采取必要的安全防护和消防措施，擅自动用明火作业和进行焊接作业，或者对建筑安全事故隐患不采取措施予以消除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物业管理单位发现装修人或者装饰装修企业有违反规定的行为不及时向有关部门报告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将安装有淘汰便器水箱和配件的新建房屋验收交付使用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未按更新改造计划更换淘汰便器水箱和配件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在限定的期限内未更换淘汰便器水箱和配件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对漏水严重的房屋便器水箱和配件未按期进行维修或者更新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在利用房地产权属档案的过程中，损毁、丢失、涂改、伪造房地产权属档案或者擅自提供、抄录、公布、销毁房地产权属档案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《城市房地产权属档案管理办法》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企事业组织或者个人擅自出卖或者转让房地产权属档案的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《城市房地产权属档案管理办法》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未取得房地产开发企业资质证书，擅自销售商品房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在未解除商品房买卖合同前，将作为合同标的物的商品房再行销售给他人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房地产开发企业将未组织竣工验收、验收不合格或者对不合格按合格验收的商品房擅自交付使用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房地产开发企业未按规定将测绘成果或者需要由其提供的办理房屋权属登记的资料报送房地产行政主管部门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房地产开发企业在销售商品房中未按照规定的现售条件现售商品房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房地产开发企业在销售商品房中未按照规定在商品房现售前将房地产开发项目手册及符合商品房现售条件的有关证明文件报送房地产开发主管部门备案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房地产开发企业在销售商品房中返本销售或者变相返本销售商品房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房地产开发企业在销售商品房中在销售商品房中采取售后包租或者变相售后包租方式销售未竣工商品房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房地产开发企业在销售商品房中分割拆零销售商品住宅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房地产开发企业在销售商品房中不符合商品房销售条件，向买受人收取预订款性质费用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房地产开发企业在销售商品房中未按照规定向买受人明示《商品房销售管理办法》、《商品房买卖合同示范文本》、《城市商品房预售管理办法》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房地产开发企业在销售商品房中委托没有资格的机构代理销售商品房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房地产中介服务机构代理销售不符合销售条件的商品房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企业未取得资质证书从事房地产开发经营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企业超越资质等级从事房地产开发经营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企业隐瞒真实情况、弄虚作假骗取资质证书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企业涂改、出租、出借、转让、出卖资质证书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企业开发建设的项目工程质量低劣，发生重大工程质量事故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开发企业在商品住宅销售中不按照规定发放《住宅质量保证书》和《住宅使用说明书》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企业不按照规定办理变更手续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将不准上市出售的已购公有住房和经济适用住房上市出售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《已购公有住房和经济适用住房上市出售管理暂行办法》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将已购公有住房和经济适用住房上市出售后，该户家庭又以非法手段按照成本价（或者标准价）购买公有住房或者政府提供优惠政策建设的住房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《已购公有住房和经济适用住房上市出售管理暂行办法》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未取得施工许可证或者开工报告未经批准擅自施工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发包单位将工程发包给不具有相应资质条件的承包单位的，或者违反本法规定将建筑工程肢解发包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超越本单位资质等级承揽工程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未取得资质证书承揽工程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以欺骗手段取得资质证书承揽工程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建筑施工企业转让、出借资质证书或者以其他方式允许他人以本企业的名义承揽工程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承包单位将承包的工程转包，或者违法分包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在工程发包与承包中索贿、受贿、行贿，且不构成犯罪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工程监理单位与建设单位或者建筑施工企业串通，弄虚作假、降低工程质量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工程监理单位转让监理业务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涉及建筑主体或者承重结构变动的装修工程擅自施工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建筑施工企业对建筑安全事故隐患不采取措施予以消除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建设单位要求建筑设计单位或者建筑施工企业违反建筑工程质量、安全标准，降低工程质量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建筑设计单位不按照建筑工程质量、安全标准进行设计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建筑施工企业在施工中偷工减料，使用不合格的建筑材料、建筑构配件和设备，或者有其他不按照工程设计图纸或者施工技术标准施工的行为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建筑施工企业不履行保修义务或者拖延履行保修义务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建设单位违反建筑节能标准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《中华人民共和国节约能源法》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设计单位、施工单位、监理单位违反建筑节能标准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《中华人民共和国节约能源法》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房地产开发企业在销售房屋时未向购买人明示所售房屋的节能措施、保温工程保修期等信息；或对以上信息作虚假宣传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《中华人民共和国节约能源法》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建设单位将建设工程发包给不具有相应资质等级的勘察、设计、施工单位或者委托给不具有相应资质等级的工程监理单位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将建筑工程肢解发包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建设单位迫使承包方以低于成本的价格竞标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建设单位任意压缩合理工期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建设单位明示或者暗示设计单位或者施工单位违反工程建设强制性标准，降低工程质量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《实施工程建设强制性标准监督规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定》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建设单位施工图设计文件未经审查或者审查不合格，擅自施工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建设项目必须实行工程监理而未实行工程监理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建设单位未按照国家规定办理工程质量监督手续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建设单位明示或者暗示施工单位使用不合格的建筑材料、建筑构配件和设备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《实施工程建设强制性标准监督规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建设单位未按照国家规定将竣工验收报告、有关认可文件或者准许使用文件报送备案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未组织竣工验收，建设单位擅自交付使用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验收不合格，建设单位擅自交付使用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建设单位对不合格的建设工程按照合格工程验收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建设工程竣工验收后，建设单位未向建设行政主管部门或者其他有关部门移交建设项目档案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勘察、设计、施工、工程监理单位允许其他单位或者个人以本单位名义承揽工程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工程监理单位转让工程监理业务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勘察单位未按照工程建设强制性标准进行勘察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设计单位未根据勘察成果文件进行工程设计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设计单位指定建筑材料、建筑构配件的生产厂、供应商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设计单位未按照工程建设强制性标准进行设计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施工单位在施工中偷工减料；使用不合格的建筑材料、建筑构配件和设备；或者有不按照工程设计图纸或者施工技术标准施工的其他行为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施工单位未对建筑材料、建筑构配件、设备和商品混凝土进行检验，或者未对涉及结构安全的试块、试件以及有关材料取样检测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工程监理单位与建设单位或者施工单位串通，弄虚作假、降低工程质量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工程监理单位将不合格的工程、建筑材料、构配件和设备按照合格签字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工程监理单位与被监理工程的施工承包单位以及建筑材料、建筑构配件和设备供应单位有隶属关系或者其他利害关系承担该项建设工程的监理业务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涉及建筑主体或者承重结构变动的装修工程，没有设计方案擅自施工；房屋建筑使用者在装修过程中擅自变动房屋建筑主体和承重结构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注册建筑师、注册结构工程师、监理工程师等注册执业人员因过错造成质量事故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建设单位未提供建设工程安全生产作业环境及安全施工措施所需费用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建设单位未将保证安全施工的措施或者拆除工程的有关资料报送有关部门备案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建设单位对勘察、设计、施工、工程监理等单位提出不符合安全生产法律、法规和强制性标准规定要求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建设单位要求施工单位压缩合同约定的工期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建设单位将拆除工程发包给不具有相应资质等级的施工单位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勘察单位、设计单位未按照法律、法规和工程建设强制性标准进行勘察、设计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采用新结构、新材料、新工艺的建设工程和特殊结构的建设工程，设计单位未在设计中提出保障施工作业人员安全和预防生产安全事故的措施建议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工程监理单位未对施工组织设计中的安全技术措施或者专项施工方案进行审查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工程监理单位发现安全事故隐患未及时要求施工单位整改或者暂时停止施工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施工单位拒不整改或者不停止施工，工程监理单位未及时向有关主管部门报告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工程监理单位未依照法律、法规和工程建设强制性标准实施监理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注册执业人员未执行法律、法规和工程建设强制性标准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为建设工程提供机械设备和配件的单位，未按照安全施工的要求配备齐全有效的保险、限位等安全设施和装置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出租单位出租未经安全性能检测或者经检测不合格的机械设备和施工机具及配件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施工起重机械和整体提升脚手架、模板等自升式架设设施安装、拆卸单位未编制拆装方案、制定安全施工措施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施工起重机械和整体提升脚手架、模板等自升式架设设施安装、拆卸单位未由专业技术人员现场监督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施工起重机械和整体提升脚手架、模板等自升式架设设施安装、拆卸单位未出具自检合格证明或者出具虚假证明</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施工起重机械和整体提升脚手架、模板等自升式架设设施安装、拆卸单位未向施工单位进行安全使用说明，办理移交手续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施工单位未设立安全生产管理机构、配备专职安全生产管理人员或者分部分项工程施工时无专职安全生产管理人员现场监督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施工单位的主要负责人、项目负责人、专职安全生产管理人员、作业人员或者特种作业人员，未经安全教育培训或者经考核不合格即从事相关工作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施工单位未在施工现场的危险部位设置明显的安全警示标志，或者未按照国家有关规定在施工现场设置消防通道、消防水源、配备消防设施和灭火器材</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施工单位未向作业人员提供安全防护用具和安全防护服装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施工单位未按照规定在施工起重机械和整体提升脚手架、模板等自升式架设设施验收合格后登记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施工单位使用国家明令淘汰、禁止使用的危及施工安全的工艺、设备、材料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施工单位挪用列入建设工程概算的安全生产作业环境及安全施工措施所需费用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施工单位施工前未对有关安全施工的技术要求作出详细说明</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施工单位未根据不同施工阶段和周围环境及季节、气候的变化，在施工现场采取相应的安全施工措施，或者在城市市区内的建设工程的施工现场未实行封闭围挡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施工单位在尚未竣工的建筑物内设置员工集体宿舍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施工现场临时搭建的建筑物不符合安全使用要求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施工单位未对因建设工程施工可能造成损害的毗邻建筑物、构筑物和地下管线等采取专项防护措施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安全防护用具、机械设备、施工机具及配件在进入施工现场前未经查验或者查验不合格施工单位即投入使用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施工单位使用未经验收或者验收不合格的施工起重机械和整体提升脚手架、模板等自升式架设设施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施工单位委托不具有相应资质的单位承担施工现场安装、拆卸施工起重机械和整体提升脚手架、模板等自升式架设设施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施工单位在施工组织设计中未编制安全技术措施、施工现场临时用电方案或者专项施工方案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施工单位的主要负责人、项目负责人未履行安全生产管理职责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不服管理、违反规章制度和操作规程冒险作业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施工单位取得资质证书后，降低安全生产条件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建设工程勘察、设计单位超越其资质等级许可的范围或者以其他建设工程勘察、设计单位的名义承揽建设工程勘察、设计业务；允许其他单位或者个人以本单位的名义承揽建设工程勘察、设计业务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未经注册，擅自以注册建设工程勘察、设计人员的名义从事建设工程勘察、设计活动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建设工程勘察、设计注册执业人员和其他专业技术人员未受聘于一个建设工程勘察、设计单位或者同时受聘于两个以上建设工程勘察、设计单位，从事建设工程勘察、设计活动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发包方将建设工程勘察、设计业务发包给不具有相应资质等级的建设工程勘察、设计单位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建设工程勘察、设计单位将所承揽的建设工程勘察、设计转包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勘察、设计单位未依据项目批准文件，城乡规划及专业规划，国家规定的建设工程勘察、设计深度要求编制建设工程勘察、设计文件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建设单位明示或者暗示设计单位、施工单位违反民用建筑节能强制性标准进行设计、施工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建设单位明示或者暗示施工单位使用不符合施工图设计文件要求的墙体材料、保温材料、门窗、采暖制冷系统和照明设备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建设单位采购不符合施工图设计文件要求的墙体材料、保温材料、门窗、采暖制冷系统和照明设备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建设单位使用列入禁止使用目录的技术、工艺、材料和设备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建设单位对不符合民用建筑节能强制性标准的民用建筑项目出具竣工验收合格报告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设计单位未按照民用建筑节能强制性标准进行设计，或者使用列入禁止使用目录的技术、工艺、材料和设备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施工单位未按照民用建筑节能强制性标准进行施工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施工单位未对进入施工现场的墙体材料、保温材料、门窗、采暖制冷系统和照明设备进行查验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施工单位使用不符合施工图设计文件要求的墙体材料、保温材料、门窗、采暖制冷系统和照明设备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施工单位使用列入禁止使用目录的技术、工艺、材料和设备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工程监理单位未按照民用建筑节能强制性标准实施监理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墙体、屋面的保温工程施工时，工程监理单位未采取旁站、巡视和平行检验等形式实施监理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对不符合施工图设计文件要求的墙体材料、保温材料、门窗、采暖制冷系统和照明设备，工程监理单位按照符合施工图设计文件要求签字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房地产开发企业销售商品房，未向购买人明示所售商品房的能源消耗指标、节能措施和保护要求、保温工程保修期等信息，或者向购买人明示的所售商品房能源消耗指标与实际能源消耗不符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注册执业人员未执行民用建筑节能强制性标准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以不正当手段取得注册建筑师考试合格资格或者注册建筑师证书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未经注册擅自以注册建筑师名义从事注册建筑师业务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注册建筑师以个人名义承接注册建筑师业务、收取费用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注册建筑师同时受聘于二个以上建筑设计单位执行业务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注册建筑师在建筑设计或者相关业务中侵犯他人合法权益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注册建筑师准许他人以本人名义执行业务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二级注册建筑师以一级注册建筑师的名义执行业务或者超越国家规定的执业范围执行业务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注册建筑师因建筑设计质量不合格发生重大责任事故，造成重大损失</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房地产价格评估机构或者房地产估价师出具虚假或者有重大差错的评估报告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《国有土地上房屋征收与补偿条例》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在村庄、集镇规划区内，未按规划审批程序批准或者违反规划的规定进行建设，严重影响村庄、集镇规划</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未取得设计资质证书，承担建筑跨度、跨径和高度超出规定范围的工程以及2层以上住宅的设计任务或者未按设计资质证书规定的经营范围，承担设计任务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未取得施工资质等级证书或者资质审查证书或者未按规定的经营范围，承担施工任务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不按有关技术规定施工或者使用不符合工程质量要求的建筑材料和建筑构件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未按设计图纸施工或者擅自修改设计图纸</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取得设计或者施工资质证书的勘察设计、施工单位，为无证单位提供资质证书，超过规定的经营范围，承担设计、施工任务或者设计、施工的质量不符合要求，情节严重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建设单位未按照本规定提供工程周边环境等资料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建设单位未按照本规定在招标文件中列出危大工程清单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建设单位未按照施工合同约定及时支付危大工程施工技术措施费或者相应的安全防护文明施工措施费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建设单位未按照本规定委托具有相应勘察资质的单位进行第三方监测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建设单位未对第三方监测单位报告的异常情况组织采取处置措施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勘察单位未在勘察文件中说明地质条件可能造成的工程风险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设计单位未在设计文件中注明涉及危大工程的重点部位和环节，未提出保障工程周边环境安全和工程施工安全的意见的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施工单位未按照本规定编制并审核危大工程专项施工方案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施工单位未对超过一定规模的危大工程专项施工方案进行专家论证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施工单位未根据专家论证报告对超过一定规模的危大工程专项施工方案进行修改，或者未按照本规定重新组织专家论证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施工单位未严格按照专项施工方案组织施工，或者擅自修改专项施工方案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施工单位项目负责人未按照本规定现场履职或者组织限期整改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施工单位未按照本规定进行施工监测和安全巡视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施工单位未按照本规定组织危大工程验收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发生险情或者事故时，施工单位未采取应急处置措施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施工单位未按照本规定建立危大工程安全管理档案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监理单位的总监理工程师未按照本规定审查危大工程专项施工方案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发现施工单位未按照专项施工方案实施，监理单位未要求其整改或者停工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施工单位拒不整改或者不停止施工时，监理单位未向建设单位和工程所在地住房城乡建设主管部门报告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监理单位未按规定编制监理实施细则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监理单位未对危大工程施工实施专项巡视检查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监理单位未按规定参与组织危大工程验收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监理单位未按规定建立危大工程安全管理档案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监测单位未取得相应勘察资质从事第三方监测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监测单位未按规定编制监测方案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监测单位未按照监测方案开展监测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监测单位发现异常未及时报告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申请企业隐瞒有关真实情况或者提供虚假材料申请建筑业企业资质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企业以欺骗、贿赂等不正当手段取得建筑业企业资质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企业申请建筑业企业资质升级、资质增项，在申请之日起前一年至资质许可决定作出前，超越本企业资质等级或以其他企业的名义承揽工程，或允许其他企业或个人以本企业的名义承揽工程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企业申请建筑业企业资质升级、资质增项，在申请之日起前一年至资质许可决定作出前，与建设单位或企业之间相互串通投标，或以行贿等不正当手段谋取中标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企业申请建筑业企业资质升级、资质增项，在申请之日起前一年至资质许可决定作出前，未取得施工许可证擅自施工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企业申请建筑业企业资质升级、资质增项，在申请之日起前一年至资质许可决定作出前，将承包的工程转包或违法分包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企业申请建筑业企业资质升级、资质增项，在申请之日起前一年至资质许可决定作出前，违反国家工程建设强制性标准施工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企业申请建筑业企业资质升级、资质增项，在申请之日起前一年至资质许可决定作出前，恶意拖欠分包企业工程款或者劳务人员工资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企业申请建筑业企业资质升级、资质增项，在申请之日起前一年至资质许可决定作出前，隐瞒或谎报、拖延报告工程质量安全事故，破坏事故现场、阻碍对事故调查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企业申请建筑业企业资质升级、资质增项，在申请之日起前一年至资质许可决定作出前，按照国家法律、法规和标准规定需要持证上岗的现场管理人员和技术工种作业人员未取得证书上岗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企业申请建筑业企业资质升级、资质增项，在申请之日起前一年至资质许可决定作出前，未依法履行工程质量保修义务或拖延履行保修义务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企业申请建筑业企业资质升级、资质增项，在申请之日起前一年至资质许可决定作出前，伪造、变造、倒卖、出租、出借或者以其他形式非法转让建筑业企业资质证书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企业申请建筑业企业资质升级、资质增项，在申请之日起前一年至资质许可决定作出前，发生过较大以上质量安全事故或者发生过两起以上一般质量安全事故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企业申请建筑业企业资质升级、资质增项，在申请之日起前一年至资质许可决定作出前，有其它违反法律、法规的行为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企业未按照规定及时办理建筑业企业资质证书变更手续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企业在接受监督检查时，不如实提供有关材料，或者拒绝、阻碍监督检查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企业未按照规定要求提供企业信用档案信息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未取得建筑业企业资质承接分包工程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《房屋建筑和市政基础设施工程施工分包管理办法》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未取得施工许可证或者为规避办理施工许可证将工程项目分解后擅自施工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建设单位采用欺骗、贿赂等不正当手段取得施工许可证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建设单位隐瞒有关情况或者提供虚假材料申请施工许可证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建设单位伪造或者涂改施工许可证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“安管人员”隐瞒有关情况或者提供虚假材料申请安全生产考核</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“安管人员”以欺骗、贿赂等不正当手段取得安全生产考核合格证书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“安管人员”涂改、倒卖、出租、出借或者以其他形式非法转让安全生产考核合格证书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建筑施工企业未按规定开展“安管人员”安全生产教育培训考核，或者未按规定如实将考核情况记入安全生产教育培训档案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建筑施工企业未按规定设立安全生产管理机构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建筑施工企业未按规定配备专职安全生产管理人员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危险性较大的分部分项工程施工时建筑施工企业未安排专职安全生产管理人员现场监督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“安管人员”未取得安全生产考核合格证书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“安管人员”未按规定办理证书变更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主要负责人、项目负责人未按规定履行安全生产管理职责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专职安全生产管理人员未按规定履行安全生产管理职责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工程造价咨询企业在建筑工程计价活动中，出具有虚假记载、误导性陈述的工程造价成果文件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《建筑工程施工发包与承包计价管理办法》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审查机构列入名录后不再符合规定条件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审查机构超出范围从事施工图审查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审查机构使用不符合条件审查人员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审查机构未按规定的内容进行审查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审查机构未按规定上报审查过程中发现的违法违规行为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审查机构未按规定填写审查意见告知书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审查机构未按规定在审查合格书和施工图上签字盖章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审查机构已出具审查合格书的施工图，仍有违反法律、法规和工程建设强制性标准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审查机构出具虚假审查合格书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审查人员在虚假审查合格书上签字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建设单位压缩合理审查周期的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建设单位提供不真实送审资料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建设单位对审查机构提出不符合法律、法规和工程建设强制性标准要求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建设单位在工程竣工验收合格之日起15日内未办理工程竣工验收备案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《房屋建筑和市政基础设施工程竣工验收备案管理办法》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建设单位将备案机关决定重新组织竣工验收的工程，在重新组织竣工验收前，擅自使用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《房屋建筑和市政基础设施工程竣工验收备案管理办法》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建设单位采用虚假证明文件办理工程竣工验收备案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《房屋建筑和市政基础设施工程竣工验收备案管理办法》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隐瞒有关情况或者提供虚假材料申请注册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《中华人民共和国注册建筑师条例实施细则》、《注册建造师管理规定》、《注册监理工程师管理规定》、《勘察设计注册工程师管理规定》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以欺骗、贿赂等不正当手段取得注册证书和执业印章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《中华人民共和国注册建筑师条例实施细则》</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出租单位、自购建筑起重机械的使用单位未按照规定办理备案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出租单位、自购建筑起重机械的使用单位未按照规定办理注销手续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出租单位、自购建筑起重机械的使用单位未按照规定建立建筑起重机械安全技术档案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安装单位未按照安全技术标准及安装使用说明书等检查建筑起重机械及现场施工条件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安装单位未制定建筑起重机械安装、拆卸工程生产安全事故应急救援预案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安装单位未将建筑起重机械安装、拆卸工程专项施工方案，安装、拆卸人员名单，安装、拆卸时间等材料报施工总承包单位和监理单位审核后，告知工程所在地县级以上地方人民政府建设主管部门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安装单位未按照规定建立建筑起重机械安装、拆卸工程档案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安装单位未按照建筑起重机械安装、拆卸工程专项施工方案及安全操作规程组织安装、拆卸作业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使用单位未根据不同施工阶段、周围环境以及季节、气候的变化，对建筑起重机械采取相应的安全防护措施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使用单位未制定建筑起重机械生产安全事故应急救援预案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使用单位未设置相应的设备管理机构或者配备专职的设备管理人员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建筑起重机械出现故障或者发生异常情况时，使用单位未立即停止使用，或未待消除故障和事故隐患后，再重新投入使用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使用单位未指定专职设备管理人员进行现场监督检查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使用单位擅自在建筑起重机械上安装非原制造厂制造的标准节和附着装置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施工总承包单位未向安装单位提供拟安装设备位置的基础施工资料，确保建筑起重机械进场安装、拆卸所需的施工条件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施工总承包单位未审核安装单位、使用单位的资质证书、安全生产许可证和特种作业人员的特种作业操作资格证书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施工总承包单位未审核安装单位制定的建筑起重机械安装、拆卸工程专项施工方案和生产安全事故应急救援预案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施工总承包单位未审核使用单位制定的建筑起重机械生产安全事故应急救援预案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施工现场有多台塔式起重机作业时，施工单位未组织制定并实施防止塔式起重机相互碰撞的安全措施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监理单位未审核建筑起重机械特种设备制造许可证、产品合格证、制造监督检验证明、备案证明等文件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监理单位未审核建筑起重机械安装单位、使用单位的资质证书、安全生产许可证和特种作业人员的特种作业操作资格证书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监理单位未监督安装单位执行建筑起重机械安装、拆卸工程专项施工方案情况</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监理单位未监督检查建筑起重机械的使用情况</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建设单位未按照规定协调组织制定防止多台塔式起重机相互碰撞的安全措施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接到监理单位报告后，建设单位未责令安装单位、使用单位立即停工整改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建设单位未为勘察工作提供必要的现场工作条件或者未提供真实、可靠原始资料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工程勘察企业未按照工程建设强制性标准进行勘察、弄虚作假、提供虚假成果资料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工程勘察企业勘察文件没有责任人签字或者签字不全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工程勘察企业原始记录不按照规定记录或者记录不完整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工程勘察企业不参加施工验槽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项目完成后，工程勘察企业勘察文件不归档保存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企业隐瞒有关情况或者提供虚假材料申请资质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企业以欺骗、贿赂等不正当手段取得资质证书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企业未按照规定提供信用档案信息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企业涂改、倒卖、出租、出借或者以其他形式非法转让资质证书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申请人隐瞒有关情况或者提供虚假材料申请工程监理企业资质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工程监理企业以欺骗、贿赂等不正当手段取得工程监理企业资质证书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工程监理企业在监理过程中实施商业贿赂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工程监理企业涂改、伪造、出借、转让工程监理企业资质证书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工程监理企业未按照要求提供工程监理企业信用档案信息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未取得注册证书和执业印章，担任大中型建设工程项目施工单位项目负责人，或者以注册建造师的名义从事相关活动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注册建造师、注册造价工程师、注册监理工程师未办理变更注册而继续执业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注册建造师在执业活动中不履行注册建造师义务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注册建造师在执业活动中索贿、受贿或者谋取合同约定费用外的其他利益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注册建造师在执业活动中在执业过程中实施商业贿赂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注册建造师在执业活动中签署有虚假记载等不合格的文件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注册建造师在执业活动中允许他人以自己的名义从事执业活动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注册建造师在执业活动中同时在两个或者两个以上单位受聘或者执业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注册建造师在执业活动中涂改、倒卖、出租、出借或以其他形式非法转让资格证书、注册证书和执业印章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注册建造师在执业活动中超出执业范围和聘用单位业务范围内从事执业活动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注册建造师在执业活动中法律、法规、规章禁止的其他行为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注册建造师或者其聘用单位未按照要求提供注册建造师信用档案信息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聘用单位为申请人提供虚假注册材料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隐瞒有关情况或者提供虚假材料申请造价工程师注册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以欺骗、贿赂等不正当手段取得造价工程师注册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未经注册而以注册造价工程师的名义从事工程造价活动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注册造价工程师不履行注册造价工程师义务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注册造价工程师在执业过程中，索贿、受贿或者谋取合同约定费用外的其他利益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注册造价工程师在执业过程中实施商业贿赂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注册造价工程师签署有虚假记载、误导性陈述的工程造价成果文件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注册造价工程师以个人名义承接工程造价业务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注册造价工程师允许他人以自己名义从事工程造价业务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注册造价工程师同时在两个或者两个以上单位执业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注册造价工程师涂改、倒卖、出租、出借或者以其他形式非法转让注册证书或者执业印章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注册造价工程师有法律、法规、规章禁止的其他行为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注册造价工程师或者其聘用单位未按照要求提供造价工程师信用档案信息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申请人隐瞒有关情况或者提供虚假材料申请工程造价咨询企业资质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以欺骗、贿赂等不正当手段取得工程造价咨询企业资质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未取得工程造价咨询企业资质从事工程造价咨询活动或者超越资质等级承接工程造价咨询业务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工程造价咨询企业新设立分支机构不备案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工程造价咨询企业跨省、自治区、直辖市承接业务不备案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工程造价咨询企业涂改、倒卖、出租、出借资质证书，或者以其他形式非法转让资质证书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工程造价咨询企业超越资质等级业务范围承接工程造价咨询业务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工程造价咨询企业同时接受招标人和投标人或两个以上投标人对同一工程项目的工程造价咨询业务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工程造价咨询企业以给予回扣、恶意压低收费等方式进行不正当竞争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工程造价咨询企业转包承接的工程造价咨询业务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擅自使用没有国家技术标准又未经审定的新技术、新材料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擅自变动或者破坏房屋建筑抗震构件、隔震装置、减震部件或者地震反应观测系统等抗震设施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未对抗震能力受损、荷载增加或者需提高抗震设防类别的房屋建筑工程，进行抗震验算、修复和加固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鉴定需抗震加固的房屋建筑工程在进行装修改造时未进行抗震加固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未经注册，擅自以注册监理工程师的名义从事工程监理及相关业务活动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注册监理工程师在执业活动中以个人名义承接业务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注册监理工程师在执业活动中涂改、倒卖、出租、出借或者以其他形式非法转让注册证书或者执业印章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注册监理工程师在执业活动中泄露执业中应当保守的秘密并造成严重后果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注册监理工程师在执业活动中超出规定执业范围或者聘用单位业务范围从事执业活动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注册监理工程师在执业活动中弄虚作假提供执业活动成果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注册监理工程师在执业活动中同时受聘于两个或者两个以上的单位，从事执业活动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注册监理工程师在执业活动中有其它违反法律、法规、规章的行为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建设单位未按照建筑节能强制性标准委托设计，擅自修改节能设计文件，明示或暗示设计单位、施工单位违反建筑节能设计强制性标准，降低工程建设质量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设计单位未按照建筑节能强制性标准进行设计,且未进行修改；两年内，累计三项工程未按照建筑节能强制性标准设计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施工单位未按照节能设计进行施工；两年内，累计三项工程未按照符合节能标准要求的设计进行施工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未取得相应的资质，擅自承担本办法规定的检测业务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检测机构隐瞒有关情况或者提供虚假材料申请资质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检测机构超出资质范围从事检测活动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检测机构涂改、倒卖、出租、出借、转让资质证书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检测机构使用不符合条件的检测人员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检测机构未按规定上报发现的违法违规行为和检测不合格事项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检测机构未按规定在检测报告上签字盖章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检测机构未按照国家有关工程建设强制性标准进行检测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检测机构档案资料管理混乱，造成检测数据无法追溯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检测机构转包检测业务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检测机构伪造检测数据，出具虚假检测报告或鉴定结论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委托方委托未取得相应资质的检测机构进行检测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委托方明示或暗示检测机构出具虚假检测报告，篡改或伪造检测报告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委托方弄虚作假送检试样</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注册工程师在执业活动中以个人名义承接业务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注册工程师在执业活动中涂改、出租、出借或者以形式非法转让注册证书或者执业印章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注册工程师在执业活动中泄露执业中应当保守的秘密并造成严重后果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注册工程师在执业活动中超出本专业规定范围或者聘用单位业务范围从事执业活动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注册工程师在执业活动中弄虚作假提供执业活动成果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注册工程师在执业活动中有其它违反法律、法规、规章的行为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取得安全生产许可证的建筑施工企业，发生重大安全事故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建筑施工企业未取得安全生产许可证擅自从事建筑施工活动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安全生产许可证有效期满未办理延期手续，继续从事建筑施工活动；逾期仍不办理延期手续，继续从事建筑施工活动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建筑施工企业转让安全生产许可证；接受转让安全生产许可证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建筑施工企业冒用安全生产许可证或使用伪造的安全生产许可证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建筑施工企业隐瞒有关情况或者提供虚假材料申请安全生产许可证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建筑施工企业以欺骗、贿赂等不正当手段取得安全生产许可证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外资建筑业企业超越资质许可的业务范围承包工程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《外商投资建筑业企业管理规定》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施工图设计文件未经审查或者审查不合格，建设单位擅自施工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《超限高层建筑工程抗震设防管理规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勘察、设计单位未按照抗震设防专项审查意见进行超限高层建筑工程勘察、设计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《超限高层建筑工程抗震设防管理规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招标人不具备自行办理施工招标事宜条件而自行招标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勘察、设计单位违反工程建设强制性标准进行勘察、设计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《实施工程建设强制性标准监督规定》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施工单位违反工程建设强制性标准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《实施工程建设强制性标准监督规定》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工程监理单位违反强制性标准规定，将不合格的建设工程以及建筑材料、建筑构配件和设备按照合格签字的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《实施工程建设强制性标准监督规定》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施工单位在工程竣工验收后，不向建设单位出具质量保修书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《房屋建筑工程质量保修办法》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施工单位关于质量保修的内容、期限违反规定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《房屋建筑工程质量保修办法》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施工单位不履行保修义务或者拖延履行保修义务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《房屋建筑工程质量保修办法》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未按有关规范、标准、规定进行设计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擅自改动设计文件中安全防范设施内容的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使用未经鉴定和鉴定不合格的产品、材料、设备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安全防范设施未经验收或验收不合格而交付使用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施工工地未设置硬质密闭围挡，或者未采取覆盖、分段作业、择时施工、洒水抑尘、冲洗地面和车辆等有效防尘降尘措施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建筑土方、工程渣土、建筑垃圾未及时清运，或者未采用密闭式防尘网遮盖</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建设单位未对暂时不能开工的建设用地的裸露地面进行覆盖，或者未对超过三个月不能开工的建设用地的裸露地面进行绿化、铺装或者遮盖</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随意倾倒、抛撒或者堆放生活垃圾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擅自关闭、闲置或者拆除生活垃圾处置设施、场所</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工程施工单位不及时清运施工过程中产生的固体废物，造成环境污染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工程施工单位不按照环境卫生行政主管部门的规定对施工过程中产生的固体废物进行利用或者处置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必须进行招标的项目不招标；将必须进行招标的项目化整为零或者以其他任何方式规避招标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招标代理机构泄露应当保密的与招标投标活动有关的情况和资料；或者与招标人、投标人串通损害国家利益、社会公共利益或者他人合法权益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招标人以不合理的条件限制或者排斥潜在投标人；对潜在投标人实行歧视待遇；强制要求投标人组成联合体共同投标；或者限制投标人之间竞争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依法必须进行招标的项目的招标人向他人透露已获取招标文件的潜在投标人的名称、数量或者可能影响公平竞争的有关招标投标的其他情况；或者泄露标底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投标人相互串通投标或者与招标人串通投标；投标人以向招标人或者评标委员会成员行贿的手段谋取中标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投标人以他人名义投标或者以其他方式弄虚作假，骗取中标，且尚未构成犯罪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依法必须进行招标的项目，招标人与投标人就投标价格、投标方案等实质性内容进行谈判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评标委员会成员收受投标人的财物或者其他好处，评标委员会成员或者参加评标的有关工作人员向他人透露对投标文件的评审和比较、中标候选人的推荐以及与评标有关的其他情况</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招标人在评标委员会依法推荐的中标候选人以外确定中标人；依法必须进行招标的项目在所有投标被评标委员会否决后自行确定中标人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中标人将中标项目转让给他人；将中标项目肢解后分别转让给他人；违反招标投标法和招标投标法实施条例规定将中标项目的部分主体、关键性工作分包给他人；或者分包人再次分包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招标人与中标人不按照招标文件和中标人的投标文件订立合同，或者招标人、中标人订立背离合同实质性内容的协议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中标人不按照与招标人订立的合同履行义务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依法应当公开招标的项目招标人不按照规定在指定媒介发布资格预审公告或者招标公告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招标人在不同媒介发布的同一招标项目的资格预审公告或者招标公告的内容不一致，影响潜在投标人申请资格预审或者投标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依法必须进行招标的项目的招标人不按照规定发布资格预审公告或者招标公告，构成规避招标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依法应当公开招标而招标人采用邀请招标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招标文件、资格预审文件的发售、澄清、修改的时限，或者确定的提交资格预审申请文件、投标文件的时限不符合招标投标法和本条例规定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招标人接受未通过资格预审的单位或者个人参加投标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招标人接受应当拒收的投标文件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                                                                       《工程建设项目施工招标投标办法》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招标人超过规定的比例收取投标保证金、履约保证金或者不按照规定退还投标保证金及银行同期存款利息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出让或者出租资格、资质证书供他人投标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依法必须进行招标的项目的招标人不按照规定组建评标委员会，或者确定、更换评标委员会成员违反招标投标法和招标投标法实施条例规定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评标委员会成员应当回避而不回避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评标委员会成员擅离职守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评标委员会成员不按照招标文件规定的评标标准和方法评标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评标委员会成员私下接触投标人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评标委员会成员向招标人征询确定中标人的意向或者接受任何单位或者个人明示或者暗示提出的倾向或者排斥特定投标人的要求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评标委员会成员对依法应当否决的投标不提出否决意见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评标委员会成员暗示或者诱导投标人作出澄清、说明或者接受投标人主动提出的澄清、说明</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评标委员会成员有其他不客观、不公正履行职务的行为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评标委员会成员收受投标人的财物或者其他好处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依法必须进行招标的项目的招标人无正当理由不发出中标通知书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依法必须进行招标的项目的招标人不按照规定确定中标人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依法必须进行招标的项目的招标人中标通知书发出后无正当理由改变中标结果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依法必须进行招标的项目的招标人无正当理由不与中标人订立合同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依法必须进行招标的项目的招标人在订立合同时向中标人提出附加条件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中标人无正当理由不与招标人订立合同，在签订合同时向招标人提出附加条件，或者不按照招标文件要求提交履约保证金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招标人和中标人不按照招标文件和中标人的投标文件订立合同，合同的主要条款与招标文件、中标人的投标文件的内容不一致，或者招标人、中标人订立背离合同实质性内容的协议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招标人不按照规定对异议作出答复，继续进行招标投标活动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招标人澄清、修改招标文件的时限，或者确定的提交投标文件的时限不符合规定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招标人不按照规定组建评标委员会，或者评标委员会成员的确定违反规定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招标人无正当理由未按规定发出中标通知书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招标人不按照规定确定中标人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中标通知书发出后招标人无正当理由改变中标结果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招标人无正当理由未按规定与中标人订立合同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招标人在订立合同时向中标人提出附加条件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投标人以他人名义投标或者以其他方式弄虚作假，骗取中标，且尚未构成犯罪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评标委员会成员违反规定，对应当否决的投标不提出否决意见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依法必须公开招标的项目招标人不按照规定在指定媒介发布资格预审公告或者招标公告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招标文件、资格预审文件的发售、澄清、修改的时限，或者确定的提交资格预审申请文件、投标文件的时限不符合招标投标法和招标投标法实施条例规定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依法必须进行招标的项目的投标人以他人名义投标，利用伪造、转让、租借、无效的资质证书参加投标，或者请其他单位在自己编制的投标文件上代为签字盖章，弄虚作假，骗取中标，且未构成犯罪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招标人以抽签、摇号等不合理的条件限制或者排斥资格预审合格的潜在投标人参加投标，对潜在投标人实行歧视待遇的，强制要求投标人组成联合体共同投标，或者限制投标人之间竞争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招标人与中标人不按照招标文件和中标人的投标文件订立合同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招标人在不同媒介发布的同一招标项目的资格预审公告或者招标公告内容不一致，影响潜在投标人申请资格预审或者投标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招标人无正当理由不发出中标通知书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招标人无正当理由不与中标人订立合同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在订立合同时招标人向中标人提出附加条件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中标通知书发出后，中标人放弃中标项目的，无正当理由不与招标人签订合同的，在签订合同时向招标人提出附加条件或者更改合同实质性内容的，或者拒不提交所要求的履约保证金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依法必须进行招标的项目而不招标的，将必须进行招标的项目化整为零或者以其他任何方式规避招标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招标代理机构违法泄露应当保密的与招标投标活动有关的情况和资料，或者与招标人、投标人串通损害国家利益、社会公共利益或者他人合法权益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招标人以不合理的条件限制或者排斥潜在投标人，对潜在投标人实行歧视待遇，强制要求投标人组成联合体共同投标，或者限制投标人之间竞争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依法必须进行招标项目的招标人向他人透露已获取招标文件的潜在投标人的名称、数量或者可能影响公平竞争的有关招标投标的其他情况，或者泄露标底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招标人依法应当公开招标而采用邀请招标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投标人相互串通投标或者与招标人串通投标，投标人以向招标人或者评标委员会成员行贿的手段谋取中标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投标人以他人名义投标或者以其他方式弄虚作假，骗取中标的，尚未构成犯罪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依法必须进行招标的项目，招标人违法与投标人就投标价格、投标方案等实质性内容进行谈判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中标通知书发出后，中标人放弃中标项目；无正当理由不与招标人签订合同；在签订合同时向招标人提出附加条件或者更改合同实质性内容；或者拒不提交所要求的履约保证金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中标人将中标项目转让给他人，将中标项目肢解后分别转让给他人，违法将中标项目的部分主体、关键性工作分包给他人，或者分包人再次分包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中标人不按照与招标人订立的合同履行义务，情节严重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开山、采石、开矿等破坏传统格局和历史风貌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占用保护规划确定保留的园林绿地、河湖水系、道路等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修建生产、储存爆炸性、易燃性、放射性、毒害性、腐蚀性物品的工厂、仓库等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在历史建筑上刻划、涂污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未经城乡规划主管部门会同同级文物主管部门批准拆除历史建筑以外的建筑物、构筑物或者其他设施；或者经批准但是在活动过程中对传统格局、历史风貌或者历史建筑构成破坏性影响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乡规划主管部门会同同级文物主管部门批准对历史建筑进行外部修缮装饰、添加设施以及改变历史建筑的结构或者使用性质；或者经批准但是在活动过程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在改变园林绿地、河湖水系等自然状态的活动中，对传统格局、历史风貌或者历史建筑构成破坏性影响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在核心保护范围内进行影视摄制、举办大型群众性活动中，对传统格局、历史风貌或者历史建筑构成破坏性影响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在其他影响传统格局、历史风貌或者历史建筑的活动中，构成破坏性影响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损坏或者擅自迁移、拆除历史建筑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擅自设置、移动、涂改或者损毁历史文化街区、名镇、名村标志牌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历史文化名城、名镇、名村保护范围内，开山、采石、开矿等破坏传统格局和历史风貌，占用保护规划确定保留的园林绿地、河湖水系、道路等，修建生产、储存爆炸性、易燃性、放射性、毒害性、腐蚀性物品的工厂、仓库等，逾期不恢复原状或者不采取其他补救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乡规划主管部门会同同级文物主管部门批准，改变园林绿地、河湖水系等自然状态，进行影视摄制、举办大型群众性活动，拆除历史建筑以外的建筑物、构筑物或者其他设施，对历史建筑进行外部修缮装饰、添加设施以及改变历史建筑的结构或者使用性质，其他影响传统格局、历史风貌或者历史建筑，逾期不恢复原状或者不采取其他补救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损坏或者擅自迁移、拆除历史建筑，逾期不恢复原状或者不采取其他补救措施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损坏城市树木花草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擅自砍伐城市树木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砍伐、擅自迁移古树名木或者因养护不善致使古树名木受到损伤或者死亡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损坏城市绿化设施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未经同意擅自占用城市绿化用地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不服从公共绿地管理单位管理的商业、服务摊点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在城市绿地范围内进行拦河截溪、取土采石、设置垃圾堆场、排放污水以及其他对城市生态环境造成破坏活动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随地吐痰、便溺，乱扔果皮、纸屑和烟头等废弃物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在城市建筑物、设施以及树木上涂写、刻画或者未经批准张挂、张贴宣传品等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在城市人民政府规定的街道的临街建筑物的阳台和窗外，堆放、吊挂有碍市容的物品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不按规定的时间、地点、方式，倾倒垃圾、粪便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不履行卫生责任区清扫保洁义务或者不按规定清运、处理垃圾和粪便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运输液体、散装货物不作密封、包扎、覆盖，造成泄漏、遗撒</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临街工地不设置护栏或者不作遮挡、停工场地不及时整理并作必要覆盖或者竣工后不及时清理和平整场地，影响市容和环境卫生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饲养家畜家禽影响市容和环境卫生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未经城市人民政府市容环境卫生行政主管部门同意，擅自设置大型户外广告，影响市容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未经城市人民政府市容环境卫生行政主管部门批准，擅自在街道两侧和公共场地堆放物料，搭建建筑物、构筑物或者其他设施，影响市容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未经批准擅自拆除环境卫生设施或者未按批准的拆迁方案进行拆迁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不符合城市容貌标准、环境卫生标准的建筑物或者设施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损坏各类环境卫生设施及其附属设施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单位和个人未按规定缴纳城市生活垃圾处理费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未按照城市生活垃圾治理规划和环境卫生设施标准配套建设城市生活垃圾收集设施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城市生活垃圾处置设施未经验收或者验收不合格投入使用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未经批准擅自关闭、闲置或者拆除城市生活垃圾处置设施、场所</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随意倾倒、抛洒、堆放城市生活垃圾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未经批准从事城市生活垃圾经营性清扫、收集、运输或者处置活动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从事城市生活垃圾经营性清扫、收集、运输的企业在运输过程中沿途丢弃、遗撒生活垃圾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从事生活垃圾经营性清扫、收集、运输的企业不按照环境卫生作业标准和作业规范，在规定的时间内及时清扫、收运城市生活垃圾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从事生活垃圾经营性清扫、收集、运输的企业未将收集的城市生活垃圾运到直辖市、市、县人民政府建设（环境卫生）主管部门认可的处置场所</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从事生活垃圾经营性清扫、收集、运输的企业清扫、收运城市生活垃圾后，未对生活垃圾收集设施及时保洁、复位，清理作业场地，保持生活垃圾收集设施和周边环境的干净整洁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从事生活垃圾经营性清扫、收集、运输的企业用于收集、运输城市生活垃圾的车辆、船舶未做到密闭、完好和整洁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从事生活垃圾经营性清扫、收集、运输的企业未严格按照国家有关规定和技术标准，处置城市生活垃圾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从事生活垃圾经营性清扫、收集、运输的企业未按照规定处理处置过程中产生的污水、废气、废渣、粉尘等，防止二次污染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从事生活垃圾经营性清扫、收集、运输的企业未按照所在地建设（环境卫生）主管部门规定的时间和要求接收生活垃圾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从事生活垃圾经营性清扫、收集、运输的企业未按照要求配备城市生活垃圾处置设备、设施，保证设施、设备运行良好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从事生活垃圾经营性清扫、收集、运输的企业未保证城市生活垃圾处置站、场（厂）环境整洁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从事生活垃圾经营性清扫、收集、运输的企业未按照要求配备合格的管理人员及操作人员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从事生活垃圾经营性清扫、收集、运输的企业未对每日收运、进出场站、处置的生活垃圾进行计量，或未按照要求将统计数据和报表报送所在地建设（环境卫生）主管部门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从事城市生活垃圾经营性清扫、收集、运输的企业，未经批准擅自停业、歇业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从事城市生活垃圾经营性处置的企业，未经批准擅自停业、歇业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将建筑垃圾混入生活垃圾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将危险废物混入建筑垃圾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擅自设立弃置场受纳建筑垃圾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建筑垃圾储运消纳场受纳工业垃圾、生活垃圾和有毒有害垃圾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施工单位未及时清运工程施工过程中产生的建筑垃圾，造成环境污染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施工单位将建筑垃圾交给个人或者未经核准从事建筑垃圾运输的单位处置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处置建筑垃圾的单位在运输建筑垃圾过程中沿途丢弃、遗撒建筑垃圾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涂改、倒卖、出租、出借或者以其他形式非法转让城市建筑垃圾处置核准文件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未经核准擅自处置建筑垃圾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处置超出核准范围的建筑垃圾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任何单位和个人随意倾倒、抛撒或者堆放建筑垃圾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擅自在动物园内摆摊设点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《城市动物园管理规定》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擅自占用城市公厕规划用地或者改变其性质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建设单位经批准使用的土地含有城市公厕规划用地的，建设单位未按照城市公厕规划和城市人民政府环境卫生行政主管部门的要求修建公厕，并向社会开放使用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未按分工负责城市公厕的建设和维修管理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影剧院、商店、饭店、车站等公共建筑没有附设公厕或者原有公厕及其卫生设施不足的，未按照城市人民政府环境卫生行政主管部门的要求进行新建、扩建或者改造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公共建筑附设的公厕及其卫生设施的设计和安装，不符合国家和地方的有关标准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对于损坏严重或者年久失修的公厕，有关单位未按照分工负责建设和维修管理，或在拆除重建时未先建临时公厕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独立设置的城市公厕竣工时，建设单位未通知城市人民政府环境卫生主管部门或者其指定的部门参加验收；将验收不合格的独立设置的城市公厕交付使用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在公厕内乱丢垃圾、污物，随地吐痰，乱涂乱画</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破坏公厕设施、设备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未经批准擅自占用或者改变公厕使用性质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在运输过程中沿途丢弃、遗撒生活垃圾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对涉嫌从事无照经营的场所，予以查封；对涉嫌用于无照经营的工具、设备、原材料、产品（商品）等物品，予以查封、扣押</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《无证无照经营查处办法》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主次干道两侧和临街的建筑物、构筑物容貌不符合城市容貌标准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利用公共设施、景观设施或者管线晾晒衣服、摆放物品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城市道路、桥梁、地下通道、公共广场以及其他公共场所堆放物料，或者经批准临时堆放物料到期后未及时清理，擅自在城市道路、桥梁、地下通道、公共广场以及其他公共场所搭建临时建筑物、构筑物或者其他设施，或者经批准临时建设到期后未及时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经营者擅自超出门、窗、外墙进行店外经营、作业或者摆设商品、桌椅、广告牌等物品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擅自占用城市道路、桥梁、地下通道、公共停车位、公共广场、公共绿地以及其他公共场所设摊经营、兜售物品或者进行文艺表演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擅自在城市建筑物、设施上张挂、张贴宣传品等，在建筑物、构筑物、城市道路、树木以及其他户外设施或者公共场所涂写、刻画，或者经批准设置临时宣传品到期后未及时清理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往他人交通工具上投放印刷品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随地吐痰、便溺，乱扔果皮、果核、纸屑、烟蒂、玻璃瓶、饮料罐、口香糖、包装袋或者乱倒垃圾、渣土、污水、污油、粪便等废弃物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乱扔动物尸体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从建筑物、机动车内向外抛掷垃圾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在城市道路或者公共场所从事车辆清洗活动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非因教学、科研等特殊需要，在城区内饲养鸡、鸭、鹅、兔、羊、猪等家禽家畜或者饲养信鸽影响周围市容和环境卫生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随意倾倒、抛撒、焚烧或者堆放生活垃圾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未将大件垃圾按照规定时间投放到指定场所，或者将大件垃圾投放到生活垃圾收集点或者收集容器内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未在显著位置公示配套建设的生活垃圾中转站、公共厕所等公共环境卫生设施，未将配套建设的公共环境卫生设施在规划总平面图、销售广告、建设项目沙盘等载体予以明确标示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配套建设的环境卫生设施未与主体工程同时竣工验收、同时投入使用，或者分期建设的建设工程配套建设的环境卫生设施未与首期工程同时竣工验收、同时投入使用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损坏环境卫生设施、擅自拆除、迁移环境卫生设施，或者未按规定拆除、迁移环境卫生设施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未取得设计、施工资格或者未按照资质等级承担城市道路的设计、施工任务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未按照城市道路设计、施工技术规范设计、施工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未按照设计图纸施工或者擅自修改图纸</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擅自使用未经验收或者验收不合格的城市道路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承担城市道路养护、维修的单位未定期对城市道路进行养护、维修或者未按照规定的期限修复竣工，并拒绝接受市政工程行政主管部门监督、检查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未对设在城市道路上的各种管线的检查井、箱盖或者城市道路附属设施的缺损及时补缺或者修复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未在城市道路施工现场设置明显标志和安全防围设施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占用城市道路期满或者挖掘城市道路后，不及时清理现场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依附于城市道路建设各种管线、杆线等设施，不按照规定办理批准手续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紧急抢修埋设在城市道路下的管线，不按照规定补办批准手续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未按照批准的位置、面积、期限占用或者挖掘城市道路，或者需要移动位置、扩大面积、延长时间，未提前办理变更审批手续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擅自占用或者挖掘城市道路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履带车、铁轮车或者超重、超高、超长车辆擅自在城市道路上行驶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机动车在桥梁或者非指定的城市道路上试刹车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擅自在城市道路上建设建筑物、构筑物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在桥梁上架设压力在4公斤/平方厘米（0.4兆帕）以上的煤气管道、10千伏以上的高压电力线和其他易燃易爆管线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擅自在桥梁或者路灯设施上设置广告牌或者其他挂浮物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其他损害、侵占城市道路的行为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未取得燃气经营许可证从事燃气经营活动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燃气经营者不按照燃气经营许可证的规定从事燃气经营活动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燃气经营者拒绝向市政燃气管网覆盖范围内符合用气条件的单位或者个人供气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燃气经营者倒卖、抵押、出租、出借、转让、涂改燃气经营许可证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燃气经营者未履行必要告知义务擅自停止供气、调整供气量，或者未经审批擅自停业或者歇业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燃气经营者向未取得燃气经营许可证的单位或者个人提供用于经营的燃气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燃气经营者在不具备安全条件的场所储存燃气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燃气经营者要求燃气用户购买其指定的产品或者接受其提供的服务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燃气经营者未向燃气用户持续、稳定、安全供应符合国家质量标准的燃气，或者未对燃气用户的燃气设施定期进行安全检查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擅自为非自有气瓶充装燃气或者销售未经许可的充装单位充装的瓶装燃气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销售充装单位擅自为非自有气瓶充装的瓶装燃气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冒用其他企业名称或者标识从事燃气经营、服务活动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未按照国家有关工程建设标准和安全生产管理的规定，设置燃气设施防腐、绝缘、防雷、降压、隔离等保护装置和安全警示标志；或者未定期进行巡查、检测、维修和维护；或者未采取措施及时消除燃气安全事故隐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燃气用户及相关单位和个人擅自操作公用燃气阀门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燃气用户及相关单位和个人将燃气管道作为负重支架或者接地引线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燃气用户及相关单位和个人安装、使用不符合气源要求的燃气燃烧器具</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燃气用户及相关单位和个人擅自安装、改装、拆除户内燃气设施和燃气计量装置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燃气用户及相关单位和个人在不具备安全条件的场所使用、储存燃气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燃气用户及相关单位和个人改变燃气用途或者转供燃气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未设立售后服务站点或者未配备经考核合格的燃气燃烧器具安装、维修人员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燃气燃烧器具的安装、维修不符合国家有关标准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在燃气设施保护范围内进行爆破、取土等作业或者动用明火</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在燃气设施保护范围内倾倒、排放腐蚀性物质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在燃气设施保护范围内放置易燃易爆物品或者种植深根植物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在燃气设施保护范围内未与燃气经营者共同制定燃气设施保护方案，采取相应的安全保护措施，从事敷设管道、打桩、顶进、挖掘、钻探等可能影响燃气设施安全活动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侵占、毁损、擅自拆除、移动燃气设施或者擅自改动市政燃气设施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毁损、覆盖、涂改、擅自拆除或者移动燃气设施安全警示标志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建设工程施工范围内有地下燃气管线等重要燃气设施，建设单位未会同施工单位与管道燃气经营者共同制定燃气设施保护方案，或者建设单位、施工单位未采取相应的安全保护措施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城市自来水供水企业或者自建设施对外供水的企业供水水质、水压不符合国家规定标准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城市自来水供水企业或者自建设施对外供水的企业擅自停止供水或者来履行停水通知义务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城市自来水供水企业或者自建设施对外供水的企业未按照规定检修供水设施或者在供水设施发生故障后未及时抢修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无证或者超越资质证书规定的经营范围进行城市供水工程的设计或者施工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未按国家规定的技术标准和规范进行城市供水工程的设计或者施工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违反城市供水发展规划及其年度建设计划兴建城市供水工程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未按规定缴纳水费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盗用或者转供城市公共供水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在规定的城市公共供水管道及其附属设施的安全保护范围内进行危害供水设施安全活动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擅自将自建设施供水管网系统与城市公共供水管网系统连接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产生或者使用有毒有害物质的单位将其生产用水管网系统与城市公共供水管网系统直接连接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在城市公共供水管道上直接装泵抽水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擅自拆除、改装或者迁移城市公共供水设施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在雨水、污水分流地区，建设单位、施工单位将雨水管网、污水管网相互混接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城镇排水与污水处理设施覆盖范围内的排水单位和个人，未按照国家有关规定将污水排入城镇排水设施，或者在雨水、污水分流地区将污水排入雨水管网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排水户未取得污水排入排水管网许可证向城镇排水设施排放污水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排水户不按照污水排入排水管网许可证的要求排放污水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城镇污水处理设施维护运营单位未按照国家有关规定检测进出水水质，或者未报送污水处理水质和水量、主要污染物削减量等信息和生产运营成本等信息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城镇污水处理设施维护运营单位擅自停运城镇污水处理设施，未按照规定事先报告或者采取应急处理措施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城镇污水处理设施维护运营单位或者污泥处理处置单位对产生的污泥以及处理处置后的污泥的去向、用途、用量等未进行跟踪、记录的，或者处理处置后的污泥不符合国家有关标准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擅自倾倒、堆放、丢弃、遗撒污泥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排水单位或者个人不缴纳污水处理费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城镇排水与污水处理设施维护运营单位未按照国家有关规定履行日常巡查、维修和养护责任，保障设施安全运行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城镇排水与污水处理设施维护运营单位未及时采取防护措施、组织事故抢修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城镇排水与污水处理设施维护运营单位因巡查、维护不到位，导致窨井盖丢失、损毁，造成人员伤亡和财产损失</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从事危及城镇排水与污水处理设施安全的活动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有关单位未与施工单位、设施维护运营单位等共同制定设施保护方案，并采取相应的安全防护措施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擅自拆除、改动城镇排水与污水处理设施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城市的新建、扩建和改建工程项目未按规定配套建设节约用水设施或者节约用水设施经验收不合格</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《城市节约用水管理规定》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逾期不缴纳超计划用水加价水费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《城市节约用水管理规定》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拒不安装生活用水分户计量水表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《城市节约用水管理规定》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城镇污水集中处理设施的运营单位或者污泥处理处置单位，处理处置后的污泥不符合国家标准，或者对污泥去向等未进行记录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《中华人民共和国水污染防治法》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城市自来水供水企业和自建设施对外供水的企业新建、改建、扩建的饮用水供水工程项目未经建设行政主管部门设计审查和竣工验收而擅自建设并投入使用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《生活饮用水卫生监督管理办法》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城市自来水供水企业和自建设施对外供水的企业未按规定进行日常性水质检验工作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《生活饮用水卫生监督管理办法》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特许经营者违反法律、行政法规和国家强制性标准，严重危害公共利益，或者造成重大质量、安全事故或者突发环境事件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《基础设施和公用事业特许经营管理办法》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以欺骗、贿赂等不正当手段取得特许经营项目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《基础设施和公用事业特许经营管理办法》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在城镇排水与污水处理设施覆盖范围内，未按照国家有关规定将污水排入城镇排水设施，或者在雨水、污水分流地区将污水排入雨水管网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排水户未取得排水许可，向城镇排水设施排放污水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排水户未按照排水许可证的要求，向城镇排水设施排放污水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排水户名称、法定代表人等其他事项变更，未按规定及时向城镇排水主管部门申请办理变更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排水户以欺骗、贿赂等不正当手段取得排水许可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从事危及城镇排水设施安全的活动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排水户违反规定，拒不接受水质、水量监测或者妨碍、阻挠城镇排水主管部门依法监督检查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不具备相应资质的单位和不具备相应执业资格证书的专业技术人员从事城市照明工程勘察、设计、施工、监理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在城市景观照明中有过度照明等超能耗标准行为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在城市照明设施上刻划、涂污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在城市照明设施安全距离内，擅自植树、挖坑取土或者设置其他物体，或者倾倒含酸、碱、盐等腐蚀物或者具有腐蚀性的废渣、废液</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擅自在城市照明设施上张贴、悬挂、设置宣传品、广告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擅自在城市照明设施上架设线缆、安置其它设施或者接用电源</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擅自迁移、拆除、利用城市照明设施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其他可能影响城市照明设施正常运行的行为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擅自采用没有工程建设标准又未经核准的新技术、新材料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《市政公用设施抗灾设防管理规定》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擅自变动或者破坏市政公用设施的防灾设施、抗震抗风构件、隔震或者振动控制装置、安全监测系统、健康监测系统、应急自动处置系统以及地震反应观测系统等设施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《市政公用设施抗灾设防管理规定》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未对经鉴定不符合抗震要求的市政公用设施进行改造、改建或者抗震加固，又未限制使用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《市政公用设施抗灾设防管理规定》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供水水质达不到国家有关标准规定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城市供水单位、二次供水管理单位未按规定进行水质检测或者委托检测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对于实施生产许可证管理的净水剂及与制水有关的材料等，选用未获证企业产品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城市供水单位使用未经检验或者检验不合格的净水剂及有关制水材料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城市供水单位使用未经检验或者检验不合格的城市供水设备、管网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二次供水管理单位，未按规定对各类储水设施进行清洗消毒</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城市供水单位、二次供水管理单位隐瞒、缓报、谎报水质突发事件或者水质信息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有危害城市供水水质安全的其他行为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城市供水单位未制定城市供水水质突发事件应急预案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城市供水单位未按规定上报水质报表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建设单位未移交地下管线工程档案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《城市地下管线工程档案管理办法》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地下管线专业管理单位未移交地下管线工程档案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《城市地下管线工程档案管理办法》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获得特许经营权的企业擅自停业、歇业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以欺骗、贿赂等不正当手段获得特许经营权</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城市桥梁产权人或者委托管理人未按照规定编制城市桥梁养护维修的中长期规划和年度计划，或者未经批准即实施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城市桥梁产权人或者委托管理人未按照规定设置相应的标志，并保持其完好、清晰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城市桥梁产权人或者委托管理人未按照规定委托具有相应资格的机构对城市桥梁进行检测评估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城市桥梁产权人或者委托管理人未按照规定制定城市桥梁的安全抢险预备方案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城市桥梁产权人或者委托管理人未按照规定对城市桥梁进行养护维修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单位或者个人擅自在城市桥梁上架设各类管线、设置广告等辅助物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单位和个人擅自在城市桥梁施工控制范围内从事河道疏浚、挖掘、打桩、地下管道顶进、爆破等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超限机动车辆、履带车、铁轮车等需经过城市桥梁的，在报公安交通管理部门审批前，未先经城市人民政府市政工程设施行政主管部门同意，或未采取相应技术措施就通行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经过检测评估，确定城市桥梁的承载能力下降，但尚未构成危桥的，城市桥梁产权人和委托管理人未及时设置警示标志，或未立即采取加固等安全措施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未取得建设工程规划许可证或者未按照建设工程规划许可证的规定进行建设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建设单位或者个人未经批准进行临时建设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建设单位或者个人未按照批准内容进行临时建设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临时建筑物、构筑物超过批准期限建设单位或者个人不拆除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城乡规划主管部门作出责令停止建设或者限期拆除的决定后，当事人不停止建设或者逾期不拆除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　</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凡不符合城市容貌标准、环境卫生标准的建筑物或者设施，逾期未改造或者未拆除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住宅物业的建设单位未通过招投标的方式选聘物业服务企业或者未经批准，擅自采用协议方式选聘物业服务企业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建设单位擅自处分属于业主的物业共用部位、共用设施设备的所有权或者使用权</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逾期仍不移交有关资料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物业服务企业将一个物业管理区域内的全部物业管理一并委托给他人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挪用专项维修资金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建设单位在物业管理区域内不按照规定配置必要的物业管理用房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未经业主大会同意，物业服务企业擅自改变物业管理用房的用途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擅自改变物业管理区域内按照规划建设的公共建筑和共用设施用途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擅自占用、挖掘物业管理区域内道路、场地，损害业主共同利益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擅自利用物业共用部位、共用设施设备进行经营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住房公积金管理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单位不办理住房公积金缴存登记或者不为本单位职工办理住房公积金账户设立手续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《住房公积金管理条例》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住房公积金管理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单位逾期不缴或者少缴住房公积金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《住房公积金管理条例》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建筑施工噪音污染。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《中华人民共和国环境噪声污染防治法》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经营中的文化娱乐场所边界噪声不超过国家规定的环境噪声排放标准；在商业经营活动中使用空调器、冷却塔等产生的边界噪声超过国家规定的环境噪声排放标准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《广东省实施&lt;中华人民共和国环境噪声污染防治法&gt;办法》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餐饮服务业油烟污染、露天烧烤污染。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城市焚烧沥青塑料垃圾等烟尘和恶臭污染、露天焚烧秸秆落叶等烟尘污染、燃放烟花爆竹污染。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在居民住宅楼、未配套设立专用烟道的商住综合楼以及商住综合楼内与居住层相邻的商业楼层内新建、改建、扩建产生油烟、异味、废气的餐饮服务项目。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封堵、改变专用烟道和向城市地下排水管道排放油烟。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《广东省大气污染防治条例》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建设单位未对暂时不能开工的建设用地的裸露地面进行覆盖，或者未对超过三个月不能开工的建设用地的裸露地面进行绿化、铺装或者遮盖</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贮存水泥、石灰、石膏、砂土等的场所未密闭水泥、石灰、石膏、砂土等易产生扬尘的物料的；或对不能密闭的易产生扬尘的物料，未设置不低于堆放物高度的严密围挡；填埋场和消纳场未采取有效措施防治扬尘污染；装卸物料未采取密闭或者喷淋等方式控制扬尘排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拒不执行停止工地土石方作业或者建筑物拆除施工等重污染天气应急措施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拒不配合负有扬尘污染防治监督管理职责的部门进行现场检查，或者在检查中弄虚作假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未经城市管理主管部门同意，擅自设置大型户外广告设施，影响市容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设置人未按照城市管理主管部门准予同意的书面决定的要求设置大型户外广告设施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设置人未在设置期限届满后十日内拆除大型户外广告设施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设置非大型户外广告设施不符合户外广告设施设置专项规划要求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未在设置期限届满后三日内拆除临时性户外广告设施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未按照招牌设置规范设置招牌的，经城市管理主管部门责令限期改正且逾期不改正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户外广告设施设置人未履行相关维护管理责任，经城市管理主管部门责令限期改正且逾期不改正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招牌设置人未履行相关维护管理责任，经城市管理主管部门责令限期改正且逾期不改正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bl>
    <w:p>
      <w:pPr>
        <w:rPr>
          <w:rFonts w:ascii="仿宋" w:hAnsi="仿宋" w:eastAsia="仿宋"/>
        </w:rPr>
      </w:pPr>
    </w:p>
    <w:sectPr>
      <w:pgSz w:w="16838" w:h="11906" w:orient="landscape"/>
      <w:pgMar w:top="851"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41C"/>
    <w:rsid w:val="0004607D"/>
    <w:rsid w:val="00065868"/>
    <w:rsid w:val="00072141"/>
    <w:rsid w:val="00132651"/>
    <w:rsid w:val="001B6B67"/>
    <w:rsid w:val="001D2F6C"/>
    <w:rsid w:val="002C48A1"/>
    <w:rsid w:val="002F31D3"/>
    <w:rsid w:val="0031144D"/>
    <w:rsid w:val="003B37A1"/>
    <w:rsid w:val="003C2011"/>
    <w:rsid w:val="0040249E"/>
    <w:rsid w:val="00423C92"/>
    <w:rsid w:val="004B0BF8"/>
    <w:rsid w:val="00524954"/>
    <w:rsid w:val="00536841"/>
    <w:rsid w:val="00574D12"/>
    <w:rsid w:val="00597441"/>
    <w:rsid w:val="005D2827"/>
    <w:rsid w:val="005E42CD"/>
    <w:rsid w:val="005E7F19"/>
    <w:rsid w:val="00623922"/>
    <w:rsid w:val="00693C10"/>
    <w:rsid w:val="007A7AC3"/>
    <w:rsid w:val="00835916"/>
    <w:rsid w:val="008805FF"/>
    <w:rsid w:val="008C7243"/>
    <w:rsid w:val="008E65A7"/>
    <w:rsid w:val="009101A9"/>
    <w:rsid w:val="00A23A6A"/>
    <w:rsid w:val="00A64C3D"/>
    <w:rsid w:val="00A7641C"/>
    <w:rsid w:val="00AE48CA"/>
    <w:rsid w:val="00BB5E68"/>
    <w:rsid w:val="00C955EF"/>
    <w:rsid w:val="00CC4477"/>
    <w:rsid w:val="00CD0EFE"/>
    <w:rsid w:val="00CF5417"/>
    <w:rsid w:val="00DC7DB7"/>
    <w:rsid w:val="00DF0E58"/>
    <w:rsid w:val="00E24FB8"/>
    <w:rsid w:val="00E42A6E"/>
    <w:rsid w:val="00F02AE6"/>
    <w:rsid w:val="00F520BD"/>
    <w:rsid w:val="00F60A01"/>
    <w:rsid w:val="00F919A6"/>
    <w:rsid w:val="00FD16D6"/>
    <w:rsid w:val="0ECE67E4"/>
    <w:rsid w:val="14A94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6"/>
    <w:unhideWhenUsed/>
    <w:uiPriority w:val="99"/>
    <w:pPr>
      <w:tabs>
        <w:tab w:val="center" w:pos="4153"/>
        <w:tab w:val="right" w:pos="8306"/>
      </w:tabs>
      <w:snapToGrid w:val="0"/>
      <w:jc w:val="left"/>
    </w:pPr>
    <w:rPr>
      <w:sz w:val="18"/>
      <w:szCs w:val="18"/>
    </w:rPr>
  </w:style>
  <w:style w:type="paragraph" w:styleId="3">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954F72"/>
      <w:u w:val="single"/>
    </w:rPr>
  </w:style>
  <w:style w:type="character" w:styleId="7">
    <w:name w:val="Hyperlink"/>
    <w:basedOn w:val="5"/>
    <w:semiHidden/>
    <w:unhideWhenUsed/>
    <w:uiPriority w:val="99"/>
    <w:rPr>
      <w:color w:val="0563C1"/>
      <w:u w:val="single"/>
    </w:rPr>
  </w:style>
  <w:style w:type="paragraph" w:customStyle="1" w:styleId="8">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
    <w:name w:val="font6"/>
    <w:basedOn w:val="1"/>
    <w:uiPriority w:val="0"/>
    <w:pPr>
      <w:widowControl/>
      <w:spacing w:before="100" w:beforeAutospacing="1" w:after="100" w:afterAutospacing="1"/>
      <w:jc w:val="left"/>
    </w:pPr>
    <w:rPr>
      <w:rFonts w:ascii="宋体" w:hAnsi="宋体" w:eastAsia="宋体" w:cs="宋体"/>
      <w:kern w:val="0"/>
      <w:sz w:val="18"/>
      <w:szCs w:val="18"/>
      <w:u w:val="single"/>
    </w:rPr>
  </w:style>
  <w:style w:type="paragraph" w:customStyle="1" w:styleId="10">
    <w:name w:val="font7"/>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14">
    <w:name w:val="xl6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eastAsia="宋体" w:cs="Arial"/>
      <w:kern w:val="0"/>
      <w:sz w:val="18"/>
      <w:szCs w:val="18"/>
    </w:rPr>
  </w:style>
  <w:style w:type="character" w:customStyle="1" w:styleId="15">
    <w:name w:val="页眉 Char"/>
    <w:basedOn w:val="5"/>
    <w:link w:val="3"/>
    <w:uiPriority w:val="99"/>
    <w:rPr>
      <w:sz w:val="18"/>
      <w:szCs w:val="18"/>
    </w:rPr>
  </w:style>
  <w:style w:type="character" w:customStyle="1" w:styleId="16">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275</Pages>
  <Words>221416</Words>
  <Characters>230953</Characters>
  <Lines>2030</Lines>
  <Paragraphs>571</Paragraphs>
  <TotalTime>94</TotalTime>
  <ScaleCrop>false</ScaleCrop>
  <LinksUpToDate>false</LinksUpToDate>
  <CharactersWithSpaces>262134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2020-11-23T04:59:00Z</dcterms:created>
  <dc:creator>朱少玲</dc:creator>
  <cp:lastModifiedBy>GIGABYTE</cp:lastModifiedBy>
  <dcterms:modified xsi:type="dcterms:W3CDTF">2022-04-18T02:30:40Z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DBA563F9BB1E4E0ABEFFD670D9059BF1</vt:lpwstr>
  </property>
</Properties>
</file>