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开平市智慧政务办公平台疫情防控监管</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专区建设项目采购需求</w:t>
      </w:r>
    </w:p>
    <w:p>
      <w:pPr>
        <w:spacing w:line="480" w:lineRule="auto"/>
        <w:ind w:firstLine="0" w:firstLineChars="0"/>
        <w:jc w:val="center"/>
        <w:outlineLvl w:val="1"/>
        <w:rPr>
          <w:rFonts w:hint="eastAsia" w:ascii="微软雅黑" w:hAnsi="微软雅黑" w:eastAsia="微软雅黑" w:cs="微软雅黑"/>
          <w:b/>
          <w:sz w:val="32"/>
          <w:szCs w:val="32"/>
          <w:lang w:val="en-US" w:eastAsia="zh-CN"/>
        </w:rPr>
      </w:pPr>
    </w:p>
    <w:p>
      <w:pPr>
        <w:numPr>
          <w:ilvl w:val="0"/>
          <w:numId w:val="1"/>
        </w:numPr>
        <w:spacing w:line="480" w:lineRule="auto"/>
        <w:ind w:left="0" w:leftChars="0" w:firstLine="419" w:firstLineChars="116"/>
        <w:jc w:val="left"/>
        <w:outlineLvl w:val="1"/>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lang w:eastAsia="zh-CN"/>
        </w:rPr>
        <w:t>项目概述</w:t>
      </w:r>
    </w:p>
    <w:p>
      <w:pPr>
        <w:numPr>
          <w:ilvl w:val="0"/>
          <w:numId w:val="0"/>
        </w:numPr>
        <w:spacing w:line="480" w:lineRule="auto"/>
        <w:ind w:left="0" w:leftChars="0" w:firstLine="373" w:firstLineChars="116"/>
        <w:jc w:val="left"/>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（一）项目背景</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已有政务信息化平台可查询粤省事-粤康码的相关数据（场所码、扫码进场），但功能单一，无法对数据进行分类、分析和汇总报表。为了提高工作人员的效率，需在开平市智慧政务办公平台进行功能扩展，建设疫情防控监管专区。</w:t>
      </w:r>
    </w:p>
    <w:p>
      <w:pPr>
        <w:numPr>
          <w:ilvl w:val="0"/>
          <w:numId w:val="0"/>
        </w:numPr>
        <w:spacing w:line="480" w:lineRule="auto"/>
        <w:ind w:left="0" w:leftChars="0" w:firstLine="421" w:firstLineChars="131"/>
        <w:jc w:val="left"/>
        <w:outlineLvl w:val="1"/>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（二）建设目标</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专区基于开平市智慧政务办公平台进行功能扩展，通过与省大数据平台对接获取粤省事-粤康码的相关数据（场所码、扫码进场），结合本市公共场所的管理信息进行数据比对，并将异常信息主动推送至相关负责人。</w:t>
      </w:r>
    </w:p>
    <w:p>
      <w:pPr>
        <w:numPr>
          <w:ilvl w:val="0"/>
          <w:numId w:val="1"/>
        </w:numPr>
        <w:spacing w:line="480" w:lineRule="auto"/>
        <w:ind w:left="0" w:leftChars="0" w:firstLine="419" w:firstLineChars="116"/>
        <w:jc w:val="left"/>
        <w:outlineLvl w:val="1"/>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服务供应商资格要求</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（一）投报人应当是具有合法经营资格的法人，具有良好的信誉。</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（二）不接受投报人委托第三方提供售后服务。</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（三）投报人须有能力提供完善的售后服务，包括：稳定技术人员、响应时间，技术服务人员须有相关工作经验。</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（四）本项目不接受联合体投报，不允许转包或分包项目。</w:t>
      </w:r>
    </w:p>
    <w:p>
      <w:pPr>
        <w:numPr>
          <w:ilvl w:val="0"/>
          <w:numId w:val="1"/>
        </w:numPr>
        <w:spacing w:line="480" w:lineRule="auto"/>
        <w:ind w:left="0" w:leftChars="0" w:firstLine="419" w:firstLineChars="116"/>
        <w:jc w:val="left"/>
        <w:outlineLvl w:val="1"/>
        <w:rPr>
          <w:rFonts w:hint="default" w:ascii="仿宋_GB2312" w:hAnsi="仿宋_GB2312" w:eastAsia="仿宋_GB2312" w:cs="仿宋_GB2312"/>
          <w:b/>
          <w:sz w:val="36"/>
          <w:szCs w:val="36"/>
          <w:lang w:val="en-US" w:eastAsia="zh-CN"/>
        </w:rPr>
      </w:pPr>
      <w:bookmarkStart w:id="0" w:name="_Toc12739"/>
      <w:bookmarkStart w:id="1" w:name="_Toc1998389"/>
      <w:bookmarkStart w:id="2" w:name="_Toc35336975"/>
      <w:r>
        <w:rPr>
          <w:rFonts w:hint="eastAsia" w:ascii="仿宋_GB2312" w:hAnsi="仿宋_GB2312" w:eastAsia="仿宋_GB2312" w:cs="仿宋_GB2312"/>
          <w:b/>
          <w:sz w:val="36"/>
          <w:szCs w:val="36"/>
          <w:lang w:val="en-US" w:eastAsia="zh-CN"/>
        </w:rPr>
        <w:t>功能框架图</w:t>
      </w:r>
    </w:p>
    <w:p>
      <w:pPr>
        <w:ind w:left="0" w:leftChars="0" w:firstLine="0" w:firstLineChars="0"/>
      </w:pPr>
      <w:r>
        <w:drawing>
          <wp:inline distT="0" distB="0" distL="114300" distR="114300">
            <wp:extent cx="5268595" cy="2181860"/>
            <wp:effectExtent l="0" t="0" r="190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68595" cy="2181860"/>
                    </a:xfrm>
                    <a:prstGeom prst="rect">
                      <a:avLst/>
                    </a:prstGeom>
                    <a:noFill/>
                    <a:ln>
                      <a:noFill/>
                    </a:ln>
                  </pic:spPr>
                </pic:pic>
              </a:graphicData>
            </a:graphic>
          </wp:inline>
        </w:drawing>
      </w:r>
    </w:p>
    <w:p>
      <w:pPr>
        <w:numPr>
          <w:ilvl w:val="0"/>
          <w:numId w:val="1"/>
        </w:numPr>
        <w:spacing w:line="480" w:lineRule="auto"/>
        <w:ind w:left="0" w:leftChars="0" w:firstLine="419" w:firstLineChars="116"/>
        <w:jc w:val="left"/>
        <w:outlineLvl w:val="1"/>
        <w:rPr>
          <w:rFonts w:hint="default"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模块功能说明</w:t>
      </w:r>
    </w:p>
    <w:p>
      <w:pPr>
        <w:numPr>
          <w:ilvl w:val="0"/>
          <w:numId w:val="0"/>
        </w:numPr>
        <w:spacing w:line="480" w:lineRule="auto"/>
        <w:ind w:left="0" w:leftChars="0" w:firstLine="326" w:firstLineChars="11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（一）场所信息管理</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1、模块功能简述</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该模块主要用于设定公共场所的信息，作为基础数据支持相关相关应用，分未设置、已设置两个分类标签页显示场所信息。</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未设置：显示未设定监管部门的公共场所信息；</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已设置：显示已设定监管部门的公共场所信息。</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2、数据源</w:t>
      </w:r>
    </w:p>
    <w:p>
      <w:pPr>
        <w:numPr>
          <w:ilvl w:val="0"/>
          <w:numId w:val="2"/>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由用户手工录入设置。</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注：系统上线前，软件开发商提供一次数据库后台导入数据辅助用户初始化数据，用户需根据软件开发商提供的模板整理数据。</w:t>
      </w:r>
    </w:p>
    <w:p>
      <w:pPr>
        <w:numPr>
          <w:ilvl w:val="0"/>
          <w:numId w:val="2"/>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由系统从扫码进场信息中比对出（扫码进场信息的公共场所ID在【场所信息管理】找不到对应项，每天凌晨比对一次），并显示于【未设置】栏目。</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3、功能业务字段信息</w:t>
      </w:r>
    </w:p>
    <w:p>
      <w:pPr>
        <w:numPr>
          <w:ilvl w:val="0"/>
          <w:numId w:val="3"/>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页面列表信息：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所在位置</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场所日人流量阈值（最小值）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场所日人流量阈值（最大值）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bl>
    <w:p>
      <w:pPr>
        <w:numPr>
          <w:ilvl w:val="0"/>
          <w:numId w:val="3"/>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内容详细页信息：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所在市区</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系统默认开平市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公共场所管理员</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所在位置</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数据来源自OA系统的机构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监管单位负责人</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数据来源自OA系统的机构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监管单位负责人手机号</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数据来源自OA系统的机构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场所日人流量阈值（最小值）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来源自【场所人流量阈值管理】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场所日人流量阈值（最大值）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来源自【场所人流量阈值管理】</w:t>
            </w:r>
          </w:p>
        </w:tc>
      </w:tr>
    </w:tbl>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4、数据显示规则</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运维人员全可见。</w:t>
      </w:r>
    </w:p>
    <w:p>
      <w:pPr>
        <w:spacing w:line="360" w:lineRule="auto"/>
        <w:ind w:left="0" w:leftChars="0" w:firstLine="641" w:firstLineChars="228"/>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5、模块操作功能</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支持对数据进行新增、修改、删除操作，不支持批量操作。</w:t>
      </w:r>
    </w:p>
    <w:p>
      <w:pPr>
        <w:spacing w:line="360" w:lineRule="auto"/>
        <w:ind w:left="0" w:leftChars="0" w:firstLine="641" w:firstLineChars="228"/>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6、模块操作权限</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对疫情防控专区运维单位授权，暂定市政数局。</w:t>
      </w:r>
    </w:p>
    <w:p>
      <w:pPr>
        <w:numPr>
          <w:ilvl w:val="0"/>
          <w:numId w:val="0"/>
        </w:numPr>
        <w:spacing w:line="480" w:lineRule="auto"/>
        <w:ind w:left="0" w:leftChars="0" w:firstLine="326" w:firstLineChars="11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（二）场所人流量阈值管理</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1、模块功能简述</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该模块主要用于设定公共场所日均人流量阈值信息，作为基础数据支持相关相关应用，分未设置、已设置两个分类显示场所信息。</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未设置：显示未设定阈值的公共场所信息；</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已设置：显示已设定阈值的公共场所信息。</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2、数据源</w:t>
      </w:r>
    </w:p>
    <w:p>
      <w:pPr>
        <w:numPr>
          <w:ilvl w:val="0"/>
          <w:numId w:val="0"/>
        </w:numPr>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由用户手工录入阈值设置。</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3、功能业务字段信息</w:t>
      </w:r>
    </w:p>
    <w:p>
      <w:pPr>
        <w:numPr>
          <w:ilvl w:val="0"/>
          <w:numId w:val="4"/>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页面列表信息：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所在位置</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场所日人流量阈值（最小值）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场所日人流量阈值（最大值）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bl>
    <w:p>
      <w:pPr>
        <w:numPr>
          <w:ilvl w:val="0"/>
          <w:numId w:val="4"/>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内容详细页信息：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所在市区</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公共场所管理员</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所在位置</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监管单位负责人</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来源自【场所信息管理】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场所日人流量阈值（最小值）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监管单位录入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7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场所日人流量阈值（最大值）</w:t>
            </w:r>
          </w:p>
        </w:tc>
        <w:tc>
          <w:tcPr>
            <w:tcW w:w="4943"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监管单位录入</w:t>
            </w:r>
          </w:p>
        </w:tc>
      </w:tr>
    </w:tbl>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4、数据显示规则</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监管单位只能显示归属本单位的数据，不能查阅非归属的数据。</w:t>
      </w:r>
    </w:p>
    <w:p>
      <w:pPr>
        <w:spacing w:line="360" w:lineRule="auto"/>
        <w:ind w:left="0" w:leftChars="0" w:firstLine="641" w:firstLineChars="228"/>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5、模块操作功能</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支持对数据进行修改操作，不支持批量操作。</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6、模块操作权限</w:t>
      </w:r>
    </w:p>
    <w:p>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对监管单位授权。</w:t>
      </w:r>
    </w:p>
    <w:p>
      <w:pPr>
        <w:numPr>
          <w:ilvl w:val="0"/>
          <w:numId w:val="0"/>
        </w:numPr>
        <w:spacing w:line="480" w:lineRule="auto"/>
        <w:ind w:left="0" w:leftChars="0" w:firstLine="326" w:firstLineChars="11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（三）扫码进场信息管理</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1、模块功能简述</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该模块主要用于管理扫码进场信息的数据，目前未能与省或江门的大数据平台进行对接，需通过手工导入数据。</w:t>
      </w:r>
    </w:p>
    <w:p>
      <w:pPr>
        <w:spacing w:line="360" w:lineRule="auto"/>
        <w:ind w:left="0" w:leftChars="0" w:firstLine="641" w:firstLineChars="228"/>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2、数据导入</w:t>
      </w:r>
    </w:p>
    <w:p>
      <w:pPr>
        <w:numPr>
          <w:ilvl w:val="0"/>
          <w:numId w:val="0"/>
        </w:num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由用户根据系统模板整理数据导入。</w:t>
      </w:r>
    </w:p>
    <w:p>
      <w:pPr>
        <w:numPr>
          <w:ilvl w:val="0"/>
          <w:numId w:val="0"/>
        </w:num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导入规则：基于数据由省大数据平台导出，本系统不对数据进行校验清洗，避免用户重复导入数据，系统于界面显示最新一笔记录的采集时间。</w:t>
      </w:r>
    </w:p>
    <w:p>
      <w:pPr>
        <w:numPr>
          <w:ilvl w:val="0"/>
          <w:numId w:val="0"/>
        </w:numPr>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模板参照以下：</w:t>
      </w:r>
    </w:p>
    <w:p>
      <w:pPr>
        <w:numPr>
          <w:ilvl w:val="0"/>
          <w:numId w:val="0"/>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269865" cy="398145"/>
            <wp:effectExtent l="0" t="0" r="698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269865" cy="398145"/>
                    </a:xfrm>
                    <a:prstGeom prst="rect">
                      <a:avLst/>
                    </a:prstGeom>
                    <a:noFill/>
                    <a:ln>
                      <a:noFill/>
                    </a:ln>
                  </pic:spPr>
                </pic:pic>
              </a:graphicData>
            </a:graphic>
          </wp:inline>
        </w:drawing>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3、数据删除</w:t>
      </w:r>
    </w:p>
    <w:p>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基于扫码进场数据的敏感性，需提供数据删除功能给用户对数据进行批量删除，用户可使用采集时间段或数据导入时间段对所属时间段范围内的数据进行删除。</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4、功能业务字段信息</w:t>
      </w:r>
    </w:p>
    <w:p>
      <w:pPr>
        <w:numPr>
          <w:ilvl w:val="0"/>
          <w:numId w:val="0"/>
        </w:numPr>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此功能列表页显示每条扫码的详细信息，无需详细页。</w:t>
      </w:r>
    </w:p>
    <w:p>
      <w:pPr>
        <w:numPr>
          <w:ilvl w:val="0"/>
          <w:numId w:val="0"/>
        </w:numPr>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列表页信息：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所在市区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公共场所管理员</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被采集人身份证</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被采集人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采集结果</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核酸结果</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核酸结果时间</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健康码状态</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采集人所在位置</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采集时间</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来源自用户整理的数据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数据导入人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由系统获取当前导入数据的系统登录账号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数据导入时间</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由系统获取当前导入数据的系统时间</w:t>
            </w:r>
          </w:p>
        </w:tc>
      </w:tr>
    </w:tbl>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5、数据显示规则</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运维人员全可见。</w:t>
      </w:r>
    </w:p>
    <w:p>
      <w:pPr>
        <w:spacing w:line="360" w:lineRule="auto"/>
        <w:ind w:left="0" w:leftChars="0" w:firstLine="641" w:firstLineChars="228"/>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6、模块操作功能</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支持对数据进行导入、删除操作，支持批量操作。</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7、模块操作权限</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对疫情防控专区运维单位授权，暂定市政数局。</w:t>
      </w:r>
    </w:p>
    <w:p>
      <w:pPr>
        <w:numPr>
          <w:ilvl w:val="0"/>
          <w:numId w:val="0"/>
        </w:numPr>
        <w:spacing w:line="480" w:lineRule="auto"/>
        <w:ind w:left="0" w:leftChars="0" w:firstLine="326" w:firstLineChars="11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（四）扫码进场信息查询</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1、模块功能简述</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该模块主要用于显示扫码进场信息的详细内容，便于监管单位查阅支撑自身业务的需求。</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2、数据源</w:t>
      </w:r>
    </w:p>
    <w:p>
      <w:pPr>
        <w:numPr>
          <w:ilvl w:val="0"/>
          <w:numId w:val="0"/>
        </w:numPr>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数据源自【扫码进场信息管理】。</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3、功能业务字段信息</w:t>
      </w:r>
    </w:p>
    <w:p>
      <w:pPr>
        <w:numPr>
          <w:ilvl w:val="0"/>
          <w:numId w:val="0"/>
        </w:numPr>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此功能列表页显示每条扫码的详细信息，无需详细页。</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所在市区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公共场所管理员</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被采集人身份证</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被采集人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采集结果</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核酸结果</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核酸结果时间</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健康码状态</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采集人所在位置</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采集时间</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根据公共场所ID关联【场所信息管理】获取，获取不到则显示为“空”。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数据导入人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数据导入时间</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bl>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4、数据显示规则</w:t>
      </w:r>
    </w:p>
    <w:p>
      <w:p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监管单位只能显示归属本单位的数据，不能查阅非归属的数据。</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5、模块操作功能</w:t>
      </w:r>
    </w:p>
    <w:p>
      <w:p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支持对数据根据组合条件查询及查询结果显示，不支持对数据进行新增、修改、删除。</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6、模块操作权限</w:t>
      </w:r>
    </w:p>
    <w:p>
      <w:pPr>
        <w:bidi w:val="0"/>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对监管单位授权。</w:t>
      </w:r>
    </w:p>
    <w:p>
      <w:pPr>
        <w:numPr>
          <w:ilvl w:val="0"/>
          <w:numId w:val="0"/>
        </w:numPr>
        <w:spacing w:line="480" w:lineRule="auto"/>
        <w:ind w:left="7" w:leftChars="0" w:firstLine="635" w:firstLineChars="22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（五）扫码统计查询</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1、模块功能简述</w:t>
      </w:r>
    </w:p>
    <w:p>
      <w:p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该模块主要用于显示以公共场所ID为主键统计</w:t>
      </w:r>
      <w:r>
        <w:rPr>
          <w:rFonts w:hint="eastAsia" w:ascii="仿宋_GB2312" w:hAnsi="仿宋_GB2312" w:eastAsia="仿宋_GB2312" w:cs="仿宋_GB2312"/>
          <w:sz w:val="28"/>
          <w:szCs w:val="28"/>
          <w:vertAlign w:val="baseline"/>
          <w:lang w:val="en-US" w:eastAsia="zh-CN"/>
        </w:rPr>
        <w:t>采集时间段范围内的公共场所扫码量</w:t>
      </w:r>
      <w:r>
        <w:rPr>
          <w:rFonts w:hint="eastAsia" w:ascii="仿宋_GB2312" w:hAnsi="仿宋_GB2312" w:eastAsia="仿宋_GB2312" w:cs="仿宋_GB2312"/>
          <w:sz w:val="28"/>
          <w:szCs w:val="28"/>
          <w:lang w:val="en-US" w:eastAsia="zh-CN"/>
        </w:rPr>
        <w:t>，便于监管单位查阅支撑自身业务的需求。</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2、数据源</w:t>
      </w:r>
    </w:p>
    <w:p>
      <w:pPr>
        <w:numPr>
          <w:ilvl w:val="0"/>
          <w:numId w:val="0"/>
        </w:num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数据源自【扫码进场信息管理】。</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3、功能业务字段信息</w:t>
      </w:r>
    </w:p>
    <w:p>
      <w:pPr>
        <w:numPr>
          <w:ilvl w:val="0"/>
          <w:numId w:val="0"/>
        </w:num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此功能列表页显示统计结果信息，无需详细页。</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5" w:firstLineChars="226"/>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5" w:firstLineChars="226"/>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所在市区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扫码量</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left="7" w:leftChars="0" w:firstLine="632" w:firstLineChars="226"/>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系统统计，规则：公共场所ID&amp;采集时间（年月日）统计时间段内的人员进场扫码量</w:t>
            </w:r>
          </w:p>
        </w:tc>
      </w:tr>
    </w:tbl>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4、数据显示规则</w:t>
      </w:r>
    </w:p>
    <w:p>
      <w:p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监管单位只能显示归属本单位的数据，不能查阅非归属的数据。</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5、模块操作功能</w:t>
      </w:r>
    </w:p>
    <w:p>
      <w:p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支持对数据根据组合条件查询及查询结果显示，不支持对数据进行新增、修改、删除。</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6、模块操作权限</w:t>
      </w:r>
    </w:p>
    <w:p>
      <w:pPr>
        <w:bidi w:val="0"/>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对监管单位授权。</w:t>
      </w:r>
    </w:p>
    <w:p>
      <w:pPr>
        <w:numPr>
          <w:ilvl w:val="0"/>
          <w:numId w:val="0"/>
        </w:numPr>
        <w:spacing w:line="480" w:lineRule="auto"/>
        <w:ind w:left="7" w:leftChars="0" w:firstLine="635" w:firstLineChars="22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（六）“扫码”预警</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1、模块功能简述</w:t>
      </w:r>
    </w:p>
    <w:p>
      <w:pPr>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该模块主要基于公共场所进行信息对场所是否落实人员扫码进场及场所人流管控，通过规则比对将异常结果反馈至监管单位负责人，为单位进行监管提供数据支撑。</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2、数据源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数据源自【扫码进场信息管理】及【场所人流量阈值管理】，通过进行比对形成异常结果，分未接收、已接收两个分类标签页显示。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未接收：显示异常结果记录信息，当用户操作接收后显示至【已接收】标签页；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已接收：显示接收的异常结果记录信息。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异常结果：连续7个日历日内公共场所的扫码量小于所设定的最小阈值或大于所设定的最大阈值。</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3、功能业务字段信息</w:t>
      </w:r>
    </w:p>
    <w:p>
      <w:pPr>
        <w:numPr>
          <w:ilvl w:val="0"/>
          <w:numId w:val="5"/>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页面列表信息：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所在市区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源自内容详细页信息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预警时间段</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根据判断显示对应时间段：xxxx-xx-xx至xxxx-xx-xx，注:根据规则，暂定连续7个日历日。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预警原因</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根据判断显示：“小于阈值”或“大于阈值”</w:t>
            </w:r>
          </w:p>
        </w:tc>
      </w:tr>
    </w:tbl>
    <w:p>
      <w:pPr>
        <w:numPr>
          <w:ilvl w:val="0"/>
          <w:numId w:val="5"/>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内容详细页信息：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字段名称</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公共场所ID</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公共场所</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类别</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所在市区</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所在街道</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当日扫码量</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系统统计，规则：公共场所ID&amp;采集时间（年月日）统计当日的人员进场扫码量，需显示连续7个日历日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p>
        </w:tc>
        <w:tc>
          <w:tcPr>
            <w:tcW w:w="567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来</w:t>
            </w:r>
            <w:r>
              <w:rPr>
                <w:rFonts w:hint="eastAsia" w:ascii="仿宋_GB2312" w:hAnsi="仿宋_GB2312" w:eastAsia="仿宋_GB2312" w:cs="仿宋_GB2312"/>
                <w:sz w:val="28"/>
                <w:szCs w:val="28"/>
                <w:lang w:val="en-US" w:eastAsia="zh-CN"/>
              </w:rPr>
              <w:t>源自【扫码进场信息管理】的</w:t>
            </w:r>
            <w:r>
              <w:rPr>
                <w:rFonts w:hint="eastAsia" w:ascii="仿宋_GB2312" w:hAnsi="仿宋_GB2312" w:eastAsia="仿宋_GB2312" w:cs="仿宋_GB2312"/>
                <w:sz w:val="28"/>
                <w:szCs w:val="28"/>
                <w:vertAlign w:val="baseline"/>
                <w:lang w:val="en-US" w:eastAsia="zh-CN"/>
              </w:rPr>
              <w:t>采集时间（年月日），需显示连续7个日历日</w:t>
            </w:r>
          </w:p>
        </w:tc>
      </w:tr>
    </w:tbl>
    <w:p>
      <w:pPr>
        <w:pStyle w:val="5"/>
        <w:keepNext/>
        <w:keepLines/>
        <w:pageBreakBefore w:val="0"/>
        <w:widowControl w:val="0"/>
        <w:numPr>
          <w:ilvl w:val="2"/>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注：预警时间段规则为7个日历日，所有公共场所统一，不支持根据监管单位进行个性化设定。</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4、数据显示规则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监管单位只能显示归属本单位的数据，不能查阅非归属的数据。</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5、模块操作功能</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支持对异常结果进行接收操作。</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6、模块操作权限</w:t>
      </w:r>
    </w:p>
    <w:p>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对监管单位授权。</w:t>
      </w:r>
    </w:p>
    <w:p>
      <w:pPr>
        <w:numPr>
          <w:ilvl w:val="0"/>
          <w:numId w:val="0"/>
        </w:numPr>
        <w:spacing w:line="480" w:lineRule="auto"/>
        <w:ind w:left="7" w:leftChars="0" w:firstLine="635" w:firstLineChars="22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（七）菜单授权管理</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依赖OA系统的菜单授权功能对疫情防控监管专区建立菜单级授权，可对菜单授权到人员层。</w:t>
      </w:r>
    </w:p>
    <w:p>
      <w:pPr>
        <w:numPr>
          <w:ilvl w:val="0"/>
          <w:numId w:val="0"/>
        </w:numPr>
        <w:spacing w:line="480" w:lineRule="auto"/>
        <w:ind w:left="7" w:leftChars="0" w:firstLine="635" w:firstLineChars="226"/>
        <w:jc w:val="left"/>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（八）数据对接</w:t>
      </w:r>
    </w:p>
    <w:p>
      <w:pPr>
        <w:spacing w:line="360" w:lineRule="auto"/>
        <w:ind w:left="7" w:leftChars="0" w:firstLine="635" w:firstLineChars="226"/>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1、手机短信接口</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当【“扫码”预警】模块的【未接收】栏存在有数据，则由系统通过手机短信接口发送信息至监管单位对应的负责人。</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34" w:type="dxa"/>
          </w:tcPr>
          <w:p>
            <w:pPr>
              <w:keepNext w:val="0"/>
              <w:keepLines w:val="0"/>
              <w:pageBreakBefore w:val="0"/>
              <w:widowControl w:val="0"/>
              <w:kinsoku/>
              <w:wordWrap/>
              <w:overflowPunct/>
              <w:topLinePunct w:val="0"/>
              <w:autoSpaceDE/>
              <w:autoSpaceDN/>
              <w:bidi w:val="0"/>
              <w:adjustRightInd/>
              <w:snapToGrid/>
              <w:ind w:left="0" w:leftChars="0" w:firstLine="641" w:firstLineChars="228"/>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信息项</w:t>
            </w:r>
          </w:p>
        </w:tc>
        <w:tc>
          <w:tcPr>
            <w:tcW w:w="5988" w:type="dxa"/>
          </w:tcPr>
          <w:p>
            <w:pPr>
              <w:keepNext w:val="0"/>
              <w:keepLines w:val="0"/>
              <w:pageBreakBefore w:val="0"/>
              <w:widowControl w:val="0"/>
              <w:kinsoku/>
              <w:wordWrap/>
              <w:overflowPunct/>
              <w:topLinePunct w:val="0"/>
              <w:autoSpaceDE/>
              <w:autoSpaceDN/>
              <w:bidi w:val="0"/>
              <w:adjustRightInd/>
              <w:snapToGrid/>
              <w:ind w:left="0" w:leftChars="0" w:firstLine="641" w:firstLineChars="228"/>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tcPr>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短信接收人</w:t>
            </w:r>
          </w:p>
        </w:tc>
        <w:tc>
          <w:tcPr>
            <w:tcW w:w="5988" w:type="dxa"/>
          </w:tcPr>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通过预警信息中的监管单位关联【场所信息管理】获取到负责人手机号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tcPr>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短信发送规则</w:t>
            </w:r>
          </w:p>
        </w:tc>
        <w:tc>
          <w:tcPr>
            <w:tcW w:w="5988" w:type="dxa"/>
          </w:tcPr>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当</w:t>
            </w:r>
            <w:r>
              <w:rPr>
                <w:rFonts w:hint="eastAsia" w:ascii="仿宋_GB2312" w:hAnsi="仿宋_GB2312" w:eastAsia="仿宋_GB2312" w:cs="仿宋_GB2312"/>
                <w:sz w:val="28"/>
                <w:szCs w:val="28"/>
                <w:lang w:val="en-US" w:eastAsia="zh-CN"/>
              </w:rPr>
              <w:t>【未接收】栏存在有数据时，每天只发送一次提醒；</w:t>
            </w:r>
          </w:p>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当</w:t>
            </w:r>
            <w:r>
              <w:rPr>
                <w:rFonts w:hint="eastAsia" w:ascii="仿宋_GB2312" w:hAnsi="仿宋_GB2312" w:eastAsia="仿宋_GB2312" w:cs="仿宋_GB2312"/>
                <w:sz w:val="28"/>
                <w:szCs w:val="28"/>
                <w:lang w:val="en-US" w:eastAsia="zh-CN"/>
              </w:rPr>
              <w:t>【未接收】栏没数据时，不发送提醒。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tcPr>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短信内容</w:t>
            </w:r>
          </w:p>
        </w:tc>
        <w:tc>
          <w:tcPr>
            <w:tcW w:w="5988" w:type="dxa"/>
          </w:tcPr>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你有未接收的“扫码”预警待处理，请到OA系统的疫情防控专区查阅，谢谢！</w:t>
            </w:r>
          </w:p>
          <w:p>
            <w:pPr>
              <w:keepNext w:val="0"/>
              <w:keepLines w:val="0"/>
              <w:pageBreakBefore w:val="0"/>
              <w:widowControl w:val="0"/>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不支持个性化调整，系统统一模板。</w:t>
            </w:r>
          </w:p>
        </w:tc>
      </w:tr>
    </w:tbl>
    <w:p>
      <w:pPr>
        <w:spacing w:line="360" w:lineRule="auto"/>
        <w:ind w:left="0" w:leftChars="0" w:firstLine="641" w:firstLineChars="228"/>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2、省政务大数据平台接口（扩展需求）</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由省政务大数据平台通过地方共享到开平的前置库（前置库共享方式），库表信息需有公共场所信息、扫码进场信息及表字段信息需满足本文档中【场所信息管理】、【扫码进场信息】模块里的业务字段信息。</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本项目从前置库表获取数据支撑此项目所描述的模块功能，数据由省共享，此项目不对获取的数据进行二次处理，以保证数据同源。</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为保证数据同源，完成接口对接获取数据后，同步禁用【扫码进场信息】模块的数据导入、数据删除功能。</w:t>
      </w:r>
    </w:p>
    <w:p>
      <w:pPr>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目前省未开放相关共享，此项对接作为扩展性需求，条件具备时，软件服务商在20个工作日内做好相关对接获取数据，此对接项不作为项目验收条件。</w:t>
      </w:r>
    </w:p>
    <w:p>
      <w:pPr>
        <w:numPr>
          <w:ilvl w:val="0"/>
          <w:numId w:val="1"/>
        </w:numPr>
        <w:spacing w:line="480" w:lineRule="auto"/>
        <w:ind w:left="0" w:leftChars="0" w:firstLine="419" w:firstLineChars="116"/>
        <w:jc w:val="left"/>
        <w:outlineLvl w:val="1"/>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售后服务</w:t>
      </w:r>
      <w:bookmarkEnd w:id="0"/>
      <w:bookmarkEnd w:id="1"/>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服务供应商将在项目验收后一年内，提供7×24小时技术支撑保障服务。</w:t>
      </w:r>
    </w:p>
    <w:bookmarkEnd w:id="2"/>
    <w:p>
      <w:pPr>
        <w:numPr>
          <w:ilvl w:val="0"/>
          <w:numId w:val="1"/>
        </w:numPr>
        <w:spacing w:line="480" w:lineRule="auto"/>
        <w:ind w:left="0" w:leftChars="0" w:firstLine="419" w:firstLineChars="116"/>
        <w:jc w:val="left"/>
        <w:outlineLvl w:val="1"/>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服务报价</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本项目最高限价为人民币55000元，投报报价不得超过最高限价。</w:t>
      </w:r>
    </w:p>
    <w:p>
      <w:pPr>
        <w:numPr>
          <w:ilvl w:val="0"/>
          <w:numId w:val="1"/>
        </w:numPr>
        <w:spacing w:line="480" w:lineRule="auto"/>
        <w:ind w:left="0" w:leftChars="0" w:firstLine="419" w:firstLineChars="116"/>
        <w:jc w:val="left"/>
        <w:outlineLvl w:val="1"/>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确定成交供应商</w:t>
      </w:r>
    </w:p>
    <w:p>
      <w:pPr>
        <w:spacing w:line="360" w:lineRule="auto"/>
        <w:ind w:left="7" w:leftChars="0" w:firstLine="632" w:firstLineChars="22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若有多家供应商竞价，采购人将综合考虑供应商的服务质量、技术服务能力、采购信誉度、与本单位有服务经验者等方面进行择优选择，确定为成交供应商。</w:t>
      </w:r>
    </w:p>
    <w:p>
      <w:pPr>
        <w:numPr>
          <w:ilvl w:val="0"/>
          <w:numId w:val="1"/>
        </w:numPr>
        <w:spacing w:line="480" w:lineRule="auto"/>
        <w:ind w:left="0" w:leftChars="0" w:firstLine="419" w:firstLineChars="116"/>
        <w:jc w:val="left"/>
        <w:outlineLvl w:val="1"/>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服务期限及结算方式：</w:t>
      </w:r>
    </w:p>
    <w:p>
      <w:pPr>
        <w:spacing w:line="360" w:lineRule="auto"/>
        <w:ind w:left="7" w:leftChars="0" w:firstLine="632" w:firstLineChars="226"/>
        <w:rPr>
          <w:rFonts w:hint="eastAsia" w:ascii="仿宋_GB2312" w:hAnsi="仿宋_GB2312" w:eastAsia="仿宋_GB2312" w:cs="仿宋_GB2312"/>
          <w:sz w:val="28"/>
          <w:szCs w:val="28"/>
          <w:lang w:val="en-US" w:eastAsia="zh-CN"/>
        </w:rPr>
      </w:pPr>
      <w:bookmarkStart w:id="3" w:name="_GoBack"/>
      <w:bookmarkEnd w:id="3"/>
      <w:r>
        <w:rPr>
          <w:rFonts w:hint="eastAsia" w:ascii="仿宋_GB2312" w:hAnsi="仿宋_GB2312" w:eastAsia="仿宋_GB2312" w:cs="仿宋_GB2312"/>
          <w:sz w:val="28"/>
          <w:szCs w:val="28"/>
          <w:lang w:val="en-US" w:eastAsia="zh-CN"/>
        </w:rPr>
        <w:t>开发期为14个日历日。服务期一年，结算方式：按合同约定方式结算。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0748"/>
    <w:multiLevelType w:val="singleLevel"/>
    <w:tmpl w:val="83EA0748"/>
    <w:lvl w:ilvl="0" w:tentative="0">
      <w:start w:val="1"/>
      <w:numFmt w:val="chineseCounting"/>
      <w:suff w:val="nothing"/>
      <w:lvlText w:val="%1、"/>
      <w:lvlJc w:val="left"/>
      <w:rPr>
        <w:rFonts w:hint="eastAsia"/>
      </w:rPr>
    </w:lvl>
  </w:abstractNum>
  <w:abstractNum w:abstractNumId="1">
    <w:nsid w:val="B409D5C7"/>
    <w:multiLevelType w:val="singleLevel"/>
    <w:tmpl w:val="B409D5C7"/>
    <w:lvl w:ilvl="0" w:tentative="0">
      <w:start w:val="1"/>
      <w:numFmt w:val="decimalEnclosedCircleChinese"/>
      <w:suff w:val="nothing"/>
      <w:lvlText w:val="%1　"/>
      <w:lvlJc w:val="left"/>
      <w:pPr>
        <w:ind w:left="0" w:firstLine="400"/>
      </w:pPr>
      <w:rPr>
        <w:rFonts w:hint="eastAsia"/>
      </w:rPr>
    </w:lvl>
  </w:abstractNum>
  <w:abstractNum w:abstractNumId="2">
    <w:nsid w:val="D3852ABA"/>
    <w:multiLevelType w:val="singleLevel"/>
    <w:tmpl w:val="D3852ABA"/>
    <w:lvl w:ilvl="0" w:tentative="0">
      <w:start w:val="1"/>
      <w:numFmt w:val="decimalEnclosedCircleChinese"/>
      <w:suff w:val="nothing"/>
      <w:lvlText w:val="%1　"/>
      <w:lvlJc w:val="left"/>
      <w:pPr>
        <w:ind w:left="0" w:firstLine="400"/>
      </w:pPr>
      <w:rPr>
        <w:rFonts w:hint="eastAsia"/>
      </w:rPr>
    </w:lvl>
  </w:abstractNum>
  <w:abstractNum w:abstractNumId="3">
    <w:nsid w:val="E0FC0AB1"/>
    <w:multiLevelType w:val="singleLevel"/>
    <w:tmpl w:val="E0FC0AB1"/>
    <w:lvl w:ilvl="0" w:tentative="0">
      <w:start w:val="1"/>
      <w:numFmt w:val="decimalEnclosedCircleChinese"/>
      <w:suff w:val="nothing"/>
      <w:lvlText w:val="%1　"/>
      <w:lvlJc w:val="left"/>
      <w:pPr>
        <w:ind w:left="0" w:firstLine="400"/>
      </w:pPr>
      <w:rPr>
        <w:rFonts w:hint="eastAsia"/>
      </w:rPr>
    </w:lvl>
  </w:abstractNum>
  <w:abstractNum w:abstractNumId="4">
    <w:nsid w:val="74943460"/>
    <w:multiLevelType w:val="singleLevel"/>
    <w:tmpl w:val="74943460"/>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502E"/>
    <w:rsid w:val="03CF0C0F"/>
    <w:rsid w:val="04656956"/>
    <w:rsid w:val="06754B6B"/>
    <w:rsid w:val="0A9D74A1"/>
    <w:rsid w:val="0C0E7324"/>
    <w:rsid w:val="0D6B2B04"/>
    <w:rsid w:val="0E65709E"/>
    <w:rsid w:val="10617D04"/>
    <w:rsid w:val="11D1660E"/>
    <w:rsid w:val="1217118E"/>
    <w:rsid w:val="131A69F0"/>
    <w:rsid w:val="138E7627"/>
    <w:rsid w:val="13C030B8"/>
    <w:rsid w:val="17F133D9"/>
    <w:rsid w:val="182B5D2D"/>
    <w:rsid w:val="19242FF9"/>
    <w:rsid w:val="1A6210C8"/>
    <w:rsid w:val="1C3D5A59"/>
    <w:rsid w:val="1C4D1930"/>
    <w:rsid w:val="1CCB3905"/>
    <w:rsid w:val="1CCD00BE"/>
    <w:rsid w:val="24691A5A"/>
    <w:rsid w:val="246D13B2"/>
    <w:rsid w:val="249A3290"/>
    <w:rsid w:val="271753DB"/>
    <w:rsid w:val="294825C2"/>
    <w:rsid w:val="29E074AD"/>
    <w:rsid w:val="2A7C4085"/>
    <w:rsid w:val="2D5A5F24"/>
    <w:rsid w:val="2E12502E"/>
    <w:rsid w:val="2FC52E27"/>
    <w:rsid w:val="3010510B"/>
    <w:rsid w:val="30F443F3"/>
    <w:rsid w:val="36E13329"/>
    <w:rsid w:val="36F13905"/>
    <w:rsid w:val="385C081E"/>
    <w:rsid w:val="387351B9"/>
    <w:rsid w:val="39C5065C"/>
    <w:rsid w:val="3B8E6CC5"/>
    <w:rsid w:val="3BA82E03"/>
    <w:rsid w:val="3C946E78"/>
    <w:rsid w:val="3CA72B1D"/>
    <w:rsid w:val="3E9D2B29"/>
    <w:rsid w:val="3F31478B"/>
    <w:rsid w:val="402C69C9"/>
    <w:rsid w:val="40887A0A"/>
    <w:rsid w:val="43616D86"/>
    <w:rsid w:val="455C72DD"/>
    <w:rsid w:val="465F5B6F"/>
    <w:rsid w:val="48347872"/>
    <w:rsid w:val="4C9915EA"/>
    <w:rsid w:val="4D256B90"/>
    <w:rsid w:val="4D9D7EF9"/>
    <w:rsid w:val="4DDF67FE"/>
    <w:rsid w:val="5231792B"/>
    <w:rsid w:val="55AD3055"/>
    <w:rsid w:val="5A81096D"/>
    <w:rsid w:val="5D1571FE"/>
    <w:rsid w:val="5E9560E9"/>
    <w:rsid w:val="625F229E"/>
    <w:rsid w:val="65052D89"/>
    <w:rsid w:val="6801351E"/>
    <w:rsid w:val="68DA2D13"/>
    <w:rsid w:val="6AE501E1"/>
    <w:rsid w:val="6B0275C0"/>
    <w:rsid w:val="6C172A79"/>
    <w:rsid w:val="70F9454E"/>
    <w:rsid w:val="72DA065E"/>
    <w:rsid w:val="7715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4">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ascii="华文新魏" w:hAnsi="华文新魏" w:eastAsia="宋体" w:cs="Times New Roman"/>
      <w:sz w:val="24"/>
      <w:szCs w:val="44"/>
    </w:rPr>
  </w:style>
  <w:style w:type="paragraph" w:styleId="6">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7">
    <w:name w:val="Plain Text"/>
    <w:basedOn w:val="1"/>
    <w:qFormat/>
    <w:uiPriority w:val="0"/>
    <w:rPr>
      <w:rFonts w:ascii="宋体" w:hAnsi="Courier New" w:eastAsia="宋体"/>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2020-03-17T03:44:00Z</dcterms:created>
  <dc:creator>liang</dc:creator>
  <cp:lastModifiedBy>Administrator</cp:lastModifiedBy>
  <cp:lastPrinted>2022-04-18T04:04:00Z</cp:lastPrinted>
  <dcterms:modified xsi:type="dcterms:W3CDTF">2022-04-18T08:38:15Z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12676EE350C54C719C940959793E4845</vt:lpwstr>
  </property>
  <property fmtid="{D5CDD505-2E9C-101B-9397-08002B2CF9AE}" pid="4" name="ribbonExt">
    <vt:lpwstr>{"WPSExtOfficeTab":{"OnGetEnabled":false,"OnGetVisible":false}}</vt:lpwstr>
  </property>
</Properties>
</file>