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Toc12426"/>
      <w:r>
        <w:rPr>
          <w:rFonts w:eastAsia="黑体"/>
          <w:kern w:val="44"/>
          <w:sz w:val="30"/>
          <w:szCs w:val="30"/>
        </w:rPr>
        <w:t>附件</w:t>
      </w:r>
      <w:r>
        <w:rPr>
          <w:rFonts w:hint="eastAsia" w:eastAsia="黑体"/>
          <w:kern w:val="44"/>
          <w:sz w:val="30"/>
          <w:szCs w:val="30"/>
          <w:lang w:val="en-US" w:eastAsia="zh-CN"/>
        </w:rPr>
        <w:t>7</w:t>
      </w:r>
      <w:r>
        <w:rPr>
          <w:rFonts w:eastAsia="黑体"/>
          <w:kern w:val="44"/>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kern w:val="44"/>
          <w:sz w:val="44"/>
          <w:szCs w:val="44"/>
          <w:lang w:val="en-US" w:eastAsia="zh-CN"/>
        </w:rPr>
        <w:t>开平市</w:t>
      </w:r>
      <w:r>
        <w:rPr>
          <w:rFonts w:hint="eastAsia" w:ascii="方正小标宋简体" w:hAnsi="方正小标宋简体" w:eastAsia="方正小标宋简体" w:cs="方正小标宋简体"/>
          <w:kern w:val="44"/>
          <w:sz w:val="44"/>
          <w:szCs w:val="44"/>
        </w:rPr>
        <w:t>主要推进模式及建设、运维资金估算统计表</w:t>
      </w:r>
      <w:bookmarkEnd w:id="0"/>
    </w:p>
    <w:tbl>
      <w:tblPr>
        <w:tblStyle w:val="15"/>
        <w:tblW w:w="14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849"/>
        <w:gridCol w:w="1136"/>
        <w:gridCol w:w="1274"/>
        <w:gridCol w:w="1133"/>
        <w:gridCol w:w="1277"/>
        <w:gridCol w:w="906"/>
        <w:gridCol w:w="1080"/>
        <w:gridCol w:w="990"/>
        <w:gridCol w:w="852"/>
        <w:gridCol w:w="1094"/>
        <w:gridCol w:w="1113"/>
        <w:gridCol w:w="105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33" w:type="dxa"/>
            <w:vMerge w:val="restart"/>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序号</w:t>
            </w:r>
          </w:p>
        </w:tc>
        <w:tc>
          <w:tcPr>
            <w:tcW w:w="849" w:type="dxa"/>
            <w:vMerge w:val="restart"/>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市（区）</w:t>
            </w:r>
          </w:p>
        </w:tc>
        <w:tc>
          <w:tcPr>
            <w:tcW w:w="1136" w:type="dxa"/>
            <w:vMerge w:val="restart"/>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项目实施单位（部门）</w:t>
            </w:r>
            <w:r>
              <w:rPr>
                <w:rFonts w:hint="eastAsia" w:eastAsia="楷体_GB2312"/>
                <w:b/>
                <w:bCs/>
                <w:color w:val="000000"/>
                <w:kern w:val="0"/>
                <w:sz w:val="21"/>
                <w:szCs w:val="21"/>
                <w:lang w:bidi="ar"/>
              </w:rPr>
              <w:t>1</w:t>
            </w:r>
          </w:p>
        </w:tc>
        <w:tc>
          <w:tcPr>
            <w:tcW w:w="1274" w:type="dxa"/>
            <w:vMerge w:val="restart"/>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工程推进模式2</w:t>
            </w:r>
          </w:p>
        </w:tc>
        <w:tc>
          <w:tcPr>
            <w:tcW w:w="2410" w:type="dxa"/>
            <w:gridSpan w:val="2"/>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新建工程资金估算3</w:t>
            </w:r>
          </w:p>
        </w:tc>
        <w:tc>
          <w:tcPr>
            <w:tcW w:w="1986" w:type="dxa"/>
            <w:gridSpan w:val="2"/>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提升改造工程资金估算4</w:t>
            </w:r>
          </w:p>
        </w:tc>
        <w:tc>
          <w:tcPr>
            <w:tcW w:w="2936" w:type="dxa"/>
            <w:gridSpan w:val="3"/>
            <w:noWrap/>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运维资金估算</w:t>
            </w:r>
          </w:p>
        </w:tc>
        <w:tc>
          <w:tcPr>
            <w:tcW w:w="1113" w:type="dxa"/>
            <w:vMerge w:val="restart"/>
            <w:vAlign w:val="center"/>
          </w:tcPr>
          <w:p>
            <w:pPr>
              <w:widowControl/>
              <w:spacing w:line="320" w:lineRule="exact"/>
              <w:jc w:val="center"/>
              <w:rPr>
                <w:rFonts w:eastAsia="楷体_GB2312"/>
                <w:b/>
                <w:bCs/>
                <w:color w:val="000000"/>
                <w:kern w:val="0"/>
                <w:sz w:val="21"/>
                <w:szCs w:val="21"/>
                <w:lang w:bidi="ar"/>
              </w:rPr>
            </w:pPr>
            <w:r>
              <w:rPr>
                <w:rFonts w:eastAsia="楷体_GB2312"/>
                <w:b/>
                <w:bCs/>
                <w:color w:val="000000"/>
                <w:kern w:val="0"/>
                <w:sz w:val="21"/>
                <w:szCs w:val="21"/>
                <w:lang w:bidi="ar"/>
              </w:rPr>
              <w:t>资金合计</w:t>
            </w:r>
          </w:p>
          <w:p>
            <w:pPr>
              <w:widowControl/>
              <w:spacing w:line="320" w:lineRule="exact"/>
              <w:jc w:val="center"/>
              <w:rPr>
                <w:rFonts w:eastAsia="楷体_GB2312"/>
                <w:b/>
                <w:bCs/>
                <w:color w:val="000000"/>
                <w:kern w:val="0"/>
                <w:sz w:val="21"/>
                <w:szCs w:val="21"/>
                <w:lang w:bidi="ar"/>
              </w:rPr>
            </w:pPr>
            <w:r>
              <w:rPr>
                <w:rFonts w:hint="eastAsia" w:eastAsia="楷体_GB2312"/>
                <w:b/>
                <w:bCs/>
                <w:color w:val="000000"/>
                <w:kern w:val="0"/>
                <w:sz w:val="21"/>
                <w:szCs w:val="21"/>
                <w:lang w:bidi="ar"/>
              </w:rPr>
              <w:t>（万元）</w:t>
            </w:r>
          </w:p>
        </w:tc>
        <w:tc>
          <w:tcPr>
            <w:tcW w:w="1053" w:type="dxa"/>
            <w:vMerge w:val="restart"/>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主要资金筹措方式6</w:t>
            </w:r>
          </w:p>
        </w:tc>
        <w:tc>
          <w:tcPr>
            <w:tcW w:w="1703" w:type="dxa"/>
            <w:vMerge w:val="restart"/>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33" w:type="dxa"/>
            <w:vMerge w:val="continue"/>
            <w:vAlign w:val="center"/>
          </w:tcPr>
          <w:p>
            <w:pPr>
              <w:widowControl/>
              <w:spacing w:line="320" w:lineRule="exact"/>
              <w:jc w:val="center"/>
              <w:rPr>
                <w:rFonts w:eastAsia="楷体_GB2312"/>
                <w:b/>
                <w:bCs/>
                <w:color w:val="000000"/>
                <w:kern w:val="0"/>
                <w:sz w:val="21"/>
                <w:szCs w:val="21"/>
              </w:rPr>
            </w:pPr>
          </w:p>
        </w:tc>
        <w:tc>
          <w:tcPr>
            <w:tcW w:w="849" w:type="dxa"/>
            <w:vMerge w:val="continue"/>
            <w:vAlign w:val="center"/>
          </w:tcPr>
          <w:p>
            <w:pPr>
              <w:widowControl/>
              <w:spacing w:line="320" w:lineRule="exact"/>
              <w:jc w:val="center"/>
              <w:rPr>
                <w:rFonts w:eastAsia="楷体_GB2312"/>
                <w:b/>
                <w:bCs/>
                <w:color w:val="000000"/>
                <w:kern w:val="0"/>
                <w:sz w:val="21"/>
                <w:szCs w:val="21"/>
              </w:rPr>
            </w:pPr>
          </w:p>
        </w:tc>
        <w:tc>
          <w:tcPr>
            <w:tcW w:w="1136" w:type="dxa"/>
            <w:vMerge w:val="continue"/>
            <w:vAlign w:val="center"/>
          </w:tcPr>
          <w:p>
            <w:pPr>
              <w:widowControl/>
              <w:spacing w:line="320" w:lineRule="exact"/>
              <w:jc w:val="center"/>
              <w:rPr>
                <w:rFonts w:eastAsia="楷体_GB2312"/>
                <w:b/>
                <w:bCs/>
                <w:color w:val="000000"/>
                <w:kern w:val="0"/>
                <w:sz w:val="21"/>
                <w:szCs w:val="21"/>
              </w:rPr>
            </w:pPr>
          </w:p>
        </w:tc>
        <w:tc>
          <w:tcPr>
            <w:tcW w:w="1274" w:type="dxa"/>
            <w:vMerge w:val="continue"/>
            <w:vAlign w:val="center"/>
          </w:tcPr>
          <w:p>
            <w:pPr>
              <w:widowControl/>
              <w:spacing w:line="320" w:lineRule="exact"/>
              <w:jc w:val="center"/>
              <w:rPr>
                <w:rFonts w:eastAsia="楷体_GB2312"/>
                <w:b/>
                <w:bCs/>
                <w:color w:val="000000"/>
                <w:kern w:val="0"/>
                <w:sz w:val="21"/>
                <w:szCs w:val="21"/>
              </w:rPr>
            </w:pPr>
          </w:p>
        </w:tc>
        <w:tc>
          <w:tcPr>
            <w:tcW w:w="1133" w:type="dxa"/>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纳入城镇污水处理厂工程</w:t>
            </w:r>
          </w:p>
        </w:tc>
        <w:tc>
          <w:tcPr>
            <w:tcW w:w="1277" w:type="dxa"/>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新增污水处理设施工程（含配套管网）</w:t>
            </w:r>
            <w:r>
              <w:rPr>
                <w:rFonts w:hint="eastAsia" w:eastAsia="楷体_GB2312"/>
                <w:b/>
                <w:bCs/>
                <w:color w:val="000000"/>
                <w:kern w:val="0"/>
                <w:sz w:val="21"/>
                <w:szCs w:val="21"/>
                <w:lang w:bidi="ar"/>
              </w:rPr>
              <w:t>（万元）</w:t>
            </w:r>
          </w:p>
        </w:tc>
        <w:tc>
          <w:tcPr>
            <w:tcW w:w="906" w:type="dxa"/>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管网修复工程</w:t>
            </w:r>
          </w:p>
        </w:tc>
        <w:tc>
          <w:tcPr>
            <w:tcW w:w="1080" w:type="dxa"/>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设施改造工程资金估算</w:t>
            </w:r>
            <w:r>
              <w:rPr>
                <w:rFonts w:hint="eastAsia" w:eastAsia="楷体_GB2312"/>
                <w:b/>
                <w:bCs/>
                <w:color w:val="000000"/>
                <w:kern w:val="0"/>
                <w:sz w:val="21"/>
                <w:szCs w:val="21"/>
                <w:lang w:bidi="ar"/>
              </w:rPr>
              <w:t>（万元）</w:t>
            </w:r>
          </w:p>
        </w:tc>
        <w:tc>
          <w:tcPr>
            <w:tcW w:w="990" w:type="dxa"/>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运维主要模式</w:t>
            </w:r>
          </w:p>
        </w:tc>
        <w:tc>
          <w:tcPr>
            <w:tcW w:w="852" w:type="dxa"/>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处理规模合计（吨</w:t>
            </w:r>
            <w:r>
              <w:rPr>
                <w:rFonts w:hint="eastAsia" w:eastAsia="楷体_GB2312"/>
                <w:b/>
                <w:bCs/>
                <w:color w:val="000000"/>
                <w:kern w:val="0"/>
                <w:sz w:val="21"/>
                <w:szCs w:val="21"/>
                <w:lang w:bidi="ar"/>
              </w:rPr>
              <w:t>/日</w:t>
            </w:r>
            <w:r>
              <w:rPr>
                <w:rFonts w:eastAsia="楷体_GB2312"/>
                <w:b/>
                <w:bCs/>
                <w:color w:val="000000"/>
                <w:kern w:val="0"/>
                <w:sz w:val="21"/>
                <w:szCs w:val="21"/>
                <w:lang w:bidi="ar"/>
              </w:rPr>
              <w:t>）</w:t>
            </w:r>
          </w:p>
        </w:tc>
        <w:tc>
          <w:tcPr>
            <w:tcW w:w="1094" w:type="dxa"/>
            <w:vAlign w:val="center"/>
          </w:tcPr>
          <w:p>
            <w:pPr>
              <w:widowControl/>
              <w:spacing w:line="320" w:lineRule="exact"/>
              <w:jc w:val="center"/>
              <w:rPr>
                <w:rFonts w:eastAsia="楷体_GB2312"/>
                <w:b/>
                <w:bCs/>
                <w:color w:val="000000"/>
                <w:kern w:val="0"/>
                <w:sz w:val="21"/>
                <w:szCs w:val="21"/>
              </w:rPr>
            </w:pPr>
            <w:r>
              <w:rPr>
                <w:rFonts w:eastAsia="楷体_GB2312"/>
                <w:b/>
                <w:bCs/>
                <w:color w:val="000000"/>
                <w:kern w:val="0"/>
                <w:sz w:val="21"/>
                <w:szCs w:val="21"/>
                <w:lang w:bidi="ar"/>
              </w:rPr>
              <w:t>运维资金估算</w:t>
            </w:r>
            <w:r>
              <w:rPr>
                <w:rFonts w:hint="eastAsia" w:eastAsia="楷体_GB2312"/>
                <w:b/>
                <w:bCs/>
                <w:color w:val="000000"/>
                <w:kern w:val="0"/>
                <w:sz w:val="21"/>
                <w:szCs w:val="21"/>
                <w:lang w:bidi="ar"/>
              </w:rPr>
              <w:t>（万元）</w:t>
            </w:r>
            <w:r>
              <w:rPr>
                <w:rFonts w:eastAsia="楷体_GB2312"/>
                <w:b/>
                <w:bCs/>
                <w:color w:val="000000"/>
                <w:kern w:val="0"/>
                <w:sz w:val="21"/>
                <w:szCs w:val="21"/>
                <w:lang w:bidi="ar"/>
              </w:rPr>
              <w:t>5</w:t>
            </w:r>
          </w:p>
        </w:tc>
        <w:tc>
          <w:tcPr>
            <w:tcW w:w="1113" w:type="dxa"/>
            <w:vMerge w:val="continue"/>
            <w:vAlign w:val="center"/>
          </w:tcPr>
          <w:p>
            <w:pPr>
              <w:widowControl/>
              <w:spacing w:line="320" w:lineRule="exact"/>
              <w:jc w:val="center"/>
              <w:rPr>
                <w:rFonts w:eastAsia="楷体_GB2312"/>
                <w:b/>
                <w:bCs/>
                <w:color w:val="000000"/>
                <w:kern w:val="0"/>
                <w:sz w:val="21"/>
                <w:szCs w:val="21"/>
              </w:rPr>
            </w:pPr>
          </w:p>
        </w:tc>
        <w:tc>
          <w:tcPr>
            <w:tcW w:w="1053" w:type="dxa"/>
            <w:vMerge w:val="continue"/>
            <w:vAlign w:val="center"/>
          </w:tcPr>
          <w:p>
            <w:pPr>
              <w:widowControl/>
              <w:spacing w:line="320" w:lineRule="exact"/>
              <w:jc w:val="center"/>
              <w:rPr>
                <w:rFonts w:eastAsia="楷体_GB2312"/>
                <w:b/>
                <w:bCs/>
                <w:color w:val="000000"/>
                <w:kern w:val="0"/>
                <w:sz w:val="21"/>
                <w:szCs w:val="21"/>
              </w:rPr>
            </w:pPr>
          </w:p>
        </w:tc>
        <w:tc>
          <w:tcPr>
            <w:tcW w:w="1703" w:type="dxa"/>
            <w:vMerge w:val="continue"/>
            <w:vAlign w:val="center"/>
          </w:tcPr>
          <w:p>
            <w:pPr>
              <w:widowControl/>
              <w:spacing w:line="320" w:lineRule="exact"/>
              <w:jc w:val="center"/>
              <w:rPr>
                <w:rFonts w:eastAsia="楷体_GB2312"/>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33" w:type="dxa"/>
            <w:vMerge w:val="restart"/>
            <w:noWrap/>
            <w:vAlign w:val="center"/>
          </w:tcPr>
          <w:p>
            <w:pPr>
              <w:widowControl/>
              <w:spacing w:line="320" w:lineRule="exact"/>
              <w:jc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kern w:val="0"/>
                <w:sz w:val="21"/>
                <w:szCs w:val="21"/>
                <w:lang w:val="en-US" w:eastAsia="zh-CN" w:bidi="ar"/>
              </w:rPr>
              <w:t>1</w:t>
            </w:r>
          </w:p>
        </w:tc>
        <w:tc>
          <w:tcPr>
            <w:tcW w:w="849" w:type="dxa"/>
            <w:vMerge w:val="restart"/>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开平市</w:t>
            </w:r>
          </w:p>
        </w:tc>
        <w:tc>
          <w:tcPr>
            <w:tcW w:w="1136" w:type="dxa"/>
            <w:vMerge w:val="restart"/>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开平市城市管理和综合执法局</w:t>
            </w:r>
          </w:p>
        </w:tc>
        <w:tc>
          <w:tcPr>
            <w:tcW w:w="1274" w:type="dxa"/>
            <w:vMerge w:val="restart"/>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建管一体化</w:t>
            </w:r>
          </w:p>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（EPC+O&amp;M）</w:t>
            </w:r>
          </w:p>
        </w:tc>
        <w:tc>
          <w:tcPr>
            <w:tcW w:w="113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w:t>
            </w:r>
          </w:p>
        </w:tc>
        <w:tc>
          <w:tcPr>
            <w:tcW w:w="1277"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7300</w:t>
            </w:r>
          </w:p>
        </w:tc>
        <w:tc>
          <w:tcPr>
            <w:tcW w:w="906" w:type="dxa"/>
            <w:noWrap/>
            <w:vAlign w:val="center"/>
          </w:tcPr>
          <w:p>
            <w:pPr>
              <w:widowControl/>
              <w:spacing w:line="24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1080" w:type="dxa"/>
            <w:noWrap/>
            <w:vAlign w:val="center"/>
          </w:tcPr>
          <w:p>
            <w:pPr>
              <w:widowControl/>
              <w:spacing w:line="24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990" w:type="dxa"/>
            <w:vMerge w:val="restart"/>
            <w:noWrap/>
            <w:vAlign w:val="center"/>
          </w:tcPr>
          <w:p>
            <w:pPr>
              <w:widowControl/>
              <w:spacing w:line="24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第三方运维</w:t>
            </w:r>
          </w:p>
        </w:tc>
        <w:tc>
          <w:tcPr>
            <w:tcW w:w="852"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rPr>
              <w:t>/</w:t>
            </w:r>
          </w:p>
        </w:tc>
        <w:tc>
          <w:tcPr>
            <w:tcW w:w="1094"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rPr>
              <w:t>1629.44</w:t>
            </w:r>
          </w:p>
        </w:tc>
        <w:tc>
          <w:tcPr>
            <w:tcW w:w="111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rPr>
              <w:t>8929.44</w:t>
            </w:r>
          </w:p>
        </w:tc>
        <w:tc>
          <w:tcPr>
            <w:tcW w:w="1053" w:type="dxa"/>
            <w:vMerge w:val="restart"/>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地方债券、地方财政</w:t>
            </w:r>
          </w:p>
        </w:tc>
        <w:tc>
          <w:tcPr>
            <w:tcW w:w="170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33" w:type="dxa"/>
            <w:vMerge w:val="continue"/>
            <w:noWrap/>
            <w:vAlign w:val="center"/>
          </w:tcPr>
          <w:p>
            <w:pPr>
              <w:widowControl/>
              <w:spacing w:line="320" w:lineRule="exact"/>
              <w:jc w:val="center"/>
              <w:rPr>
                <w:rFonts w:hint="eastAsia" w:ascii="仿宋" w:hAnsi="仿宋" w:eastAsia="仿宋" w:cs="仿宋"/>
                <w:color w:val="000000"/>
                <w:kern w:val="0"/>
                <w:sz w:val="21"/>
                <w:szCs w:val="21"/>
                <w:lang w:bidi="ar"/>
              </w:rPr>
            </w:pPr>
          </w:p>
        </w:tc>
        <w:tc>
          <w:tcPr>
            <w:tcW w:w="849" w:type="dxa"/>
            <w:vMerge w:val="continue"/>
            <w:noWrap/>
            <w:vAlign w:val="center"/>
          </w:tcPr>
          <w:p>
            <w:pPr>
              <w:widowControl/>
              <w:spacing w:line="320" w:lineRule="exact"/>
              <w:jc w:val="center"/>
              <w:rPr>
                <w:rFonts w:hint="eastAsia" w:ascii="仿宋" w:hAnsi="仿宋" w:eastAsia="仿宋" w:cs="仿宋"/>
                <w:color w:val="000000"/>
                <w:kern w:val="0"/>
                <w:sz w:val="21"/>
                <w:szCs w:val="21"/>
              </w:rPr>
            </w:pPr>
          </w:p>
        </w:tc>
        <w:tc>
          <w:tcPr>
            <w:tcW w:w="1136" w:type="dxa"/>
            <w:vMerge w:val="continue"/>
            <w:noWrap/>
            <w:vAlign w:val="center"/>
          </w:tcPr>
          <w:p>
            <w:pPr>
              <w:widowControl/>
              <w:spacing w:line="320" w:lineRule="exact"/>
              <w:jc w:val="center"/>
              <w:rPr>
                <w:rFonts w:hint="eastAsia" w:ascii="仿宋" w:hAnsi="仿宋" w:eastAsia="仿宋" w:cs="仿宋"/>
                <w:color w:val="000000"/>
                <w:kern w:val="0"/>
                <w:sz w:val="21"/>
                <w:szCs w:val="21"/>
              </w:rPr>
            </w:pPr>
          </w:p>
        </w:tc>
        <w:tc>
          <w:tcPr>
            <w:tcW w:w="1274" w:type="dxa"/>
            <w:vMerge w:val="continue"/>
            <w:noWrap/>
            <w:vAlign w:val="center"/>
          </w:tcPr>
          <w:p>
            <w:pPr>
              <w:widowControl/>
              <w:spacing w:line="320" w:lineRule="exact"/>
              <w:jc w:val="center"/>
              <w:rPr>
                <w:rFonts w:hint="eastAsia" w:ascii="仿宋" w:hAnsi="仿宋" w:eastAsia="仿宋" w:cs="仿宋"/>
                <w:color w:val="000000"/>
                <w:kern w:val="0"/>
                <w:sz w:val="21"/>
                <w:szCs w:val="21"/>
              </w:rPr>
            </w:pPr>
          </w:p>
        </w:tc>
        <w:tc>
          <w:tcPr>
            <w:tcW w:w="113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w:t>
            </w:r>
          </w:p>
        </w:tc>
        <w:tc>
          <w:tcPr>
            <w:tcW w:w="1277"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7300</w:t>
            </w:r>
          </w:p>
        </w:tc>
        <w:tc>
          <w:tcPr>
            <w:tcW w:w="906" w:type="dxa"/>
            <w:noWrap/>
            <w:vAlign w:val="center"/>
          </w:tcPr>
          <w:p>
            <w:pPr>
              <w:widowControl/>
              <w:spacing w:line="24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1080" w:type="dxa"/>
            <w:noWrap/>
            <w:vAlign w:val="center"/>
          </w:tcPr>
          <w:p>
            <w:pPr>
              <w:widowControl/>
              <w:spacing w:line="24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990" w:type="dxa"/>
            <w:vMerge w:val="continue"/>
            <w:noWrap/>
            <w:vAlign w:val="center"/>
          </w:tcPr>
          <w:p>
            <w:pPr>
              <w:widowControl/>
              <w:spacing w:line="240" w:lineRule="exact"/>
              <w:jc w:val="center"/>
              <w:rPr>
                <w:rFonts w:hint="eastAsia" w:ascii="仿宋" w:hAnsi="仿宋" w:eastAsia="仿宋" w:cs="仿宋"/>
                <w:color w:val="000000"/>
                <w:kern w:val="0"/>
                <w:sz w:val="21"/>
                <w:szCs w:val="21"/>
                <w:lang w:bidi="ar"/>
              </w:rPr>
            </w:pPr>
          </w:p>
        </w:tc>
        <w:tc>
          <w:tcPr>
            <w:tcW w:w="852"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rPr>
              <w:t>/</w:t>
            </w:r>
          </w:p>
        </w:tc>
        <w:tc>
          <w:tcPr>
            <w:tcW w:w="1094"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rPr>
              <w:t>3206.47</w:t>
            </w:r>
          </w:p>
        </w:tc>
        <w:tc>
          <w:tcPr>
            <w:tcW w:w="111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rPr>
              <w:t>10506.47</w:t>
            </w:r>
          </w:p>
        </w:tc>
        <w:tc>
          <w:tcPr>
            <w:tcW w:w="1053" w:type="dxa"/>
            <w:vMerge w:val="continue"/>
            <w:noWrap/>
            <w:vAlign w:val="center"/>
          </w:tcPr>
          <w:p>
            <w:pPr>
              <w:widowControl/>
              <w:spacing w:line="320" w:lineRule="exact"/>
              <w:jc w:val="center"/>
              <w:rPr>
                <w:rFonts w:hint="eastAsia" w:ascii="仿宋" w:hAnsi="仿宋" w:eastAsia="仿宋" w:cs="仿宋"/>
                <w:color w:val="000000"/>
                <w:kern w:val="0"/>
                <w:sz w:val="21"/>
                <w:szCs w:val="21"/>
              </w:rPr>
            </w:pPr>
          </w:p>
        </w:tc>
        <w:tc>
          <w:tcPr>
            <w:tcW w:w="170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33" w:type="dxa"/>
            <w:vMerge w:val="continue"/>
            <w:noWrap/>
            <w:vAlign w:val="center"/>
          </w:tcPr>
          <w:p>
            <w:pPr>
              <w:widowControl/>
              <w:spacing w:line="320" w:lineRule="exact"/>
              <w:jc w:val="center"/>
              <w:rPr>
                <w:rFonts w:hint="eastAsia" w:ascii="仿宋" w:hAnsi="仿宋" w:eastAsia="仿宋" w:cs="仿宋"/>
                <w:color w:val="000000"/>
                <w:kern w:val="0"/>
                <w:sz w:val="21"/>
                <w:szCs w:val="21"/>
                <w:lang w:bidi="ar"/>
              </w:rPr>
            </w:pPr>
          </w:p>
        </w:tc>
        <w:tc>
          <w:tcPr>
            <w:tcW w:w="849" w:type="dxa"/>
            <w:vMerge w:val="continue"/>
            <w:noWrap/>
            <w:vAlign w:val="center"/>
          </w:tcPr>
          <w:p>
            <w:pPr>
              <w:widowControl/>
              <w:spacing w:line="320" w:lineRule="exact"/>
              <w:jc w:val="center"/>
              <w:rPr>
                <w:rFonts w:hint="eastAsia" w:ascii="仿宋" w:hAnsi="仿宋" w:eastAsia="仿宋" w:cs="仿宋"/>
                <w:color w:val="000000"/>
                <w:kern w:val="0"/>
                <w:sz w:val="21"/>
                <w:szCs w:val="21"/>
              </w:rPr>
            </w:pPr>
          </w:p>
        </w:tc>
        <w:tc>
          <w:tcPr>
            <w:tcW w:w="1136" w:type="dxa"/>
            <w:vMerge w:val="continue"/>
            <w:noWrap/>
            <w:vAlign w:val="center"/>
          </w:tcPr>
          <w:p>
            <w:pPr>
              <w:widowControl/>
              <w:spacing w:line="320" w:lineRule="exact"/>
              <w:jc w:val="center"/>
              <w:rPr>
                <w:rFonts w:hint="eastAsia" w:ascii="仿宋" w:hAnsi="仿宋" w:eastAsia="仿宋" w:cs="仿宋"/>
                <w:color w:val="000000"/>
                <w:kern w:val="0"/>
                <w:sz w:val="21"/>
                <w:szCs w:val="21"/>
              </w:rPr>
            </w:pPr>
          </w:p>
        </w:tc>
        <w:tc>
          <w:tcPr>
            <w:tcW w:w="1274" w:type="dxa"/>
            <w:vMerge w:val="continue"/>
            <w:noWrap/>
            <w:vAlign w:val="center"/>
          </w:tcPr>
          <w:p>
            <w:pPr>
              <w:widowControl/>
              <w:spacing w:line="320" w:lineRule="exact"/>
              <w:jc w:val="center"/>
              <w:rPr>
                <w:rFonts w:hint="eastAsia" w:ascii="仿宋" w:hAnsi="仿宋" w:eastAsia="仿宋" w:cs="仿宋"/>
                <w:color w:val="000000"/>
                <w:kern w:val="0"/>
                <w:sz w:val="21"/>
                <w:szCs w:val="21"/>
              </w:rPr>
            </w:pPr>
          </w:p>
        </w:tc>
        <w:tc>
          <w:tcPr>
            <w:tcW w:w="113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w:t>
            </w:r>
          </w:p>
        </w:tc>
        <w:tc>
          <w:tcPr>
            <w:tcW w:w="1277"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7300</w:t>
            </w:r>
          </w:p>
        </w:tc>
        <w:tc>
          <w:tcPr>
            <w:tcW w:w="906" w:type="dxa"/>
            <w:noWrap/>
            <w:vAlign w:val="center"/>
          </w:tcPr>
          <w:p>
            <w:pPr>
              <w:widowControl/>
              <w:spacing w:line="24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1080" w:type="dxa"/>
            <w:noWrap/>
            <w:vAlign w:val="center"/>
          </w:tcPr>
          <w:p>
            <w:pPr>
              <w:widowControl/>
              <w:spacing w:line="24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990" w:type="dxa"/>
            <w:vMerge w:val="continue"/>
            <w:noWrap/>
            <w:vAlign w:val="center"/>
          </w:tcPr>
          <w:p>
            <w:pPr>
              <w:widowControl/>
              <w:spacing w:line="240" w:lineRule="exact"/>
              <w:jc w:val="center"/>
              <w:rPr>
                <w:rFonts w:hint="eastAsia" w:ascii="仿宋" w:hAnsi="仿宋" w:eastAsia="仿宋" w:cs="仿宋"/>
                <w:color w:val="000000"/>
                <w:kern w:val="0"/>
                <w:sz w:val="21"/>
                <w:szCs w:val="21"/>
                <w:lang w:bidi="ar"/>
              </w:rPr>
            </w:pPr>
          </w:p>
        </w:tc>
        <w:tc>
          <w:tcPr>
            <w:tcW w:w="852"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rPr>
              <w:t>/</w:t>
            </w:r>
          </w:p>
        </w:tc>
        <w:tc>
          <w:tcPr>
            <w:tcW w:w="1094"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rPr>
              <w:t>3206.47</w:t>
            </w:r>
          </w:p>
        </w:tc>
        <w:tc>
          <w:tcPr>
            <w:tcW w:w="111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rPr>
              <w:t>10506.47</w:t>
            </w:r>
          </w:p>
        </w:tc>
        <w:tc>
          <w:tcPr>
            <w:tcW w:w="1053" w:type="dxa"/>
            <w:vMerge w:val="continue"/>
            <w:noWrap/>
            <w:vAlign w:val="center"/>
          </w:tcPr>
          <w:p>
            <w:pPr>
              <w:widowControl/>
              <w:spacing w:line="320" w:lineRule="exact"/>
              <w:jc w:val="center"/>
              <w:rPr>
                <w:rFonts w:hint="eastAsia" w:ascii="仿宋" w:hAnsi="仿宋" w:eastAsia="仿宋" w:cs="仿宋"/>
                <w:color w:val="000000"/>
                <w:kern w:val="0"/>
                <w:sz w:val="21"/>
                <w:szCs w:val="21"/>
              </w:rPr>
            </w:pPr>
          </w:p>
        </w:tc>
        <w:tc>
          <w:tcPr>
            <w:tcW w:w="170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33" w:type="dxa"/>
            <w:vMerge w:val="continue"/>
            <w:noWrap/>
            <w:vAlign w:val="center"/>
          </w:tcPr>
          <w:p>
            <w:pPr>
              <w:widowControl/>
              <w:spacing w:line="320" w:lineRule="exact"/>
              <w:jc w:val="center"/>
              <w:rPr>
                <w:rFonts w:hint="eastAsia" w:ascii="仿宋" w:hAnsi="仿宋" w:eastAsia="仿宋" w:cs="仿宋"/>
                <w:color w:val="000000"/>
                <w:kern w:val="0"/>
                <w:sz w:val="21"/>
                <w:szCs w:val="21"/>
                <w:lang w:bidi="ar"/>
              </w:rPr>
            </w:pPr>
          </w:p>
        </w:tc>
        <w:tc>
          <w:tcPr>
            <w:tcW w:w="849" w:type="dxa"/>
            <w:vMerge w:val="continue"/>
            <w:noWrap/>
            <w:vAlign w:val="center"/>
          </w:tcPr>
          <w:p>
            <w:pPr>
              <w:widowControl/>
              <w:spacing w:line="320" w:lineRule="exact"/>
              <w:jc w:val="center"/>
              <w:rPr>
                <w:rFonts w:hint="eastAsia" w:ascii="仿宋" w:hAnsi="仿宋" w:eastAsia="仿宋" w:cs="仿宋"/>
                <w:color w:val="000000"/>
                <w:kern w:val="0"/>
                <w:sz w:val="21"/>
                <w:szCs w:val="21"/>
              </w:rPr>
            </w:pPr>
          </w:p>
        </w:tc>
        <w:tc>
          <w:tcPr>
            <w:tcW w:w="1136" w:type="dxa"/>
            <w:vMerge w:val="continue"/>
            <w:noWrap/>
            <w:vAlign w:val="center"/>
          </w:tcPr>
          <w:p>
            <w:pPr>
              <w:widowControl/>
              <w:spacing w:line="320" w:lineRule="exact"/>
              <w:jc w:val="center"/>
              <w:rPr>
                <w:rFonts w:hint="eastAsia" w:ascii="仿宋" w:hAnsi="仿宋" w:eastAsia="仿宋" w:cs="仿宋"/>
                <w:color w:val="000000"/>
                <w:kern w:val="0"/>
                <w:sz w:val="21"/>
                <w:szCs w:val="21"/>
              </w:rPr>
            </w:pPr>
          </w:p>
        </w:tc>
        <w:tc>
          <w:tcPr>
            <w:tcW w:w="1274" w:type="dxa"/>
            <w:vMerge w:val="continue"/>
            <w:noWrap/>
            <w:vAlign w:val="center"/>
          </w:tcPr>
          <w:p>
            <w:pPr>
              <w:widowControl/>
              <w:spacing w:line="320" w:lineRule="exact"/>
              <w:jc w:val="center"/>
              <w:rPr>
                <w:rFonts w:hint="eastAsia" w:ascii="仿宋" w:hAnsi="仿宋" w:eastAsia="仿宋" w:cs="仿宋"/>
                <w:color w:val="000000"/>
                <w:kern w:val="0"/>
                <w:sz w:val="21"/>
                <w:szCs w:val="21"/>
              </w:rPr>
            </w:pPr>
          </w:p>
        </w:tc>
        <w:tc>
          <w:tcPr>
            <w:tcW w:w="113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w:t>
            </w:r>
          </w:p>
        </w:tc>
        <w:tc>
          <w:tcPr>
            <w:tcW w:w="1277"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4879.2</w:t>
            </w:r>
          </w:p>
        </w:tc>
        <w:tc>
          <w:tcPr>
            <w:tcW w:w="906" w:type="dxa"/>
            <w:noWrap/>
            <w:vAlign w:val="center"/>
          </w:tcPr>
          <w:p>
            <w:pPr>
              <w:widowControl/>
              <w:spacing w:line="24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1080" w:type="dxa"/>
            <w:noWrap/>
            <w:vAlign w:val="center"/>
          </w:tcPr>
          <w:p>
            <w:pPr>
              <w:widowControl/>
              <w:spacing w:line="24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990" w:type="dxa"/>
            <w:vMerge w:val="continue"/>
            <w:noWrap/>
            <w:vAlign w:val="center"/>
          </w:tcPr>
          <w:p>
            <w:pPr>
              <w:widowControl/>
              <w:spacing w:line="240" w:lineRule="exact"/>
              <w:jc w:val="center"/>
              <w:rPr>
                <w:rFonts w:hint="eastAsia" w:ascii="仿宋" w:hAnsi="仿宋" w:eastAsia="仿宋" w:cs="仿宋"/>
                <w:color w:val="000000"/>
                <w:kern w:val="0"/>
                <w:sz w:val="21"/>
                <w:szCs w:val="21"/>
                <w:lang w:bidi="ar"/>
              </w:rPr>
            </w:pPr>
          </w:p>
        </w:tc>
        <w:tc>
          <w:tcPr>
            <w:tcW w:w="852"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rPr>
              <w:t>/</w:t>
            </w:r>
          </w:p>
        </w:tc>
        <w:tc>
          <w:tcPr>
            <w:tcW w:w="1094"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rPr>
              <w:t>3206.47</w:t>
            </w:r>
          </w:p>
        </w:tc>
        <w:tc>
          <w:tcPr>
            <w:tcW w:w="111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rPr>
              <w:t>8085.67</w:t>
            </w:r>
          </w:p>
        </w:tc>
        <w:tc>
          <w:tcPr>
            <w:tcW w:w="1053" w:type="dxa"/>
            <w:vMerge w:val="continue"/>
            <w:noWrap/>
            <w:vAlign w:val="center"/>
          </w:tcPr>
          <w:p>
            <w:pPr>
              <w:widowControl/>
              <w:spacing w:line="320" w:lineRule="exact"/>
              <w:jc w:val="center"/>
              <w:rPr>
                <w:rFonts w:hint="eastAsia" w:ascii="仿宋" w:hAnsi="仿宋" w:eastAsia="仿宋" w:cs="仿宋"/>
                <w:color w:val="000000"/>
                <w:kern w:val="0"/>
                <w:sz w:val="21"/>
                <w:szCs w:val="21"/>
              </w:rPr>
            </w:pPr>
          </w:p>
        </w:tc>
        <w:tc>
          <w:tcPr>
            <w:tcW w:w="170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33" w:type="dxa"/>
            <w:vMerge w:val="continue"/>
            <w:noWrap/>
            <w:vAlign w:val="center"/>
          </w:tcPr>
          <w:p>
            <w:pPr>
              <w:widowControl/>
              <w:spacing w:line="320" w:lineRule="exact"/>
              <w:jc w:val="center"/>
              <w:rPr>
                <w:rFonts w:hint="eastAsia" w:ascii="仿宋" w:hAnsi="仿宋" w:eastAsia="仿宋" w:cs="仿宋"/>
                <w:color w:val="000000"/>
                <w:kern w:val="0"/>
                <w:sz w:val="21"/>
                <w:szCs w:val="21"/>
                <w:lang w:bidi="ar"/>
              </w:rPr>
            </w:pPr>
          </w:p>
        </w:tc>
        <w:tc>
          <w:tcPr>
            <w:tcW w:w="849" w:type="dxa"/>
            <w:vMerge w:val="continue"/>
            <w:noWrap/>
            <w:vAlign w:val="center"/>
          </w:tcPr>
          <w:p>
            <w:pPr>
              <w:widowControl/>
              <w:spacing w:line="320" w:lineRule="exact"/>
              <w:jc w:val="center"/>
              <w:rPr>
                <w:rFonts w:hint="eastAsia" w:ascii="仿宋" w:hAnsi="仿宋" w:eastAsia="仿宋" w:cs="仿宋"/>
                <w:color w:val="000000"/>
                <w:kern w:val="0"/>
                <w:sz w:val="21"/>
                <w:szCs w:val="21"/>
              </w:rPr>
            </w:pPr>
          </w:p>
        </w:tc>
        <w:tc>
          <w:tcPr>
            <w:tcW w:w="1136"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合计</w:t>
            </w:r>
          </w:p>
        </w:tc>
        <w:tc>
          <w:tcPr>
            <w:tcW w:w="1274"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lang w:bidi="ar"/>
              </w:rPr>
              <w:t>/</w:t>
            </w:r>
          </w:p>
        </w:tc>
        <w:tc>
          <w:tcPr>
            <w:tcW w:w="113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1744.8</w:t>
            </w:r>
          </w:p>
        </w:tc>
        <w:tc>
          <w:tcPr>
            <w:tcW w:w="1277"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26779.2</w:t>
            </w:r>
          </w:p>
        </w:tc>
        <w:tc>
          <w:tcPr>
            <w:tcW w:w="906" w:type="dxa"/>
            <w:noWrap/>
            <w:vAlign w:val="center"/>
          </w:tcPr>
          <w:p>
            <w:pPr>
              <w:widowControl/>
              <w:spacing w:line="24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1080" w:type="dxa"/>
            <w:noWrap/>
            <w:vAlign w:val="center"/>
          </w:tcPr>
          <w:p>
            <w:pPr>
              <w:widowControl/>
              <w:spacing w:line="24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990" w:type="dxa"/>
            <w:vMerge w:val="continue"/>
            <w:noWrap/>
            <w:vAlign w:val="center"/>
          </w:tcPr>
          <w:p>
            <w:pPr>
              <w:widowControl/>
              <w:spacing w:line="240" w:lineRule="exact"/>
              <w:jc w:val="center"/>
              <w:rPr>
                <w:rFonts w:hint="eastAsia" w:ascii="仿宋" w:hAnsi="仿宋" w:eastAsia="仿宋" w:cs="仿宋"/>
                <w:color w:val="000000"/>
                <w:kern w:val="0"/>
                <w:sz w:val="21"/>
                <w:szCs w:val="21"/>
                <w:lang w:bidi="ar"/>
              </w:rPr>
            </w:pPr>
          </w:p>
        </w:tc>
        <w:tc>
          <w:tcPr>
            <w:tcW w:w="852"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13730</w:t>
            </w:r>
          </w:p>
        </w:tc>
        <w:tc>
          <w:tcPr>
            <w:tcW w:w="1094"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11248.85</w:t>
            </w:r>
          </w:p>
        </w:tc>
        <w:tc>
          <w:tcPr>
            <w:tcW w:w="111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38028.05</w:t>
            </w:r>
          </w:p>
        </w:tc>
        <w:tc>
          <w:tcPr>
            <w:tcW w:w="1053" w:type="dxa"/>
            <w:vMerge w:val="continue"/>
            <w:noWrap/>
            <w:vAlign w:val="center"/>
          </w:tcPr>
          <w:p>
            <w:pPr>
              <w:widowControl/>
              <w:spacing w:line="320" w:lineRule="exact"/>
              <w:jc w:val="center"/>
              <w:rPr>
                <w:rFonts w:hint="eastAsia" w:ascii="仿宋" w:hAnsi="仿宋" w:eastAsia="仿宋" w:cs="仿宋"/>
                <w:color w:val="000000"/>
                <w:kern w:val="0"/>
                <w:sz w:val="21"/>
                <w:szCs w:val="21"/>
              </w:rPr>
            </w:pPr>
          </w:p>
        </w:tc>
        <w:tc>
          <w:tcPr>
            <w:tcW w:w="1703" w:type="dxa"/>
            <w:noWrap/>
            <w:vAlign w:val="center"/>
          </w:tcPr>
          <w:p>
            <w:pPr>
              <w:widowControl/>
              <w:spacing w:line="3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2022-2025年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4993" w:type="dxa"/>
            <w:gridSpan w:val="14"/>
            <w:vMerge w:val="restart"/>
          </w:tcPr>
          <w:p>
            <w:pPr>
              <w:widowControl/>
              <w:spacing w:line="360" w:lineRule="exact"/>
              <w:jc w:val="left"/>
              <w:rPr>
                <w:rFonts w:hint="eastAsia" w:ascii="楷体" w:hAnsi="楷体" w:eastAsia="楷体" w:cs="楷体"/>
                <w:color w:val="000000"/>
                <w:kern w:val="0"/>
                <w:sz w:val="21"/>
                <w:szCs w:val="21"/>
                <w:lang w:eastAsia="zh-CN" w:bidi="ar"/>
              </w:rPr>
            </w:pPr>
            <w:bookmarkStart w:id="1" w:name="_GoBack"/>
            <w:r>
              <w:rPr>
                <w:rFonts w:hint="eastAsia" w:ascii="楷体" w:hAnsi="楷体" w:eastAsia="楷体" w:cs="楷体"/>
                <w:color w:val="000000"/>
                <w:kern w:val="0"/>
                <w:sz w:val="21"/>
                <w:szCs w:val="21"/>
                <w:lang w:bidi="ar"/>
              </w:rPr>
              <w:t>1.项目实施单位主要指落实工程建设的政府部门或组织，如：县级职能部门（具体单位名称）、镇政府、街道办、村（居）委会等</w:t>
            </w:r>
            <w:r>
              <w:rPr>
                <w:rFonts w:hint="eastAsia" w:ascii="楷体" w:hAnsi="楷体" w:eastAsia="楷体" w:cs="楷体"/>
                <w:color w:val="000000"/>
                <w:kern w:val="0"/>
                <w:sz w:val="21"/>
                <w:szCs w:val="21"/>
                <w:lang w:eastAsia="zh-CN" w:bidi="ar"/>
              </w:rPr>
              <w:t>。</w:t>
            </w:r>
          </w:p>
          <w:p>
            <w:pPr>
              <w:widowControl/>
              <w:spacing w:line="360" w:lineRule="exact"/>
              <w:jc w:val="left"/>
              <w:rPr>
                <w:rFonts w:hint="eastAsia" w:ascii="楷体" w:hAnsi="楷体" w:eastAsia="楷体" w:cs="楷体"/>
                <w:color w:val="000000"/>
                <w:kern w:val="0"/>
                <w:sz w:val="21"/>
                <w:szCs w:val="21"/>
                <w:lang w:eastAsia="zh-CN" w:bidi="ar"/>
              </w:rPr>
            </w:pPr>
            <w:r>
              <w:rPr>
                <w:rFonts w:hint="eastAsia" w:ascii="楷体" w:hAnsi="楷体" w:eastAsia="楷体" w:cs="楷体"/>
                <w:color w:val="000000"/>
                <w:kern w:val="0"/>
                <w:sz w:val="21"/>
                <w:szCs w:val="21"/>
                <w:lang w:bidi="ar"/>
              </w:rPr>
              <w:t>2.工程推进模式主要指工作开展的形式或依托载体，如：“PPP项目连片推进”“美丽乡村建设”“供排水一体化”“农民工匠承建”“以工代赈”等</w:t>
            </w:r>
            <w:r>
              <w:rPr>
                <w:rFonts w:hint="eastAsia" w:ascii="楷体" w:hAnsi="楷体" w:eastAsia="楷体" w:cs="楷体"/>
                <w:color w:val="000000"/>
                <w:kern w:val="0"/>
                <w:sz w:val="21"/>
                <w:szCs w:val="21"/>
                <w:lang w:eastAsia="zh-CN" w:bidi="ar"/>
              </w:rPr>
              <w:t>。</w:t>
            </w:r>
          </w:p>
          <w:p>
            <w:pPr>
              <w:widowControl/>
              <w:spacing w:line="360" w:lineRule="exact"/>
              <w:jc w:val="left"/>
              <w:rPr>
                <w:rFonts w:hint="eastAsia" w:ascii="楷体" w:hAnsi="楷体" w:eastAsia="楷体" w:cs="楷体"/>
                <w:color w:val="000000"/>
                <w:kern w:val="0"/>
                <w:sz w:val="21"/>
                <w:szCs w:val="21"/>
                <w:lang w:eastAsia="zh-CN" w:bidi="ar"/>
              </w:rPr>
            </w:pPr>
            <w:r>
              <w:rPr>
                <w:rFonts w:hint="eastAsia" w:ascii="楷体" w:hAnsi="楷体" w:eastAsia="楷体" w:cs="楷体"/>
                <w:color w:val="000000"/>
                <w:kern w:val="0"/>
                <w:sz w:val="21"/>
                <w:szCs w:val="21"/>
                <w:lang w:bidi="ar"/>
              </w:rPr>
              <w:t>3.新建工程的资金估算需结合地区工程投资定额和类似项目工程造价标准确定，也可参照以下标准：纳入城镇污水处理厂工程，3000-5000元/人；新增污水处理设施工程（含配套管网），3500-5500元/人</w:t>
            </w:r>
            <w:r>
              <w:rPr>
                <w:rFonts w:hint="eastAsia" w:ascii="楷体" w:hAnsi="楷体" w:eastAsia="楷体" w:cs="楷体"/>
                <w:color w:val="000000"/>
                <w:kern w:val="0"/>
                <w:sz w:val="21"/>
                <w:szCs w:val="21"/>
                <w:lang w:eastAsia="zh-CN" w:bidi="ar"/>
              </w:rPr>
              <w:t>。</w:t>
            </w:r>
          </w:p>
          <w:p>
            <w:pPr>
              <w:widowControl/>
              <w:spacing w:line="360" w:lineRule="exact"/>
              <w:jc w:val="left"/>
              <w:rPr>
                <w:rFonts w:hint="eastAsia" w:ascii="楷体" w:hAnsi="楷体" w:eastAsia="楷体" w:cs="楷体"/>
                <w:color w:val="000000"/>
                <w:kern w:val="0"/>
                <w:sz w:val="21"/>
                <w:szCs w:val="21"/>
                <w:lang w:bidi="ar"/>
              </w:rPr>
            </w:pPr>
            <w:r>
              <w:rPr>
                <w:rFonts w:hint="eastAsia" w:ascii="楷体" w:hAnsi="楷体" w:eastAsia="楷体" w:cs="楷体"/>
                <w:color w:val="000000"/>
                <w:kern w:val="0"/>
                <w:sz w:val="21"/>
                <w:szCs w:val="21"/>
                <w:lang w:bidi="ar"/>
              </w:rPr>
              <w:t>4.提升改造工程资金估算需按照实际工程量测算，工程单价需结合地区工程投资定额和类似项目工程造价标准确定，也可参照以下标准：污水管网延伸（新建），500-1000元/米，管网修复则需结合管网损坏程度和修复要求，可按照新建费用的20-60%测算，即100-600元/米；设施重建工程，4000-20000元/吨；设施修复改造工程则需结合改造内容和要求内容，但不得超过重建工程费用。</w:t>
            </w:r>
          </w:p>
          <w:p>
            <w:pPr>
              <w:widowControl/>
              <w:spacing w:line="360" w:lineRule="exact"/>
              <w:jc w:val="left"/>
              <w:rPr>
                <w:rFonts w:hint="eastAsia" w:ascii="楷体" w:hAnsi="楷体" w:eastAsia="楷体" w:cs="楷体"/>
                <w:color w:val="000000"/>
                <w:kern w:val="0"/>
                <w:sz w:val="21"/>
                <w:szCs w:val="21"/>
                <w:lang w:eastAsia="zh-CN" w:bidi="ar"/>
              </w:rPr>
            </w:pPr>
            <w:r>
              <w:rPr>
                <w:rFonts w:hint="eastAsia" w:ascii="楷体" w:hAnsi="楷体" w:eastAsia="楷体" w:cs="楷体"/>
                <w:color w:val="000000"/>
                <w:kern w:val="0"/>
                <w:sz w:val="21"/>
                <w:szCs w:val="21"/>
                <w:lang w:bidi="ar"/>
              </w:rPr>
              <w:t>5.企业运行维护费按设计规模30m³/d以下的设施费用为8710-16050元/（个·年），30-100m³/d的设施按16300-26630元/（个·年），100-200m³/d的设施按26930-40590元/（个·年），大于200m³/d的设施按40800-52400元/（个·年）</w:t>
            </w:r>
            <w:r>
              <w:rPr>
                <w:rFonts w:hint="eastAsia" w:ascii="楷体" w:hAnsi="楷体" w:eastAsia="楷体" w:cs="楷体"/>
                <w:color w:val="000000"/>
                <w:kern w:val="0"/>
                <w:sz w:val="21"/>
                <w:szCs w:val="21"/>
                <w:lang w:eastAsia="zh-CN" w:bidi="ar"/>
              </w:rPr>
              <w:t>。</w:t>
            </w:r>
          </w:p>
          <w:p>
            <w:pPr>
              <w:widowControl/>
              <w:spacing w:line="360" w:lineRule="exact"/>
              <w:jc w:val="left"/>
              <w:rPr>
                <w:rFonts w:eastAsia="楷体_GB2312"/>
                <w:color w:val="000000"/>
                <w:kern w:val="0"/>
                <w:sz w:val="21"/>
                <w:szCs w:val="21"/>
              </w:rPr>
            </w:pPr>
            <w:r>
              <w:rPr>
                <w:rFonts w:hint="eastAsia" w:ascii="楷体" w:hAnsi="楷体" w:eastAsia="楷体" w:cs="楷体"/>
                <w:color w:val="000000"/>
                <w:kern w:val="0"/>
                <w:sz w:val="21"/>
                <w:szCs w:val="21"/>
                <w:lang w:bidi="ar"/>
              </w:rPr>
              <w:t>6.主要资金筹措方式如：“地方财政”“涉农资金统筹”“中央和省专项资金”“银行借贷”“地方债券”“社会资本”“使用者付费收费”等。</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14993" w:type="dxa"/>
            <w:gridSpan w:val="14"/>
            <w:vMerge w:val="continue"/>
          </w:tcPr>
          <w:p>
            <w:pPr>
              <w:spacing w:line="320" w:lineRule="exact"/>
              <w:jc w:val="left"/>
              <w:rPr>
                <w:rFonts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14993" w:type="dxa"/>
            <w:gridSpan w:val="14"/>
            <w:vMerge w:val="continue"/>
          </w:tcPr>
          <w:p>
            <w:pPr>
              <w:spacing w:line="320" w:lineRule="exact"/>
              <w:jc w:val="left"/>
              <w:rPr>
                <w:rFonts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rPr>
        <w:tc>
          <w:tcPr>
            <w:tcW w:w="14993" w:type="dxa"/>
            <w:gridSpan w:val="14"/>
            <w:vMerge w:val="continue"/>
          </w:tcPr>
          <w:p>
            <w:pPr>
              <w:spacing w:line="320" w:lineRule="exact"/>
              <w:jc w:val="left"/>
              <w:rPr>
                <w:rFonts w:eastAsia="宋体"/>
                <w:color w:val="000000"/>
                <w:sz w:val="24"/>
              </w:rPr>
            </w:pPr>
          </w:p>
        </w:tc>
      </w:tr>
    </w:tbl>
    <w:p>
      <w:pPr>
        <w:ind w:right="632"/>
      </w:pPr>
    </w:p>
    <w:sectPr>
      <w:footerReference r:id="rId3" w:type="default"/>
      <w:pgSz w:w="16838" w:h="11906" w:orient="landscape"/>
      <w:pgMar w:top="1417" w:right="1134" w:bottom="1417" w:left="1134" w:header="851" w:footer="1020" w:gutter="0"/>
      <w:pgNumType w:fmt="decimal"/>
      <w:cols w:space="720" w:num="1"/>
      <w:docGrid w:type="linesAndChars" w:linePitch="60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Style w:val="17"/>
                              <w:rFonts w:ascii="宋体" w:hAnsi="宋体" w:eastAsia="宋体"/>
                              <w:sz w:val="28"/>
                              <w:szCs w:val="28"/>
                            </w:rPr>
                          </w:pPr>
                          <w:r>
                            <w:rPr>
                              <w:rStyle w:val="17"/>
                              <w:rFonts w:hint="eastAsia" w:ascii="宋体" w:hAnsi="宋体" w:eastAsia="宋体"/>
                              <w:sz w:val="28"/>
                              <w:szCs w:val="28"/>
                            </w:rPr>
                            <w:t>—</w:t>
                          </w:r>
                          <w:r>
                            <w:rPr>
                              <w:rStyle w:val="17"/>
                              <w:rFonts w:hint="eastAsia" w:ascii="宋体" w:hAnsi="宋体" w:eastAsia="宋体"/>
                              <w:sz w:val="20"/>
                            </w:rPr>
                            <w:t xml:space="preserve">  </w:t>
                          </w:r>
                          <w:r>
                            <w:rPr>
                              <w:rStyle w:val="17"/>
                              <w:rFonts w:ascii="宋体" w:hAnsi="宋体" w:eastAsia="宋体"/>
                              <w:sz w:val="26"/>
                              <w:szCs w:val="26"/>
                            </w:rPr>
                            <w:fldChar w:fldCharType="begin"/>
                          </w:r>
                          <w:r>
                            <w:rPr>
                              <w:rStyle w:val="17"/>
                              <w:rFonts w:ascii="宋体" w:hAnsi="宋体" w:eastAsia="宋体"/>
                              <w:sz w:val="26"/>
                              <w:szCs w:val="26"/>
                            </w:rPr>
                            <w:instrText xml:space="preserve">PAGE  </w:instrText>
                          </w:r>
                          <w:r>
                            <w:rPr>
                              <w:rStyle w:val="17"/>
                              <w:rFonts w:ascii="宋体" w:hAnsi="宋体" w:eastAsia="宋体"/>
                              <w:sz w:val="26"/>
                              <w:szCs w:val="26"/>
                            </w:rPr>
                            <w:fldChar w:fldCharType="separate"/>
                          </w:r>
                          <w:r>
                            <w:rPr>
                              <w:rStyle w:val="17"/>
                              <w:rFonts w:ascii="宋体" w:hAnsi="宋体" w:eastAsia="宋体"/>
                              <w:sz w:val="26"/>
                              <w:szCs w:val="26"/>
                            </w:rPr>
                            <w:t>3</w:t>
                          </w:r>
                          <w:r>
                            <w:rPr>
                              <w:rStyle w:val="17"/>
                              <w:rFonts w:ascii="宋体" w:hAnsi="宋体" w:eastAsia="宋体"/>
                              <w:sz w:val="26"/>
                              <w:szCs w:val="26"/>
                            </w:rPr>
                            <w:fldChar w:fldCharType="end"/>
                          </w:r>
                          <w:r>
                            <w:rPr>
                              <w:rStyle w:val="17"/>
                              <w:rFonts w:hint="eastAsia" w:ascii="宋体" w:hAnsi="宋体" w:eastAsia="宋体"/>
                              <w:sz w:val="20"/>
                            </w:rPr>
                            <w:t xml:space="preserve">  </w:t>
                          </w:r>
                          <w:r>
                            <w:rPr>
                              <w:rStyle w:val="17"/>
                              <w:rFonts w:hint="eastAsia" w:ascii="宋体" w:hAnsi="宋体" w:eastAsia="宋体"/>
                              <w:sz w:val="28"/>
                              <w:szCs w:val="28"/>
                            </w:rPr>
                            <w:t>—</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pStyle w:val="9"/>
                      <w:rPr>
                        <w:rStyle w:val="17"/>
                        <w:rFonts w:ascii="宋体" w:hAnsi="宋体" w:eastAsia="宋体"/>
                        <w:sz w:val="28"/>
                        <w:szCs w:val="28"/>
                      </w:rPr>
                    </w:pPr>
                    <w:r>
                      <w:rPr>
                        <w:rStyle w:val="17"/>
                        <w:rFonts w:hint="eastAsia" w:ascii="宋体" w:hAnsi="宋体" w:eastAsia="宋体"/>
                        <w:sz w:val="28"/>
                        <w:szCs w:val="28"/>
                      </w:rPr>
                      <w:t>—</w:t>
                    </w:r>
                    <w:r>
                      <w:rPr>
                        <w:rStyle w:val="17"/>
                        <w:rFonts w:hint="eastAsia" w:ascii="宋体" w:hAnsi="宋体" w:eastAsia="宋体"/>
                        <w:sz w:val="20"/>
                      </w:rPr>
                      <w:t xml:space="preserve">  </w:t>
                    </w:r>
                    <w:r>
                      <w:rPr>
                        <w:rStyle w:val="17"/>
                        <w:rFonts w:ascii="宋体" w:hAnsi="宋体" w:eastAsia="宋体"/>
                        <w:sz w:val="26"/>
                        <w:szCs w:val="26"/>
                      </w:rPr>
                      <w:fldChar w:fldCharType="begin"/>
                    </w:r>
                    <w:r>
                      <w:rPr>
                        <w:rStyle w:val="17"/>
                        <w:rFonts w:ascii="宋体" w:hAnsi="宋体" w:eastAsia="宋体"/>
                        <w:sz w:val="26"/>
                        <w:szCs w:val="26"/>
                      </w:rPr>
                      <w:instrText xml:space="preserve">PAGE  </w:instrText>
                    </w:r>
                    <w:r>
                      <w:rPr>
                        <w:rStyle w:val="17"/>
                        <w:rFonts w:ascii="宋体" w:hAnsi="宋体" w:eastAsia="宋体"/>
                        <w:sz w:val="26"/>
                        <w:szCs w:val="26"/>
                      </w:rPr>
                      <w:fldChar w:fldCharType="separate"/>
                    </w:r>
                    <w:r>
                      <w:rPr>
                        <w:rStyle w:val="17"/>
                        <w:rFonts w:ascii="宋体" w:hAnsi="宋体" w:eastAsia="宋体"/>
                        <w:sz w:val="26"/>
                        <w:szCs w:val="26"/>
                      </w:rPr>
                      <w:t>3</w:t>
                    </w:r>
                    <w:r>
                      <w:rPr>
                        <w:rStyle w:val="17"/>
                        <w:rFonts w:ascii="宋体" w:hAnsi="宋体" w:eastAsia="宋体"/>
                        <w:sz w:val="26"/>
                        <w:szCs w:val="26"/>
                      </w:rPr>
                      <w:fldChar w:fldCharType="end"/>
                    </w:r>
                    <w:r>
                      <w:rPr>
                        <w:rStyle w:val="17"/>
                        <w:rFonts w:hint="eastAsia" w:ascii="宋体" w:hAnsi="宋体" w:eastAsia="宋体"/>
                        <w:sz w:val="20"/>
                      </w:rPr>
                      <w:t xml:space="preserve">  </w:t>
                    </w:r>
                    <w:r>
                      <w:rPr>
                        <w:rStyle w:val="17"/>
                        <w:rFonts w:hint="eastAsia" w:ascii="宋体" w:hAnsi="宋体" w:eastAsia="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ind w:left="432" w:hanging="432"/>
      </w:pPr>
    </w:lvl>
    <w:lvl w:ilvl="1" w:tentative="0">
      <w:start w:val="1"/>
      <w:numFmt w:val="decimal"/>
      <w:lvlText w:val="%1.%2"/>
      <w:lvlJc w:val="left"/>
      <w:pPr>
        <w:ind w:left="717" w:hanging="576"/>
      </w:pPr>
    </w:lvl>
    <w:lvl w:ilvl="2" w:tentative="0">
      <w:start w:val="1"/>
      <w:numFmt w:val="decimal"/>
      <w:pStyle w:val="5"/>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00000004"/>
    <w:multiLevelType w:val="multilevel"/>
    <w:tmpl w:val="00000004"/>
    <w:lvl w:ilvl="0" w:tentative="0">
      <w:start w:val="1"/>
      <w:numFmt w:val="decimal"/>
      <w:pStyle w:val="3"/>
      <w:lvlText w:val="%1"/>
      <w:lvlJc w:val="left"/>
      <w:pPr>
        <w:ind w:left="432" w:hanging="432"/>
      </w:pPr>
    </w:lvl>
    <w:lvl w:ilvl="1" w:tentative="0">
      <w:start w:val="1"/>
      <w:numFmt w:val="decimal"/>
      <w:lvlText w:val="%1.%2"/>
      <w:lvlJc w:val="left"/>
      <w:pPr>
        <w:ind w:left="717"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attachedTemplate r:id="rId1"/>
  <w:documentProtection w:enforcement="0"/>
  <w:defaultTabStop w:val="420"/>
  <w:drawingGridHorizontalSpacing w:val="158"/>
  <w:drawingGridVerticalSpacing w:val="30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mMzY4YTc4ZDAxZjc3NWNiMmIzM2FkYmI3Mjg2YWUifQ=="/>
  </w:docVars>
  <w:rsids>
    <w:rsidRoot w:val="57FB5BCC"/>
    <w:rsid w:val="0001078D"/>
    <w:rsid w:val="00014943"/>
    <w:rsid w:val="00024872"/>
    <w:rsid w:val="0002662D"/>
    <w:rsid w:val="00034081"/>
    <w:rsid w:val="00040F04"/>
    <w:rsid w:val="000529BE"/>
    <w:rsid w:val="00057E9D"/>
    <w:rsid w:val="00072DCC"/>
    <w:rsid w:val="00076EFB"/>
    <w:rsid w:val="000930E5"/>
    <w:rsid w:val="000957C2"/>
    <w:rsid w:val="000A2FC6"/>
    <w:rsid w:val="000C546B"/>
    <w:rsid w:val="000C7D2D"/>
    <w:rsid w:val="000D655E"/>
    <w:rsid w:val="000F34E3"/>
    <w:rsid w:val="000F6BCA"/>
    <w:rsid w:val="0011453E"/>
    <w:rsid w:val="001146DF"/>
    <w:rsid w:val="0011689E"/>
    <w:rsid w:val="001406EE"/>
    <w:rsid w:val="00145F7B"/>
    <w:rsid w:val="00163153"/>
    <w:rsid w:val="001858BB"/>
    <w:rsid w:val="001D4B02"/>
    <w:rsid w:val="001E515B"/>
    <w:rsid w:val="00211449"/>
    <w:rsid w:val="0026723C"/>
    <w:rsid w:val="00280823"/>
    <w:rsid w:val="00285E8D"/>
    <w:rsid w:val="002A027D"/>
    <w:rsid w:val="002A06EB"/>
    <w:rsid w:val="002B735A"/>
    <w:rsid w:val="002C059A"/>
    <w:rsid w:val="002D066B"/>
    <w:rsid w:val="002E3D35"/>
    <w:rsid w:val="003255E7"/>
    <w:rsid w:val="00335765"/>
    <w:rsid w:val="0035714C"/>
    <w:rsid w:val="0035763C"/>
    <w:rsid w:val="00364984"/>
    <w:rsid w:val="00370E77"/>
    <w:rsid w:val="00395AA4"/>
    <w:rsid w:val="00396BDE"/>
    <w:rsid w:val="003B4D59"/>
    <w:rsid w:val="003B4E13"/>
    <w:rsid w:val="00411AF6"/>
    <w:rsid w:val="004329C7"/>
    <w:rsid w:val="00461E13"/>
    <w:rsid w:val="00467C39"/>
    <w:rsid w:val="00496239"/>
    <w:rsid w:val="004A7B4F"/>
    <w:rsid w:val="004B1433"/>
    <w:rsid w:val="00510A88"/>
    <w:rsid w:val="00513FDF"/>
    <w:rsid w:val="005263FA"/>
    <w:rsid w:val="00552994"/>
    <w:rsid w:val="00566052"/>
    <w:rsid w:val="0059467C"/>
    <w:rsid w:val="005E0C84"/>
    <w:rsid w:val="005F485C"/>
    <w:rsid w:val="00630CA1"/>
    <w:rsid w:val="0063571F"/>
    <w:rsid w:val="00655F13"/>
    <w:rsid w:val="00691431"/>
    <w:rsid w:val="006C028A"/>
    <w:rsid w:val="006C2CB2"/>
    <w:rsid w:val="006C5460"/>
    <w:rsid w:val="006D63D2"/>
    <w:rsid w:val="006E16EF"/>
    <w:rsid w:val="006E3D10"/>
    <w:rsid w:val="006F19FB"/>
    <w:rsid w:val="006F36F5"/>
    <w:rsid w:val="007006E3"/>
    <w:rsid w:val="0070228A"/>
    <w:rsid w:val="00723EE2"/>
    <w:rsid w:val="00740512"/>
    <w:rsid w:val="0077336D"/>
    <w:rsid w:val="00795DB3"/>
    <w:rsid w:val="007A05DA"/>
    <w:rsid w:val="007C5A76"/>
    <w:rsid w:val="007D0F96"/>
    <w:rsid w:val="007E13D6"/>
    <w:rsid w:val="007F1D37"/>
    <w:rsid w:val="008102AB"/>
    <w:rsid w:val="00842B88"/>
    <w:rsid w:val="00871242"/>
    <w:rsid w:val="008B5CAD"/>
    <w:rsid w:val="008C4419"/>
    <w:rsid w:val="008C50BC"/>
    <w:rsid w:val="008D1432"/>
    <w:rsid w:val="008D37F0"/>
    <w:rsid w:val="008E3E96"/>
    <w:rsid w:val="008F5ECB"/>
    <w:rsid w:val="00911196"/>
    <w:rsid w:val="0091365C"/>
    <w:rsid w:val="009174A6"/>
    <w:rsid w:val="0096301F"/>
    <w:rsid w:val="00973926"/>
    <w:rsid w:val="009818AB"/>
    <w:rsid w:val="0098215B"/>
    <w:rsid w:val="00982A70"/>
    <w:rsid w:val="009A60F1"/>
    <w:rsid w:val="009B489A"/>
    <w:rsid w:val="009C356A"/>
    <w:rsid w:val="00A022DC"/>
    <w:rsid w:val="00A14DE1"/>
    <w:rsid w:val="00A41F36"/>
    <w:rsid w:val="00AB1809"/>
    <w:rsid w:val="00AD61B3"/>
    <w:rsid w:val="00AE1E12"/>
    <w:rsid w:val="00AF2C98"/>
    <w:rsid w:val="00B351E8"/>
    <w:rsid w:val="00B84979"/>
    <w:rsid w:val="00BC187E"/>
    <w:rsid w:val="00BF02D2"/>
    <w:rsid w:val="00BF7CBB"/>
    <w:rsid w:val="00C14D2E"/>
    <w:rsid w:val="00C513E4"/>
    <w:rsid w:val="00C6377C"/>
    <w:rsid w:val="00C91C55"/>
    <w:rsid w:val="00C92A11"/>
    <w:rsid w:val="00CA2BFA"/>
    <w:rsid w:val="00CD347C"/>
    <w:rsid w:val="00CD6E8E"/>
    <w:rsid w:val="00CE3DC2"/>
    <w:rsid w:val="00CF6447"/>
    <w:rsid w:val="00CF6FDE"/>
    <w:rsid w:val="00D114DC"/>
    <w:rsid w:val="00D1279D"/>
    <w:rsid w:val="00D20018"/>
    <w:rsid w:val="00D34ABE"/>
    <w:rsid w:val="00D414DA"/>
    <w:rsid w:val="00D70644"/>
    <w:rsid w:val="00D76B5E"/>
    <w:rsid w:val="00D94AC4"/>
    <w:rsid w:val="00DF1655"/>
    <w:rsid w:val="00DF27C8"/>
    <w:rsid w:val="00E1603D"/>
    <w:rsid w:val="00E23363"/>
    <w:rsid w:val="00E34825"/>
    <w:rsid w:val="00E436B1"/>
    <w:rsid w:val="00E57C4E"/>
    <w:rsid w:val="00E86B62"/>
    <w:rsid w:val="00EC30BE"/>
    <w:rsid w:val="00EC7DC2"/>
    <w:rsid w:val="00EF5729"/>
    <w:rsid w:val="00F03BBC"/>
    <w:rsid w:val="00F43419"/>
    <w:rsid w:val="00F9185B"/>
    <w:rsid w:val="00F9202B"/>
    <w:rsid w:val="00F93815"/>
    <w:rsid w:val="00FE6F61"/>
    <w:rsid w:val="00FF5247"/>
    <w:rsid w:val="01621EE0"/>
    <w:rsid w:val="1882763E"/>
    <w:rsid w:val="1F9C4637"/>
    <w:rsid w:val="216816FD"/>
    <w:rsid w:val="24AC4DAD"/>
    <w:rsid w:val="24C7151F"/>
    <w:rsid w:val="321C0031"/>
    <w:rsid w:val="334672C2"/>
    <w:rsid w:val="356102BA"/>
    <w:rsid w:val="45584A6D"/>
    <w:rsid w:val="4F522C21"/>
    <w:rsid w:val="57FB5BCC"/>
    <w:rsid w:val="5ADBCFE2"/>
    <w:rsid w:val="60F97463"/>
    <w:rsid w:val="6C661D68"/>
    <w:rsid w:val="715C5EBB"/>
    <w:rsid w:val="74DE313A"/>
    <w:rsid w:val="761F35ED"/>
    <w:rsid w:val="7FDF405E"/>
    <w:rsid w:val="96AB7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numPr>
        <w:ilvl w:val="0"/>
        <w:numId w:val="1"/>
      </w:numPr>
      <w:spacing w:before="156" w:beforeLines="50" w:after="156" w:afterLines="50"/>
      <w:outlineLvl w:val="0"/>
    </w:pPr>
    <w:rPr>
      <w:rFonts w:eastAsia="宋体"/>
      <w:b/>
      <w:bCs/>
      <w:kern w:val="44"/>
      <w:szCs w:val="44"/>
    </w:rPr>
  </w:style>
  <w:style w:type="paragraph" w:styleId="4">
    <w:name w:val="heading 2"/>
    <w:basedOn w:val="1"/>
    <w:next w:val="1"/>
    <w:qFormat/>
    <w:uiPriority w:val="0"/>
    <w:pPr>
      <w:keepNext/>
      <w:keepLines/>
      <w:outlineLvl w:val="1"/>
    </w:pPr>
    <w:rPr>
      <w:rFonts w:ascii="Tahoma" w:hAnsi="Tahoma" w:eastAsia="宋体"/>
      <w:b/>
      <w:bCs/>
      <w:szCs w:val="32"/>
    </w:rPr>
  </w:style>
  <w:style w:type="paragraph" w:styleId="5">
    <w:name w:val="heading 3"/>
    <w:basedOn w:val="1"/>
    <w:next w:val="1"/>
    <w:qFormat/>
    <w:uiPriority w:val="0"/>
    <w:pPr>
      <w:keepNext/>
      <w:keepLines/>
      <w:numPr>
        <w:ilvl w:val="2"/>
        <w:numId w:val="2"/>
      </w:numPr>
      <w:spacing w:before="156" w:beforeLines="50" w:after="156" w:afterLines="50"/>
      <w:outlineLvl w:val="2"/>
    </w:pPr>
    <w:rPr>
      <w:rFonts w:eastAsia="宋体"/>
      <w:b/>
      <w:bCs/>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Calibri" w:hAnsi="Calibri" w:eastAsia="宋体" w:cs="Calibri"/>
      <w:kern w:val="2"/>
      <w:sz w:val="24"/>
      <w:szCs w:val="24"/>
      <w:lang w:val="en-US" w:eastAsia="zh-CN" w:bidi="ar-SA"/>
    </w:rPr>
  </w:style>
  <w:style w:type="paragraph" w:styleId="6">
    <w:name w:val="Body Text Indent"/>
    <w:basedOn w:val="1"/>
    <w:qFormat/>
    <w:uiPriority w:val="0"/>
    <w:pPr>
      <w:ind w:firstLine="632" w:firstLineChars="200"/>
    </w:pPr>
  </w:style>
  <w:style w:type="paragraph" w:styleId="7">
    <w:name w:val="toc 3"/>
    <w:basedOn w:val="1"/>
    <w:next w:val="1"/>
    <w:qFormat/>
    <w:uiPriority w:val="39"/>
    <w:pPr>
      <w:ind w:left="840" w:leftChars="400"/>
    </w:pPr>
  </w:style>
  <w:style w:type="paragraph" w:styleId="8">
    <w:name w:val="Date"/>
    <w:basedOn w:val="1"/>
    <w:next w:val="1"/>
    <w:link w:val="18"/>
    <w:qFormat/>
    <w:uiPriority w:val="0"/>
    <w:pPr>
      <w:ind w:left="100" w:leftChars="25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tabs>
        <w:tab w:val="center" w:pos="4153"/>
        <w:tab w:val="right" w:pos="8306"/>
      </w:tabs>
      <w:snapToGrid w:val="0"/>
      <w:jc w:val="center"/>
    </w:pPr>
    <w:rPr>
      <w:sz w:val="18"/>
      <w:szCs w:val="18"/>
    </w:rPr>
  </w:style>
  <w:style w:type="paragraph" w:styleId="11">
    <w:name w:val="toc 1"/>
    <w:basedOn w:val="1"/>
    <w:next w:val="1"/>
    <w:qFormat/>
    <w:uiPriority w:val="39"/>
    <w:pPr>
      <w:spacing w:before="120" w:after="120"/>
    </w:pPr>
    <w:rPr>
      <w:rFonts w:ascii="Calibri" w:hAnsi="Calibri" w:cs="Calibri"/>
      <w:b/>
      <w:bCs/>
      <w:caps/>
      <w:sz w:val="20"/>
    </w:rPr>
  </w:style>
  <w:style w:type="paragraph" w:styleId="12">
    <w:name w:val="toc 2"/>
    <w:basedOn w:val="1"/>
    <w:next w:val="1"/>
    <w:qFormat/>
    <w:uiPriority w:val="39"/>
    <w:pPr>
      <w:ind w:left="280"/>
    </w:pPr>
    <w:rPr>
      <w:rFonts w:ascii="Calibri" w:hAnsi="Calibri" w:cs="Calibri"/>
      <w:smallCaps/>
      <w:sz w:val="20"/>
    </w:rPr>
  </w:style>
  <w:style w:type="paragraph" w:styleId="13">
    <w:name w:val="Normal (Web)"/>
    <w:basedOn w:val="1"/>
    <w:qFormat/>
    <w:uiPriority w:val="0"/>
    <w:pPr>
      <w:spacing w:beforeAutospacing="1" w:afterAutospacing="1"/>
      <w:jc w:val="left"/>
    </w:pPr>
    <w:rPr>
      <w:kern w:val="0"/>
      <w:sz w:val="24"/>
    </w:rPr>
  </w:style>
  <w:style w:type="paragraph" w:styleId="14">
    <w:name w:val="Body Text First Indent 2"/>
    <w:basedOn w:val="6"/>
    <w:qFormat/>
    <w:uiPriority w:val="0"/>
    <w:pPr>
      <w:ind w:firstLine="420"/>
    </w:pPr>
    <w:rPr>
      <w:rFonts w:eastAsia="宋体"/>
      <w:sz w:val="30"/>
    </w:rPr>
  </w:style>
  <w:style w:type="character" w:styleId="17">
    <w:name w:val="page number"/>
    <w:basedOn w:val="16"/>
    <w:qFormat/>
    <w:uiPriority w:val="0"/>
  </w:style>
  <w:style w:type="character" w:customStyle="1" w:styleId="18">
    <w:name w:val="日期 Char"/>
    <w:basedOn w:val="16"/>
    <w:link w:val="8"/>
    <w:qFormat/>
    <w:uiPriority w:val="0"/>
    <w:rPr>
      <w:rFonts w:ascii="Times New Roman" w:hAnsi="Times New Roman" w:eastAsia="仿宋_GB2312"/>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hbt\.local\share\Kingsoft\office6\templates\wps\zh_CN\A4&#26631;&#20934;&#29256;.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A4标准版</Template>
  <Company>Microsoft</Company>
  <Pages>1</Pages>
  <Words>768</Words>
  <Characters>1007</Characters>
  <Lines>19</Lines>
  <Paragraphs>5</Paragraphs>
  <TotalTime>7</TotalTime>
  <ScaleCrop>false</ScaleCrop>
  <LinksUpToDate>false</LinksUpToDate>
  <CharactersWithSpaces>1009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2021-11-02T18:12:00Z</dcterms:created>
  <dc:creator>hbt</dc:creator>
  <cp:lastModifiedBy>JimJim</cp:lastModifiedBy>
  <dcterms:modified xsi:type="dcterms:W3CDTF">2022-06-16T09:21:31Z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3193DCDB372C432B8DFB412A0CC6916A</vt:lpwstr>
  </property>
</Properties>
</file>