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jc w:val="center"/>
        <w:rPr>
          <w:rFonts w:hint="eastAsia"/>
          <w:b/>
          <w:bCs/>
          <w:sz w:val="44"/>
          <w:szCs w:val="44"/>
        </w:rPr>
      </w:pPr>
      <w:r>
        <w:rPr>
          <w:rFonts w:hint="eastAsia"/>
          <w:b/>
          <w:bCs/>
          <w:sz w:val="44"/>
          <w:szCs w:val="44"/>
        </w:rPr>
        <w:t>开平市行政执法信息平台实施推广项目</w:t>
      </w:r>
    </w:p>
    <w:p>
      <w:pPr>
        <w:pStyle w:val="31"/>
        <w:jc w:val="center"/>
        <w:rPr>
          <w:rFonts w:hint="eastAsia"/>
          <w:b/>
          <w:bCs/>
          <w:sz w:val="44"/>
          <w:szCs w:val="44"/>
        </w:rPr>
      </w:pPr>
      <w:r>
        <w:rPr>
          <w:rFonts w:hint="eastAsia"/>
          <w:b/>
          <w:bCs/>
          <w:sz w:val="44"/>
          <w:szCs w:val="44"/>
        </w:rPr>
        <w:t>采购需求</w:t>
      </w:r>
    </w:p>
    <w:p>
      <w:pPr>
        <w:pStyle w:val="31"/>
        <w:jc w:val="center"/>
        <w:rPr>
          <w:rFonts w:hint="eastAsia"/>
          <w:b/>
          <w:bCs/>
          <w:sz w:val="44"/>
          <w:szCs w:val="44"/>
        </w:rPr>
      </w:pPr>
    </w:p>
    <w:p>
      <w:pPr>
        <w:pStyle w:val="16"/>
        <w:ind w:right="-30" w:firstLine="482" w:firstLineChars="150"/>
        <w:rPr>
          <w:rFonts w:hint="eastAsia" w:ascii="黑体" w:hAnsi="黑体" w:eastAsia="黑体"/>
          <w:b/>
          <w:color w:val="000000"/>
          <w:sz w:val="32"/>
          <w:szCs w:val="32"/>
        </w:rPr>
      </w:pPr>
      <w:r>
        <w:rPr>
          <w:rFonts w:hint="eastAsia" w:ascii="黑体" w:hAnsi="黑体" w:eastAsia="黑体"/>
          <w:b/>
          <w:color w:val="000000"/>
          <w:sz w:val="32"/>
          <w:szCs w:val="32"/>
        </w:rPr>
        <w:t>一、项目概况</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为贯彻落实《江门市政务服务数据管理局 江门市司法局关于印发〈江门市新型智慧城市（一期）建设项目行政执法信息平台优化升级子项目建设方案〉的通知》（江政数〔2021〕130号）文件精神，为有效破解行政执法过程中存在办案效能低、办案质量不高、实时监管难、办案随意性大等问题，江门市按照“省统、市建、共推”的原则，建设了覆盖江门市、县（区）、镇（街）三级执法部门的行政执法信息平台，本项目依托江门市行政执法信息平台，在开平市进行行政执法信息平台实施推广，力争率先完成省里要求的工作目标，实现行政处罚、行政检查、行政强制三类执法权力的全过程信息化、数字化网上办案，为开平市争创一流法治化营商环境。</w:t>
      </w:r>
    </w:p>
    <w:p>
      <w:pPr>
        <w:pStyle w:val="16"/>
        <w:ind w:right="-30" w:firstLine="482" w:firstLineChars="150"/>
        <w:rPr>
          <w:rFonts w:hint="eastAsia" w:ascii="黑体" w:hAnsi="黑体" w:eastAsia="黑体"/>
          <w:b/>
          <w:color w:val="000000"/>
          <w:sz w:val="32"/>
          <w:szCs w:val="32"/>
        </w:rPr>
      </w:pPr>
      <w:r>
        <w:rPr>
          <w:rFonts w:hint="eastAsia" w:ascii="黑体" w:hAnsi="黑体" w:eastAsia="黑体"/>
          <w:b/>
          <w:color w:val="000000"/>
          <w:sz w:val="32"/>
          <w:szCs w:val="32"/>
        </w:rPr>
        <w:t>二、供应商资格要求</w:t>
      </w:r>
    </w:p>
    <w:p>
      <w:pPr>
        <w:numPr>
          <w:ilvl w:val="0"/>
          <w:numId w:val="0"/>
        </w:numPr>
        <w:ind w:left="0" w:leftChars="0" w:firstLine="482" w:firstLineChars="200"/>
        <w:rPr>
          <w:rFonts w:hint="eastAsia" w:cs="宋体"/>
          <w:b/>
          <w:bCs/>
          <w:lang w:val="en-US" w:eastAsia="zh-CN"/>
        </w:rPr>
      </w:pPr>
      <w:r>
        <w:rPr>
          <w:rFonts w:hint="eastAsia" w:cs="宋体"/>
          <w:b/>
          <w:bCs/>
          <w:lang w:val="en-US" w:eastAsia="zh-CN"/>
        </w:rPr>
        <w:t>（一）投标人资格条件要求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1、投标人应当具备《政府采购法》第二十二条规定的条件；</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3、单位负责人为同一人或者存在直接控股、管理关系的不同供应商，不得参加同一合同项下的政府采购活动；</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4、为本项目提供整体设计、规范编制或者项目管理、监理、检测等服务的供应商，不得再参加该采购项目的其他采购活动；</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5、本项目不接受联合体投标。</w:t>
      </w:r>
    </w:p>
    <w:p>
      <w:pPr>
        <w:numPr>
          <w:ilvl w:val="0"/>
          <w:numId w:val="0"/>
        </w:numPr>
        <w:ind w:left="0" w:leftChars="0" w:firstLine="482" w:firstLineChars="200"/>
        <w:rPr>
          <w:rFonts w:hint="eastAsia" w:cs="宋体"/>
          <w:b/>
          <w:bCs/>
          <w:lang w:val="en-US" w:eastAsia="zh-CN"/>
        </w:rPr>
      </w:pPr>
      <w:r>
        <w:rPr>
          <w:rFonts w:hint="eastAsia" w:cs="宋体"/>
          <w:b/>
          <w:bCs/>
          <w:lang w:val="en-US" w:eastAsia="zh-CN"/>
        </w:rPr>
        <w:t>（二）商务条款要求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1、投标人所投报的产品必须是本国产品，本项目不接受所投报产品为进口产品的响应。（本招标文件中所称进口产品是指通过中国海关报关验放进入中国境内且产自关境外的产品）</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投标人所投报的软件需为正版软件。采购人拥有本项目软件的使用、修订和复制永久特许权，毋需另外缴付版权费用。如使用第三方软件、控件和其他依赖库等，投标人应进行标注声明，并承诺具有相应的使用权、修改权和升级权。</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3、投标人必须接受采购人指定监理单位的监理，投标人应积极配合监理单位的工作，保证项目质量。投标人不需要承担本项目的监理费。</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4、投标金额应为人民币含税全包价，包括系统的设计、开发、测试、运输、安装调试、验收、培训、售后服务及相关服务等一切费用。</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5、售后服务：</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（1）本项目业务运营和重点保障服务期为1年，自项目验收通过之日起计算。</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（2）系统发生故障后，设立专门技术支持及售后服务热线，保障系统正常、稳定运行。</w:t>
      </w:r>
    </w:p>
    <w:p>
      <w:pPr>
        <w:pStyle w:val="16"/>
        <w:ind w:right="-30" w:firstLine="482" w:firstLineChars="150"/>
        <w:rPr>
          <w:rFonts w:hint="eastAsia" w:ascii="黑体" w:hAnsi="黑体" w:eastAsia="黑体"/>
          <w:b/>
          <w:color w:val="000000"/>
          <w:sz w:val="32"/>
          <w:szCs w:val="32"/>
        </w:rPr>
      </w:pPr>
      <w:r>
        <w:rPr>
          <w:rFonts w:hint="eastAsia" w:ascii="黑体" w:hAnsi="黑体" w:eastAsia="黑体"/>
          <w:b/>
          <w:color w:val="000000"/>
          <w:sz w:val="32"/>
          <w:szCs w:val="32"/>
        </w:rPr>
        <w:t>三、</w:t>
      </w:r>
      <w:r>
        <w:rPr>
          <w:rFonts w:hint="eastAsia" w:ascii="黑体" w:hAnsi="黑体" w:eastAsia="黑体"/>
          <w:b/>
          <w:color w:val="000000"/>
          <w:sz w:val="32"/>
          <w:szCs w:val="32"/>
        </w:rPr>
        <w:tab/>
      </w:r>
      <w:r>
        <w:rPr>
          <w:rFonts w:hint="eastAsia" w:ascii="黑体" w:hAnsi="黑体" w:eastAsia="黑体"/>
          <w:b/>
          <w:color w:val="000000"/>
          <w:sz w:val="32"/>
          <w:szCs w:val="32"/>
        </w:rPr>
        <w:t>服务内容</w:t>
      </w:r>
    </w:p>
    <w:p>
      <w:pPr>
        <w:numPr>
          <w:ilvl w:val="0"/>
          <w:numId w:val="0"/>
        </w:numPr>
        <w:ind w:left="0" w:leftChars="0" w:firstLine="482" w:firstLineChars="200"/>
        <w:rPr>
          <w:rFonts w:hint="eastAsia" w:cs="宋体"/>
          <w:b/>
          <w:bCs/>
          <w:lang w:val="en-US" w:eastAsia="zh-CN"/>
        </w:rPr>
      </w:pPr>
      <w:r>
        <w:rPr>
          <w:rFonts w:hint="eastAsia" w:cs="宋体"/>
          <w:b/>
          <w:bCs/>
          <w:lang w:val="en-US" w:eastAsia="zh-CN"/>
        </w:rPr>
        <w:t>（一）项目概况</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1、建设目标</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以习近平新时代中国特色社会主义思想为指导，全面贯彻党的十九大和十九届二中、三中、四中全会精神，深入贯彻习近平总书记全面依法治国新理念新思想新战略，认真学习贯彻习近平总书记对广东重要讲话和重要指示批示精神，以规范行政处罚、行政强制、行政检查为重点，按照职权法定、统筹规划、强化应用、公开透明的基本原则，围绕“规范行政执法行为、提高行政执法效能、汇聚行政执法数据、强化行政执法监督”四大目标，充分发挥“数字政府”平台支撑作用，加快行政执法信息平台的全面推广使用，持续深化“放管服”改革，为打造法治化营商环境提供坚强保障。具体目标如下：</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按照广东“数字政府”改革集约化建设原则和相关工作的整体部署，结合江门市实际情况，由江门市统一完成全市行政执法信息平台的部署工作，开平市基于全市行政执法信息平台负责完成本级37家执法部门（主体）的实施工作，推动开平市行政执法行为“全过程网上办理”，促进行政执法主体执法效能和执法水平的提升。</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2、建设内容</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本项目建设内容清单如下：</w:t>
      </w:r>
    </w:p>
    <w:tbl>
      <w:tblPr>
        <w:tblStyle w:val="25"/>
        <w:tblW w:w="5000" w:type="pct"/>
        <w:jc w:val="center"/>
        <w:tblLayout w:type="autofit"/>
        <w:tblCellMar>
          <w:top w:w="0" w:type="dxa"/>
          <w:left w:w="0" w:type="dxa"/>
          <w:bottom w:w="0" w:type="dxa"/>
          <w:right w:w="0" w:type="dxa"/>
        </w:tblCellMar>
      </w:tblPr>
      <w:tblGrid>
        <w:gridCol w:w="1100"/>
        <w:gridCol w:w="6251"/>
        <w:gridCol w:w="971"/>
      </w:tblGrid>
      <w:tr>
        <w:tblPrEx>
          <w:tblCellMar>
            <w:top w:w="0" w:type="dxa"/>
            <w:left w:w="0" w:type="dxa"/>
            <w:bottom w:w="0" w:type="dxa"/>
            <w:right w:w="0" w:type="dxa"/>
          </w:tblCellMar>
        </w:tblPrEx>
        <w:trPr>
          <w:trHeight w:val="468"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序号</w:t>
            </w:r>
          </w:p>
        </w:tc>
        <w:tc>
          <w:tcPr>
            <w:tcW w:w="375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项目建设内容</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numPr>
                <w:ilvl w:val="0"/>
                <w:numId w:val="0"/>
              </w:numPr>
              <w:rPr>
                <w:rFonts w:hint="eastAsia" w:cs="宋体"/>
                <w:b w:val="0"/>
                <w:bCs w:val="0"/>
                <w:lang w:val="en-US" w:eastAsia="zh-CN"/>
              </w:rPr>
            </w:pPr>
            <w:r>
              <w:rPr>
                <w:rFonts w:hint="eastAsia" w:cs="宋体"/>
                <w:b w:val="0"/>
                <w:bCs w:val="0"/>
                <w:lang w:val="en-US" w:eastAsia="zh-CN"/>
              </w:rPr>
              <w:t>数量</w:t>
            </w:r>
          </w:p>
        </w:tc>
      </w:tr>
      <w:tr>
        <w:tblPrEx>
          <w:tblCellMar>
            <w:top w:w="0" w:type="dxa"/>
            <w:left w:w="0" w:type="dxa"/>
            <w:bottom w:w="0" w:type="dxa"/>
            <w:right w:w="0" w:type="dxa"/>
          </w:tblCellMar>
        </w:tblPrEx>
        <w:trPr>
          <w:trHeight w:val="20" w:hRule="atLeast"/>
          <w:jc w:val="center"/>
        </w:trPr>
        <w:tc>
          <w:tcPr>
            <w:tcW w:w="661" w:type="pct"/>
            <w:tcBorders>
              <w:top w:val="nil"/>
              <w:left w:val="single" w:color="000000" w:sz="4" w:space="0"/>
              <w:bottom w:val="single" w:color="auto" w:sz="4" w:space="0"/>
              <w:right w:val="single" w:color="000000"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w:t>
            </w:r>
          </w:p>
        </w:tc>
        <w:tc>
          <w:tcPr>
            <w:tcW w:w="3755" w:type="pct"/>
            <w:tcBorders>
              <w:top w:val="nil"/>
              <w:left w:val="nil"/>
              <w:bottom w:val="single" w:color="auto" w:sz="4" w:space="0"/>
              <w:right w:val="single" w:color="000000"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执法部门上线服务</w:t>
            </w:r>
          </w:p>
        </w:tc>
        <w:tc>
          <w:tcPr>
            <w:tcW w:w="583" w:type="pct"/>
            <w:tcBorders>
              <w:top w:val="nil"/>
              <w:left w:val="nil"/>
              <w:bottom w:val="single" w:color="auto" w:sz="4" w:space="0"/>
              <w:right w:val="single" w:color="000000"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1项</w:t>
            </w:r>
          </w:p>
        </w:tc>
      </w:tr>
      <w:tr>
        <w:tblPrEx>
          <w:tblCellMar>
            <w:top w:w="0" w:type="dxa"/>
            <w:left w:w="0" w:type="dxa"/>
            <w:bottom w:w="0" w:type="dxa"/>
            <w:right w:w="0" w:type="dxa"/>
          </w:tblCellMar>
        </w:tblPrEx>
        <w:trPr>
          <w:trHeight w:val="20" w:hRule="atLeast"/>
          <w:jc w:val="center"/>
        </w:trPr>
        <w:tc>
          <w:tcPr>
            <w:tcW w:w="661"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w:t>
            </w:r>
          </w:p>
        </w:tc>
        <w:tc>
          <w:tcPr>
            <w:tcW w:w="3755"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系统培训服务</w:t>
            </w:r>
          </w:p>
        </w:tc>
        <w:tc>
          <w:tcPr>
            <w:tcW w:w="583"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1项</w:t>
            </w:r>
          </w:p>
        </w:tc>
      </w:tr>
      <w:tr>
        <w:tblPrEx>
          <w:tblCellMar>
            <w:top w:w="0" w:type="dxa"/>
            <w:left w:w="0" w:type="dxa"/>
            <w:bottom w:w="0" w:type="dxa"/>
            <w:right w:w="0" w:type="dxa"/>
          </w:tblCellMar>
        </w:tblPrEx>
        <w:trPr>
          <w:trHeight w:val="20" w:hRule="atLeast"/>
          <w:jc w:val="center"/>
        </w:trPr>
        <w:tc>
          <w:tcPr>
            <w:tcW w:w="661"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3</w:t>
            </w:r>
          </w:p>
        </w:tc>
        <w:tc>
          <w:tcPr>
            <w:tcW w:w="3755"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业务运营服务</w:t>
            </w:r>
          </w:p>
        </w:tc>
        <w:tc>
          <w:tcPr>
            <w:tcW w:w="583"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1项</w:t>
            </w:r>
          </w:p>
        </w:tc>
      </w:tr>
      <w:tr>
        <w:tblPrEx>
          <w:tblCellMar>
            <w:top w:w="0" w:type="dxa"/>
            <w:left w:w="0" w:type="dxa"/>
            <w:bottom w:w="0" w:type="dxa"/>
            <w:right w:w="0" w:type="dxa"/>
          </w:tblCellMar>
        </w:tblPrEx>
        <w:trPr>
          <w:trHeight w:val="20" w:hRule="atLeast"/>
          <w:jc w:val="center"/>
        </w:trPr>
        <w:tc>
          <w:tcPr>
            <w:tcW w:w="661"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4</w:t>
            </w:r>
          </w:p>
        </w:tc>
        <w:tc>
          <w:tcPr>
            <w:tcW w:w="3755"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镇街下放权责清单在“两平台”应用</w:t>
            </w:r>
          </w:p>
        </w:tc>
        <w:tc>
          <w:tcPr>
            <w:tcW w:w="583"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1项</w:t>
            </w:r>
          </w:p>
        </w:tc>
      </w:tr>
      <w:tr>
        <w:tblPrEx>
          <w:tblCellMar>
            <w:top w:w="0" w:type="dxa"/>
            <w:left w:w="0" w:type="dxa"/>
            <w:bottom w:w="0" w:type="dxa"/>
            <w:right w:w="0" w:type="dxa"/>
          </w:tblCellMar>
        </w:tblPrEx>
        <w:trPr>
          <w:trHeight w:val="20" w:hRule="atLeast"/>
          <w:jc w:val="center"/>
        </w:trPr>
        <w:tc>
          <w:tcPr>
            <w:tcW w:w="661"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5</w:t>
            </w:r>
          </w:p>
        </w:tc>
        <w:tc>
          <w:tcPr>
            <w:tcW w:w="3755"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推广实施服务</w:t>
            </w:r>
          </w:p>
        </w:tc>
        <w:tc>
          <w:tcPr>
            <w:tcW w:w="583"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1项</w:t>
            </w:r>
          </w:p>
        </w:tc>
      </w:tr>
      <w:tr>
        <w:tblPrEx>
          <w:tblCellMar>
            <w:top w:w="0" w:type="dxa"/>
            <w:left w:w="0" w:type="dxa"/>
            <w:bottom w:w="0" w:type="dxa"/>
            <w:right w:w="0" w:type="dxa"/>
          </w:tblCellMar>
        </w:tblPrEx>
        <w:trPr>
          <w:trHeight w:val="20" w:hRule="atLeast"/>
          <w:jc w:val="center"/>
        </w:trPr>
        <w:tc>
          <w:tcPr>
            <w:tcW w:w="661"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6</w:t>
            </w:r>
          </w:p>
        </w:tc>
        <w:tc>
          <w:tcPr>
            <w:tcW w:w="3755"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重点保障服务</w:t>
            </w:r>
          </w:p>
        </w:tc>
        <w:tc>
          <w:tcPr>
            <w:tcW w:w="583"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1项</w:t>
            </w:r>
          </w:p>
        </w:tc>
      </w:tr>
    </w:tbl>
    <w:p>
      <w:pPr>
        <w:numPr>
          <w:ilvl w:val="0"/>
          <w:numId w:val="0"/>
        </w:numPr>
        <w:ind w:left="0" w:leftChars="0" w:firstLine="480" w:firstLineChars="200"/>
        <w:rPr>
          <w:rFonts w:hint="eastAsia" w:cs="宋体"/>
          <w:b w:val="0"/>
          <w:bCs w:val="0"/>
          <w:lang w:val="en-US" w:eastAsia="zh-CN"/>
        </w:rPr>
      </w:pPr>
    </w:p>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3、实施计划</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本项目面向开平市37家执法部门提供服务，其中，已纳入省试点的5家部门和已纳入江门市行政执法信息平台建设项目的2家部门不再收取执法部门上线服务费用。建设单位清单如下：</w:t>
      </w:r>
    </w:p>
    <w:tbl>
      <w:tblPr>
        <w:tblStyle w:val="25"/>
        <w:tblW w:w="8177" w:type="dxa"/>
        <w:tblInd w:w="236" w:type="dxa"/>
        <w:tblLayout w:type="fixed"/>
        <w:tblCellMar>
          <w:top w:w="0" w:type="dxa"/>
          <w:left w:w="108" w:type="dxa"/>
          <w:bottom w:w="0" w:type="dxa"/>
          <w:right w:w="108" w:type="dxa"/>
        </w:tblCellMar>
      </w:tblPr>
      <w:tblGrid>
        <w:gridCol w:w="744"/>
        <w:gridCol w:w="3356"/>
        <w:gridCol w:w="4077"/>
      </w:tblGrid>
      <w:tr>
        <w:tblPrEx>
          <w:tblCellMar>
            <w:top w:w="0" w:type="dxa"/>
            <w:left w:w="108" w:type="dxa"/>
            <w:bottom w:w="0" w:type="dxa"/>
            <w:right w:w="108" w:type="dxa"/>
          </w:tblCellMar>
        </w:tblPrEx>
        <w:trPr>
          <w:trHeight w:val="348" w:hRule="atLeast"/>
        </w:trPr>
        <w:tc>
          <w:tcPr>
            <w:tcW w:w="817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开平市</w:t>
            </w:r>
          </w:p>
        </w:tc>
      </w:tr>
      <w:tr>
        <w:tblPrEx>
          <w:tblCellMar>
            <w:top w:w="0" w:type="dxa"/>
            <w:left w:w="108" w:type="dxa"/>
            <w:bottom w:w="0" w:type="dxa"/>
            <w:right w:w="108" w:type="dxa"/>
          </w:tblCellMar>
        </w:tblPrEx>
        <w:trPr>
          <w:trHeight w:val="34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序号</w:t>
            </w:r>
          </w:p>
        </w:tc>
        <w:tc>
          <w:tcPr>
            <w:tcW w:w="3356" w:type="dxa"/>
            <w:tcBorders>
              <w:top w:val="nil"/>
              <w:left w:val="nil"/>
              <w:bottom w:val="single" w:color="auto" w:sz="4" w:space="0"/>
              <w:right w:val="single" w:color="auto" w:sz="4" w:space="0"/>
            </w:tcBorders>
            <w:shd w:val="clear" w:color="auto" w:fill="auto"/>
            <w:noWrap/>
            <w:vAlign w:val="center"/>
          </w:tcPr>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部门名称</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r>
              <w:rPr>
                <w:rFonts w:hint="eastAsia" w:cs="宋体"/>
                <w:b w:val="0"/>
                <w:bCs w:val="0"/>
                <w:lang w:val="en-US" w:eastAsia="zh-CN"/>
              </w:rPr>
              <w:t>备注</w:t>
            </w:r>
          </w:p>
        </w:tc>
      </w:tr>
      <w:tr>
        <w:tblPrEx>
          <w:tblCellMar>
            <w:top w:w="0" w:type="dxa"/>
            <w:left w:w="108" w:type="dxa"/>
            <w:bottom w:w="0" w:type="dxa"/>
            <w:right w:w="108" w:type="dxa"/>
          </w:tblCellMar>
        </w:tblPrEx>
        <w:trPr>
          <w:trHeight w:val="276"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开平市人力资源和社会保障局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r>
              <w:rPr>
                <w:rFonts w:hint="eastAsia" w:cs="宋体"/>
                <w:b w:val="0"/>
                <w:bCs w:val="0"/>
                <w:lang w:val="en-US" w:eastAsia="zh-CN"/>
              </w:rPr>
              <w:t>已纳入省试点</w:t>
            </w:r>
          </w:p>
        </w:tc>
      </w:tr>
      <w:tr>
        <w:tblPrEx>
          <w:tblCellMar>
            <w:top w:w="0" w:type="dxa"/>
            <w:left w:w="108" w:type="dxa"/>
            <w:bottom w:w="0" w:type="dxa"/>
            <w:right w:w="108" w:type="dxa"/>
          </w:tblCellMar>
        </w:tblPrEx>
        <w:trPr>
          <w:trHeight w:val="300"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开平市市场监督管理局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r>
              <w:rPr>
                <w:rFonts w:hint="eastAsia" w:cs="宋体"/>
                <w:b w:val="0"/>
                <w:bCs w:val="0"/>
                <w:lang w:val="en-US" w:eastAsia="zh-CN"/>
              </w:rPr>
              <w:t>已纳入江门市行政执法信息平台建设项目</w:t>
            </w: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3</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开平市城市管理和综合执法局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r>
              <w:rPr>
                <w:rFonts w:hint="eastAsia" w:cs="宋体"/>
                <w:b w:val="0"/>
                <w:bCs w:val="0"/>
                <w:lang w:val="en-US" w:eastAsia="zh-CN"/>
              </w:rPr>
              <w:t>已纳入江门市行政执法信息平台建设项目</w:t>
            </w: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4</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开平市司法局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5</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开平市交通运输局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6</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开平市农业农村局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7</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开平市文化广电旅游体育局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8</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开平市卫生健康局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9</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开平市林业局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10</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开平市月山镇人民政府</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11</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开平市苍城镇人民政府</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12</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开平市塘口镇人民政府</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13</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开平市赤坎镇人民政府</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14</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开平市发展和改革局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15</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开平市教育局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16</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开平市科工商务局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17</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开平市民政局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18</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开平市财政局</w:t>
            </w:r>
          </w:p>
        </w:tc>
        <w:tc>
          <w:tcPr>
            <w:tcW w:w="4077" w:type="dxa"/>
            <w:tcBorders>
              <w:top w:val="nil"/>
              <w:left w:val="nil"/>
              <w:bottom w:val="single" w:color="auto" w:sz="4" w:space="0"/>
              <w:right w:val="single" w:color="auto" w:sz="4" w:space="0"/>
            </w:tcBorders>
          </w:tcPr>
          <w:p>
            <w:pPr>
              <w:numPr>
                <w:ilvl w:val="0"/>
                <w:numId w:val="0"/>
              </w:numPr>
              <w:ind w:left="0" w:leftChars="0" w:firstLine="480" w:firstLineChars="200"/>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19</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开平市住房和城乡建设局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20</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开平市水利局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21</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开平市应急管理局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22</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开平市统计局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23</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开平市三埠街道办事处</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24</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开平市沙塘镇人民政府</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r>
              <w:rPr>
                <w:rFonts w:hint="eastAsia" w:cs="宋体"/>
                <w:b w:val="0"/>
                <w:bCs w:val="0"/>
                <w:lang w:val="en-US" w:eastAsia="zh-CN"/>
              </w:rPr>
              <w:t>已纳入省试点</w:t>
            </w: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25</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开平市龙胜镇人民政府</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r>
              <w:rPr>
                <w:rFonts w:hint="eastAsia" w:cs="宋体"/>
                <w:b w:val="0"/>
                <w:bCs w:val="0"/>
                <w:lang w:val="en-US" w:eastAsia="zh-CN"/>
              </w:rPr>
              <w:t>已纳入省试点</w:t>
            </w: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26</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开平市大沙镇人民政府</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27</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开平市蚬冈镇人民政府</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28</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开平市金鸡镇人民政府</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29</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开平市赤水镇人民政府</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30</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开平市马冈镇人民政府</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31</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开平市自然资源局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35</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开平市医疗保障局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33</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开平市退役军人事务局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37</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开平市长沙街道办事处</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r>
              <w:rPr>
                <w:rFonts w:hint="eastAsia" w:cs="宋体"/>
                <w:b w:val="0"/>
                <w:bCs w:val="0"/>
                <w:lang w:val="en-US" w:eastAsia="zh-CN"/>
              </w:rPr>
              <w:t>已纳入省试点</w:t>
            </w: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35</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开平市水口镇人民政府</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r>
              <w:rPr>
                <w:rFonts w:hint="eastAsia" w:cs="宋体"/>
                <w:b w:val="0"/>
                <w:bCs w:val="0"/>
                <w:lang w:val="en-US" w:eastAsia="zh-CN"/>
              </w:rPr>
              <w:t>已纳入省试点</w:t>
            </w: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36</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开平市百合镇人民政府</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r>
        <w:tblPrEx>
          <w:tblCellMar>
            <w:top w:w="0" w:type="dxa"/>
            <w:left w:w="108" w:type="dxa"/>
            <w:bottom w:w="0" w:type="dxa"/>
            <w:right w:w="108" w:type="dxa"/>
          </w:tblCellMar>
        </w:tblPrEx>
        <w:trPr>
          <w:trHeight w:val="288"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numPr>
                <w:ilvl w:val="0"/>
                <w:numId w:val="0"/>
              </w:numPr>
              <w:rPr>
                <w:rFonts w:hint="eastAsia" w:cs="宋体"/>
                <w:b w:val="0"/>
                <w:bCs w:val="0"/>
                <w:lang w:val="en-US" w:eastAsia="zh-CN"/>
              </w:rPr>
            </w:pPr>
            <w:r>
              <w:rPr>
                <w:rFonts w:hint="eastAsia" w:cs="宋体"/>
                <w:b w:val="0"/>
                <w:bCs w:val="0"/>
                <w:lang w:val="en-US" w:eastAsia="zh-CN"/>
              </w:rPr>
              <w:t>37</w:t>
            </w:r>
          </w:p>
        </w:tc>
        <w:tc>
          <w:tcPr>
            <w:tcW w:w="3356" w:type="dxa"/>
            <w:tcBorders>
              <w:top w:val="nil"/>
              <w:left w:val="nil"/>
              <w:bottom w:val="single" w:color="auto" w:sz="4" w:space="0"/>
              <w:right w:val="single" w:color="auto" w:sz="4" w:space="0"/>
            </w:tcBorders>
            <w:shd w:val="clear" w:color="auto" w:fill="auto"/>
            <w:vAlign w:val="center"/>
          </w:tcPr>
          <w:p>
            <w:pPr>
              <w:numPr>
                <w:ilvl w:val="0"/>
                <w:numId w:val="0"/>
              </w:numPr>
              <w:rPr>
                <w:rFonts w:hint="eastAsia" w:cs="宋体"/>
                <w:b w:val="0"/>
                <w:bCs w:val="0"/>
                <w:lang w:val="en-US" w:eastAsia="zh-CN"/>
              </w:rPr>
            </w:pPr>
            <w:r>
              <w:rPr>
                <w:rFonts w:hint="eastAsia" w:cs="宋体"/>
                <w:b w:val="0"/>
                <w:bCs w:val="0"/>
                <w:lang w:val="en-US" w:eastAsia="zh-CN"/>
              </w:rPr>
              <w:t>江门市生态环境局开平分局</w:t>
            </w:r>
          </w:p>
        </w:tc>
        <w:tc>
          <w:tcPr>
            <w:tcW w:w="4077" w:type="dxa"/>
            <w:tcBorders>
              <w:top w:val="nil"/>
              <w:left w:val="nil"/>
              <w:bottom w:val="single" w:color="auto" w:sz="4" w:space="0"/>
              <w:right w:val="single" w:color="auto" w:sz="4" w:space="0"/>
            </w:tcBorders>
          </w:tcPr>
          <w:p>
            <w:pPr>
              <w:numPr>
                <w:ilvl w:val="0"/>
                <w:numId w:val="0"/>
              </w:numPr>
              <w:rPr>
                <w:rFonts w:hint="eastAsia" w:cs="宋体"/>
                <w:b w:val="0"/>
                <w:bCs w:val="0"/>
                <w:lang w:val="en-US" w:eastAsia="zh-CN"/>
              </w:rPr>
            </w:pPr>
          </w:p>
        </w:tc>
      </w:tr>
    </w:tbl>
    <w:p>
      <w:pPr>
        <w:numPr>
          <w:ilvl w:val="0"/>
          <w:numId w:val="0"/>
        </w:numPr>
        <w:ind w:left="0" w:leftChars="0" w:firstLine="480" w:firstLineChars="200"/>
        <w:rPr>
          <w:rFonts w:hint="eastAsia" w:cs="宋体"/>
          <w:b w:val="0"/>
          <w:bCs w:val="0"/>
          <w:lang w:val="en-US" w:eastAsia="zh-CN"/>
        </w:rPr>
      </w:pPr>
    </w:p>
    <w:p>
      <w:pPr>
        <w:numPr>
          <w:ilvl w:val="0"/>
          <w:numId w:val="0"/>
        </w:numPr>
        <w:ind w:left="0" w:leftChars="0" w:firstLine="482" w:firstLineChars="200"/>
        <w:rPr>
          <w:rFonts w:hint="eastAsia" w:cs="宋体"/>
          <w:b/>
          <w:bCs/>
          <w:lang w:val="en-US" w:eastAsia="zh-CN"/>
        </w:rPr>
      </w:pPr>
      <w:r>
        <w:rPr>
          <w:rFonts w:hint="eastAsia" w:cs="宋体"/>
          <w:b/>
          <w:bCs/>
          <w:lang w:val="en-US" w:eastAsia="zh-CN"/>
        </w:rPr>
        <w:t>（二）项目需求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1、用户需求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平台的用户主要分为三类：</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第一类，是行政执法单位与执法人员（包括现场执法人员和检查审批人员、处罚审批人员、强制审批人员、听证审批人员、法制审批人员等）；</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第二类，是行政执法单位领导与内部监督人员；</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第三类，是系统管理员和系统运营人员。</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2、业务需求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本次项目的业务需求是在《指导意见》的指导下执行，并以《中华人民共和国行政处罚法》《中华人民共和国行政强制法》《广东省行政处罚听证程序实施办法》《广东省规范行政处罚自由裁量权规定》《广东省行政执法监督条例》《广东省〈行政执法证〉管理办法》《广东省行政执法公示办法（试行）》《广东省行政执法全过程记录办法（试行）》《广东省重大行政执法决定法制审核办法》等作为业务需求分析的依据，打造行政执法信息平台，其核心业务是主要包括案源管理、行政检查、行政处罚和行政强制、移动执法等内容。主要面向各级行政执法机关（包括行政执法主体、受委托执法主体等）、执法人员（包括持有国家执法证和广东省执法证的执法人员）、法制审核人员等。</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当前全市执法领域存在执法程序不规范、文书标准不统一、数据共享监督难、多头重复执法、业务协同难、系统分散建设、取证难、送达难等问题，迫切需要建立一套规范且完善的行政执法信息化体系，为一线执法人员和执法部门领导提供业务支撑，实现案源管理、行政检查、行政处罚、行政强制等业务的规范化办理，并在提升办案效率同时，实现各领域执法部门之间的数据共享和为监督部门提供执法全过程数据辅助监督工作高效开展。</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3、系统功能组成要求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行政执法信息平台功能需求：依据业务需求分析，行政执法信息平台的功能应包括：案源管理、行政检查、行政处罚、行政强制、执法业务信息管理、预警督办、执法公示管理、文书管理及应用，并提供面向执法部门用户登录、执法人员和单位领导的工作台。</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移动执法平台功能需求：依据业务需求分析，移动执法系统的功能应包括首页、移动审批应用、案源登记、行政检查移动应用、行政处罚移动应用、行政强制移动应用、执法证据管理、个人模板管理、执法辅助应用等内容，实现行政检查、行政处罚、行政强制业务移动办理，提升执法人员执法效率。</w:t>
      </w:r>
    </w:p>
    <w:p>
      <w:pPr>
        <w:numPr>
          <w:ilvl w:val="0"/>
          <w:numId w:val="0"/>
        </w:numPr>
        <w:ind w:left="0" w:leftChars="0" w:firstLine="482" w:firstLineChars="200"/>
        <w:rPr>
          <w:rFonts w:hint="eastAsia" w:cs="宋体"/>
          <w:b/>
          <w:bCs/>
          <w:lang w:val="en-US" w:eastAsia="zh-CN"/>
        </w:rPr>
      </w:pPr>
      <w:r>
        <w:rPr>
          <w:rFonts w:hint="eastAsia" w:cs="宋体"/>
          <w:b/>
          <w:bCs/>
          <w:lang w:val="en-US" w:eastAsia="zh-CN"/>
        </w:rPr>
        <w:t>（三）架构要求</w:t>
      </w:r>
    </w:p>
    <w:p>
      <w:pPr>
        <w:numPr>
          <w:ilvl w:val="0"/>
          <w:numId w:val="0"/>
        </w:numPr>
        <w:ind w:left="0" w:leftChars="0" w:firstLine="482" w:firstLineChars="200"/>
        <w:rPr>
          <w:rFonts w:hint="eastAsia" w:cs="宋体"/>
          <w:b/>
          <w:bCs/>
          <w:lang w:val="en-US" w:eastAsia="zh-CN"/>
        </w:rPr>
      </w:pPr>
      <w:r>
        <w:rPr>
          <w:rFonts w:hint="eastAsia" w:cs="宋体"/>
          <w:b/>
          <w:bCs/>
          <w:lang w:val="en-US" w:eastAsia="zh-CN"/>
        </w:rPr>
        <w:t>总体架构要求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总体架构包括基础层、数据存储层、公共支撑层、应用支撑层、业务应用层、服务门户层等内容组成，在标准规范体系和安全保障体系下为用户提供服务。</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1、基础层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系统利用安全可靠的政务云部署，完备、成熟的政务云配套资源为江门市行政执法信息平台提供完整的安全等保支撑。</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2、数据存储层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数据存储层包含本项目平台所需的全部业务数据和基础数据，子库分别有法律法规库、执法事项库、执法主体及人员库、执法信息库等。</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3、公共支撑层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公共支撑层包括数字政府提供的各类公共支撑能力，如省统一身份认证、电子印章、粤政图、粤信签、粤政易、人口基础信息库、法人单位基础信息库等，可快速复用数字政府建设成果，节约信息化建设成本。</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4、应用支撑层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应用支撑层助力平台应用的快速开发，包括了应用服务管理、附件中心、表单设计工具、工作流平台等，可支持基础应用及组件的复用。</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5、业务应用层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业务应用层涵盖了行政执法信息平台的核心内容，包括了执法人员和单位领导工作台、案源管理、行政检查业务应用、行政处罚业务应用、行政强制业务应用、预警督办、执法业务信息管理、执法公示管理、文书管理及应用等内容。</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6、服务门户层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服务门户层主要包括行政执法服务门户、移动执法服务门户，移动执法服务门户将以粤政易作为统一入口，充分顺应数字政府改革趋势。</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7、技术架构要求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技术架构风格是“厚平台、薄应用”，办案流程、现场执法、依据设立、公示等执法业务场景均由统一的服务中心支撑。基于统一的后台体系，这些系统或应用不需要任何对接成本就先天打通。同时，复用这些平台能力有助于快速开发其它执法业务领域的应用。</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8、网络架构要求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互联网接入区服务器，主要部署行政执法信息平台、和基于粤政易的移动执法平台；</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政务外网区。政务外网接入服务器部署行政执法信息平台前端应用，政务外网区微服务集群部署行政执法信息平台的后端业务应用，应用支撑服务器用于部署基础应用支撑平台，数据存储服务器用于存放结构化数据及非结构化数据，另外还有与大数据中心交互的交换库等资源。</w:t>
      </w:r>
    </w:p>
    <w:p>
      <w:pPr>
        <w:numPr>
          <w:ilvl w:val="0"/>
          <w:numId w:val="0"/>
        </w:numPr>
        <w:ind w:left="0" w:leftChars="0" w:firstLine="482" w:firstLineChars="200"/>
        <w:rPr>
          <w:rFonts w:hint="eastAsia" w:cs="宋体"/>
          <w:b/>
          <w:bCs/>
          <w:lang w:val="en-US" w:eastAsia="zh-CN"/>
        </w:rPr>
      </w:pPr>
      <w:r>
        <w:rPr>
          <w:rFonts w:hint="eastAsia" w:cs="宋体"/>
          <w:b/>
          <w:bCs/>
          <w:lang w:val="en-US" w:eastAsia="zh-CN"/>
        </w:rPr>
        <w:t>技术路线要求</w:t>
      </w:r>
    </w:p>
    <w:p>
      <w:pPr>
        <w:numPr>
          <w:ilvl w:val="0"/>
          <w:numId w:val="0"/>
        </w:numPr>
        <w:ind w:left="0" w:leftChars="0" w:firstLine="480" w:firstLineChars="200"/>
        <w:rPr>
          <w:rFonts w:hint="eastAsia" w:cs="宋体"/>
          <w:b w:val="0"/>
          <w:bCs w:val="0"/>
          <w:lang w:val="en-US" w:eastAsia="zh-CN"/>
        </w:rPr>
      </w:pPr>
      <w:bookmarkStart w:id="0" w:name="_Toc22428"/>
      <w:bookmarkStart w:id="1" w:name="_Toc25028"/>
      <w:bookmarkStart w:id="2" w:name="_Toc15069"/>
      <w:r>
        <w:rPr>
          <w:rFonts w:hint="eastAsia" w:cs="宋体"/>
          <w:b w:val="0"/>
          <w:bCs w:val="0"/>
          <w:lang w:val="en-US" w:eastAsia="zh-CN"/>
        </w:rPr>
        <w:t>1、前端技术</w:t>
      </w:r>
      <w:bookmarkEnd w:id="0"/>
      <w:bookmarkEnd w:id="1"/>
      <w:bookmarkEnd w:id="2"/>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前端方面选择轻量级VUEJS库结合ElementUI组件可以把前后台完全分离，前端开发人员只负责前端页面开发，后端开发人员负责数据服务开发。通过前端数据的双向绑定实现数据与结构的分离，提高开发效率且易于浏览器的加载，与微服务架构是目前较为主流和高效的技术组合。</w:t>
      </w:r>
    </w:p>
    <w:p>
      <w:pPr>
        <w:numPr>
          <w:ilvl w:val="0"/>
          <w:numId w:val="0"/>
        </w:numPr>
        <w:ind w:left="0" w:leftChars="0" w:firstLine="480" w:firstLineChars="200"/>
        <w:rPr>
          <w:rFonts w:hint="eastAsia" w:cs="宋体"/>
          <w:b w:val="0"/>
          <w:bCs w:val="0"/>
          <w:lang w:val="en-US" w:eastAsia="zh-CN"/>
        </w:rPr>
      </w:pPr>
      <w:bookmarkStart w:id="3" w:name="_Toc4774"/>
      <w:bookmarkStart w:id="4" w:name="_Toc27052"/>
      <w:bookmarkStart w:id="5" w:name="_Toc31996"/>
      <w:r>
        <w:rPr>
          <w:rFonts w:hint="eastAsia" w:cs="宋体"/>
          <w:b w:val="0"/>
          <w:bCs w:val="0"/>
          <w:lang w:val="en-US" w:eastAsia="zh-CN"/>
        </w:rPr>
        <w:t>2、接入层网关技术</w:t>
      </w:r>
      <w:bookmarkEnd w:id="3"/>
      <w:bookmarkEnd w:id="4"/>
      <w:bookmarkEnd w:id="5"/>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网关提供了接入层服务能力，使边缘服务与核心业务解耦，提升服务化组件的复用性。网关是整个服务化体系的总流量入口，对并发性有更高的要求。所以使用了异步非阻塞架构，涉及到的技术包括：Netty、Reactor、SpringWebflux、SpringCloudGateway。</w:t>
      </w:r>
    </w:p>
    <w:p>
      <w:pPr>
        <w:numPr>
          <w:ilvl w:val="0"/>
          <w:numId w:val="0"/>
        </w:numPr>
        <w:ind w:left="0" w:leftChars="0" w:firstLine="480" w:firstLineChars="200"/>
        <w:rPr>
          <w:rFonts w:hint="eastAsia" w:cs="宋体"/>
          <w:b w:val="0"/>
          <w:bCs w:val="0"/>
          <w:lang w:val="en-US" w:eastAsia="zh-CN"/>
        </w:rPr>
      </w:pPr>
      <w:bookmarkStart w:id="6" w:name="_Toc31802"/>
      <w:bookmarkStart w:id="7" w:name="_Toc13886"/>
      <w:bookmarkStart w:id="8" w:name="_Toc428"/>
      <w:r>
        <w:rPr>
          <w:rFonts w:hint="eastAsia" w:cs="宋体"/>
          <w:b w:val="0"/>
          <w:bCs w:val="0"/>
          <w:lang w:val="en-US" w:eastAsia="zh-CN"/>
        </w:rPr>
        <w:t>3、基于微服务架构的共享服务</w:t>
      </w:r>
      <w:bookmarkEnd w:id="6"/>
      <w:bookmarkEnd w:id="7"/>
      <w:bookmarkEnd w:id="8"/>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本项目规划了共享服务中心，沉淀业务能力，为不同的上层场景应用提供支持。共享服务中心采用微服务架构构建。</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基于微服务架构进行开发，能更好地适应未来业务发展，每个业务单独包装成一个微服务，数据和代码都从物理上隔离开来，实现高内聚低耦合相对容易，各个微服务组件独立变更，容易实施敏捷开发方法。本项目微服务的技术体系是SpringCloud（NetflixOSS体系）</w:t>
      </w:r>
    </w:p>
    <w:p>
      <w:pPr>
        <w:numPr>
          <w:ilvl w:val="0"/>
          <w:numId w:val="0"/>
        </w:numPr>
        <w:ind w:left="0" w:leftChars="0" w:firstLine="480" w:firstLineChars="200"/>
        <w:rPr>
          <w:rFonts w:hint="eastAsia" w:cs="宋体"/>
          <w:b w:val="0"/>
          <w:bCs w:val="0"/>
          <w:lang w:val="en-US" w:eastAsia="zh-CN"/>
        </w:rPr>
      </w:pPr>
      <w:bookmarkStart w:id="9" w:name="_Toc14833"/>
      <w:bookmarkStart w:id="10" w:name="_Toc32452"/>
      <w:bookmarkStart w:id="11" w:name="_Toc20482"/>
      <w:r>
        <w:rPr>
          <w:rFonts w:hint="eastAsia" w:cs="宋体"/>
          <w:b w:val="0"/>
          <w:bCs w:val="0"/>
          <w:lang w:val="en-US" w:eastAsia="zh-CN"/>
        </w:rPr>
        <w:t>4、数据库技术</w:t>
      </w:r>
      <w:bookmarkEnd w:id="9"/>
      <w:bookmarkEnd w:id="10"/>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本平台采用MySQL数据库作为标准的业务数据库。结合Mysql主从复制、MyCat代理中间件等技术实现基于读写分离机制的数据库集群。Mycat中间件作为数据库代理，使整个集群如单个数据库实例一样为客户端提供服务。MyCat内部实现了读写路由，把SQL操作按规则分发到后端数据库实例。组成集群的Mysql实例基于bilog日志进行主从复制，采用一主多从架构进行数据同步。</w:t>
      </w:r>
      <w:bookmarkEnd w:id="11"/>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5、容器化部署运行</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在行政执法信息平台所部署的云IaaS之上建立了容器集群，用于部署和运行应用。在容器集群环境下，不同应用通过轻量级的隔离技术进行隔离，微服务单元以容器为载体调度到合适的虚拟机中运行。</w:t>
      </w:r>
    </w:p>
    <w:p>
      <w:pPr>
        <w:numPr>
          <w:ilvl w:val="0"/>
          <w:numId w:val="0"/>
        </w:numPr>
        <w:ind w:left="0" w:leftChars="0" w:firstLine="482" w:firstLineChars="200"/>
        <w:rPr>
          <w:rFonts w:hint="eastAsia" w:cs="宋体"/>
          <w:b/>
          <w:bCs/>
          <w:lang w:val="en-US" w:eastAsia="zh-CN"/>
        </w:rPr>
      </w:pPr>
      <w:r>
        <w:rPr>
          <w:rFonts w:hint="eastAsia" w:cs="宋体"/>
          <w:b/>
          <w:bCs/>
          <w:lang w:val="en-US" w:eastAsia="zh-CN"/>
        </w:rPr>
        <w:t>（四）执法部门上线服务要求</w:t>
      </w:r>
      <w:r>
        <w:rPr>
          <w:rFonts w:hint="eastAsia" w:cs="宋体"/>
          <w:b/>
          <w:bCs/>
          <w:lang w:val="en-US" w:eastAsia="zh-CN"/>
        </w:rPr>
        <w:tab/>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开平市共有37家执法部门，其中，已纳入省试点的5家部门和已纳入江门市行政执法信息平台建设项目的2家部门不再收取上线服务费用，因此本项目需完成30家执法部门的上线工作，服务内容包括执法部门上线实施方案编写、上线部门业务数据配置、配置检查确认及反馈、上线学习培训。</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1、执法部门上线实施方案编写</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完成执法部门上线实施方案编写工作，服务内容包括：编写并回收调研材料；与统一身份认证系统中的人员信息、部门及科室信息核对，不一致的信息反馈至部门进行二次确认；调研材料整理、汇总分析，编写单位上线实施方案。</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2、上线部门业务数据配置</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完成单位及科室数据同步，人员筛选及信息同步，检查、确认；人员角色权限初始化；电子印章初始化；案号规则初始化；执法归档业务配置；公示业务及内部监督机构、案件查询范围配置。</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3、配置检查确认及反馈</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完成配置检查确认、配置报告及使用指南编写发送工作。</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4、上线学习培训</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提供教学操作录屏材料，执法部门自行组织学习。</w:t>
      </w:r>
    </w:p>
    <w:p>
      <w:pPr>
        <w:numPr>
          <w:ilvl w:val="0"/>
          <w:numId w:val="0"/>
        </w:numPr>
        <w:ind w:left="0" w:leftChars="0" w:firstLine="482" w:firstLineChars="200"/>
        <w:rPr>
          <w:rFonts w:hint="eastAsia" w:cs="宋体"/>
          <w:b/>
          <w:bCs/>
          <w:lang w:val="en-US" w:eastAsia="zh-CN"/>
        </w:rPr>
      </w:pPr>
      <w:r>
        <w:rPr>
          <w:rFonts w:hint="eastAsia" w:cs="宋体"/>
          <w:b/>
          <w:bCs/>
          <w:lang w:val="en-US" w:eastAsia="zh-CN"/>
        </w:rPr>
        <w:t>（五）其他专项服务要求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1、系统培训服务要求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提供35场执法人员集中式授课培训，1场管理员集中式授课培训，每场培训时长约为4课时，培训内容具体包括：</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对行政执法“两平台”项目进行总体介绍；</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对执法办案系统的设计理念、办案流程、文书设计等进行介绍；</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对系统基本功能进行介绍；</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对行政处罚、行政强制、行政检查三类案件详细办理进行介绍、演示；</w:t>
      </w:r>
    </w:p>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对移动执法应用及案件办理进行介绍和演示；</w:t>
      </w:r>
    </w:p>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对法律法规库、执法事项库、案件公示、案件监督等执法办案相关系统培训进行介绍；</w:t>
      </w:r>
    </w:p>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对单位相关配置进行介绍。</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2、业务运营服务要求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为辅助执法部门能快速适应使用“两平台”进行行政检查、行政处罚、行政强制三类行政权力的全过程网上办案，成交供应商需要向执法部门提供业务运营服务，及时响应并解决执法人员使用过程中出现的问题。</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自项目验收通过之日起，成交供应商需要为本项目提供为期1年的远程业务运营服务，服务时间为周一到周日8:00-18:00，服务内容包括：系统使用咨询响应服务、业务数据处理、人员及组织配置动态调整、执法部门业务配置动态调整、功能需求登记分析反馈、运营台账编写。</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3、镇街下放权责清单在“两平台”应用</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成交供应商需根据司法局提供的下放镇街事项清单，梳理事项所涉及的法律法规依据，及对各类编码、基本要素等进行核对，形成下放镇街执法单位的实施事项清单，并经司法局核对确认后，完成在“两平台”事项库的初始化导入工作。</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4、推广实施服务要求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在项目建设实施期间，成交供应商需安排1名项目经理或实施经理提供推广实施服务，配合建设管理单位进行项目推广实施工作，与建设管理单位沟通协调，保障项目质量。工作内容包括阶段驻场、到现场召开会议、配合完成项目各项验收工作等。</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5、重点保障服务</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自项目验收通过之日起，为开平市提供为期1年的周末及法定节假日的执法平台运维保障服务，监测平台的运行状况，及时对系统异常情况进行处理，保障系统稳定运行。</w:t>
      </w:r>
    </w:p>
    <w:p>
      <w:pPr>
        <w:numPr>
          <w:ilvl w:val="0"/>
          <w:numId w:val="0"/>
        </w:numPr>
        <w:ind w:left="0" w:leftChars="0" w:firstLine="482" w:firstLineChars="200"/>
        <w:rPr>
          <w:rFonts w:hint="eastAsia" w:cs="宋体"/>
          <w:b/>
          <w:bCs/>
          <w:lang w:val="en-US" w:eastAsia="zh-CN"/>
        </w:rPr>
      </w:pPr>
      <w:r>
        <w:rPr>
          <w:rFonts w:hint="eastAsia" w:cs="宋体"/>
          <w:b/>
          <w:bCs/>
          <w:lang w:val="en-US" w:eastAsia="zh-CN"/>
        </w:rPr>
        <w:t>（六）安全保密要求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本项目涉及众多政府部门的业务工作，需要对数据进行安全管理，结合相应的国家政策和项目实际情况，需按国家标准《信息系统安全等级保护定级指南》（GB/T22240-2008），按照等保二级的要求去实施项目工作，保证项目的信息系统安全。</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系统建设必须</w:t>
      </w:r>
      <w:r>
        <w:rPr>
          <w:rFonts w:hint="eastAsia" w:cs="宋体"/>
          <w:b w:val="0"/>
          <w:bCs w:val="0"/>
          <w:lang w:val="en-GB" w:eastAsia="zh-CN"/>
        </w:rPr>
        <w:t>严格遵循国家有关</w:t>
      </w:r>
      <w:r>
        <w:rPr>
          <w:rFonts w:hint="eastAsia" w:cs="宋体"/>
          <w:b w:val="0"/>
          <w:bCs w:val="0"/>
          <w:lang w:val="en-US" w:eastAsia="zh-CN"/>
        </w:rPr>
        <w:t>网络</w:t>
      </w:r>
      <w:r>
        <w:rPr>
          <w:rFonts w:hint="eastAsia" w:cs="宋体"/>
          <w:b w:val="0"/>
          <w:bCs w:val="0"/>
          <w:lang w:val="en-GB" w:eastAsia="zh-CN"/>
        </w:rPr>
        <w:t>安全等级保护、政务外网安全要求等标准规范要求</w:t>
      </w:r>
      <w:r>
        <w:rPr>
          <w:rFonts w:hint="eastAsia" w:cs="宋体"/>
          <w:b w:val="0"/>
          <w:bCs w:val="0"/>
          <w:lang w:val="en-US" w:eastAsia="zh-CN"/>
        </w:rPr>
        <w:t>，按照国家法规实施安全等级保护，加强系统信息安全管理。</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投标人必须确保本项目所有数据的安全，未经采购人同意不得将任何数据泄露给第三方。</w:t>
      </w:r>
    </w:p>
    <w:p>
      <w:pPr>
        <w:numPr>
          <w:ilvl w:val="0"/>
          <w:numId w:val="0"/>
        </w:numPr>
        <w:ind w:left="0" w:leftChars="0" w:firstLine="482" w:firstLineChars="200"/>
        <w:rPr>
          <w:rFonts w:hint="eastAsia" w:cs="宋体"/>
          <w:b/>
          <w:bCs/>
          <w:lang w:val="en-US" w:eastAsia="zh-CN"/>
        </w:rPr>
      </w:pPr>
      <w:bookmarkStart w:id="12" w:name="_Toc489262837"/>
      <w:r>
        <w:rPr>
          <w:rFonts w:hint="eastAsia" w:cs="宋体"/>
          <w:b/>
          <w:bCs/>
          <w:lang w:val="en-US" w:eastAsia="zh-CN"/>
        </w:rPr>
        <w:t>（七）质量保证要求</w:t>
      </w:r>
      <w:bookmarkEnd w:id="12"/>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投标人必须有针对本项目的质量保证体系，制订质量保证计划，记录质量保证活动，并保存和维护这些记录。</w:t>
      </w:r>
    </w:p>
    <w:p>
      <w:pPr>
        <w:numPr>
          <w:ilvl w:val="0"/>
          <w:numId w:val="0"/>
        </w:numPr>
        <w:ind w:left="0" w:leftChars="0" w:firstLine="482" w:firstLineChars="200"/>
        <w:rPr>
          <w:rFonts w:hint="eastAsia" w:cs="宋体"/>
          <w:b/>
          <w:bCs/>
          <w:lang w:val="en-US" w:eastAsia="zh-CN"/>
        </w:rPr>
      </w:pPr>
      <w:bookmarkStart w:id="13" w:name="_Toc489262838"/>
      <w:r>
        <w:rPr>
          <w:rFonts w:hint="eastAsia" w:cs="宋体"/>
          <w:b/>
          <w:bCs/>
          <w:lang w:val="en-US" w:eastAsia="zh-CN"/>
        </w:rPr>
        <w:t>（八）组织管理要求</w:t>
      </w:r>
      <w:bookmarkEnd w:id="13"/>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1、投标人必须成立合理的实施团队，建立健全保障项目顺利实施的各项管理制度和质量保证体系。</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2、投标人必须指定专职于本项目的项目经理，配置相应的项目管理、需求分析、实施、测试、培训、质量保证等人员，保证有足够的高素质人员参加本项目的建设，确保工程顺利实施。</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3、参与本项目的技术人员必须具有承担过政府部门软件实施经验，能够与政府用户进行良好沟通，具备相关产品应用能力。</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4、参与本项目的技术人员必须对本系统相关业务有所熟悉。</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5、投标人应对上述内容列出详细人员计划，包括人员姓名、经验、学历和在本项目中的职责分工等。</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6、投标人应根据项目建设的具体内容和整体工期要求，向业主单位提交切实可行的项目工作计划。</w:t>
      </w:r>
    </w:p>
    <w:p>
      <w:pPr>
        <w:pStyle w:val="16"/>
        <w:ind w:right="-30" w:firstLine="482" w:firstLineChars="150"/>
        <w:rPr>
          <w:rFonts w:hint="eastAsia" w:ascii="黑体" w:hAnsi="黑体" w:eastAsia="黑体"/>
          <w:b/>
          <w:color w:val="000000"/>
          <w:sz w:val="32"/>
          <w:szCs w:val="32"/>
          <w:lang w:val="en-US" w:eastAsia="zh-CN"/>
        </w:rPr>
      </w:pPr>
      <w:bookmarkStart w:id="14" w:name="_Toc32202"/>
      <w:r>
        <w:rPr>
          <w:rFonts w:hint="eastAsia" w:ascii="黑体" w:hAnsi="黑体" w:eastAsia="黑体"/>
          <w:b/>
          <w:color w:val="000000"/>
          <w:sz w:val="32"/>
          <w:szCs w:val="32"/>
          <w:lang w:val="en-US" w:eastAsia="zh-CN"/>
        </w:rPr>
        <w:t>四、项目工期要求</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本项目总工期为2个月，要求在合同签订后1个月内完成执法部门（主体）的上线服务、系统培训服务、镇街下放权责清单在“两平台”应用、推广实施服务工作，系统试运行1个月后进行项目整体验收。验收通过后，进入为期一年的业务运营服务和运维保障服务期。</w:t>
      </w:r>
    </w:p>
    <w:p>
      <w:pPr>
        <w:pStyle w:val="16"/>
        <w:ind w:right="-30" w:firstLine="482" w:firstLineChars="150"/>
        <w:rPr>
          <w:rFonts w:hint="eastAsia" w:ascii="黑体" w:hAnsi="黑体" w:eastAsia="黑体"/>
          <w:b/>
          <w:color w:val="000000"/>
          <w:sz w:val="32"/>
          <w:szCs w:val="32"/>
          <w:lang w:val="en-US" w:eastAsia="zh-CN"/>
        </w:rPr>
      </w:pPr>
      <w:r>
        <w:rPr>
          <w:rFonts w:hint="eastAsia" w:ascii="黑体" w:hAnsi="黑体" w:eastAsia="黑体"/>
          <w:b/>
          <w:color w:val="000000"/>
          <w:sz w:val="32"/>
          <w:szCs w:val="32"/>
          <w:lang w:val="en-US" w:eastAsia="zh-CN"/>
        </w:rPr>
        <w:t>五、验收要求</w:t>
      </w:r>
      <w:bookmarkEnd w:id="14"/>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在完成项目实施工作后，进行系统验收工作。中标人提交项目验收申请，采购人收到申请后10个工作日内组织完成验收，验收通过后正式上线。</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中标人应提交运行稳定可靠的系统，整理装订好项目实施过程中产生的各阶段全部相关文档，与电子文档一并提交。</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交付文档包括不限于：</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1、项目实施方案与计划；</w:t>
      </w:r>
    </w:p>
    <w:p>
      <w:pPr>
        <w:numPr>
          <w:ilvl w:val="0"/>
          <w:numId w:val="0"/>
        </w:numPr>
        <w:ind w:left="0" w:leftChars="0" w:firstLine="480" w:firstLineChars="200"/>
        <w:rPr>
          <w:rFonts w:hint="default" w:cs="宋体"/>
          <w:b w:val="0"/>
          <w:bCs w:val="0"/>
          <w:lang w:val="en-US" w:eastAsia="zh-CN"/>
        </w:rPr>
      </w:pPr>
      <w:r>
        <w:rPr>
          <w:rFonts w:hint="eastAsia" w:cs="宋体"/>
          <w:b w:val="0"/>
          <w:bCs w:val="0"/>
          <w:lang w:val="en-US" w:eastAsia="zh-CN"/>
        </w:rPr>
        <w:t>2、各单位实施配置总结报告；</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3、项目培训方案、培训材料及培训签到表；</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4、系统配置手册；</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5、系统使用说明书；</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6、用户单位使用意见；</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7、系统试运行报告；</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8、验收报告。</w:t>
      </w:r>
    </w:p>
    <w:p>
      <w:pPr>
        <w:pStyle w:val="16"/>
        <w:ind w:right="-30" w:firstLine="482" w:firstLineChars="150"/>
        <w:rPr>
          <w:rFonts w:hint="eastAsia" w:ascii="黑体" w:hAnsi="黑体" w:eastAsia="黑体"/>
          <w:b/>
          <w:color w:val="000000"/>
          <w:sz w:val="32"/>
          <w:szCs w:val="32"/>
          <w:lang w:val="en-US" w:eastAsia="zh-CN"/>
        </w:rPr>
      </w:pPr>
      <w:r>
        <w:rPr>
          <w:rFonts w:hint="eastAsia" w:ascii="黑体" w:hAnsi="黑体" w:eastAsia="黑体"/>
          <w:b/>
          <w:color w:val="000000"/>
          <w:sz w:val="32"/>
          <w:szCs w:val="32"/>
          <w:lang w:val="en-US" w:eastAsia="zh-CN"/>
        </w:rPr>
        <w:t>六、付款方式</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本项目采取分期付款的方式，具体如下：</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（1）第一期款：合同签订生效，且采购人收到成交供应商开具符合国家财务规定的发票后的30个工作日内，将支付项目合同金额的40%给成交供应商。</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（2）第二期款：系统完工整体验收合格，且采购人收到成交供应商开具符合国家财务规定的发票后的30个工作</w:t>
      </w:r>
      <w:bookmarkStart w:id="15" w:name="_GoBack"/>
      <w:bookmarkEnd w:id="15"/>
      <w:r>
        <w:rPr>
          <w:rFonts w:hint="eastAsia" w:cs="宋体"/>
          <w:b w:val="0"/>
          <w:bCs w:val="0"/>
          <w:lang w:val="en-US" w:eastAsia="zh-CN"/>
        </w:rPr>
        <w:t>日内，将支付合同金额的50%给成交供应商。</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（3）第三期款：系统运营运维期满，且采购人收到成交供应商开具符合国家财务规定的发票后的15个工作日内，将支付合同金额的10%给成交供应商。</w:t>
      </w:r>
    </w:p>
    <w:p>
      <w:pPr>
        <w:pStyle w:val="16"/>
        <w:ind w:right="-30" w:firstLine="482" w:firstLineChars="150"/>
        <w:rPr>
          <w:rFonts w:hint="eastAsia" w:ascii="黑体" w:hAnsi="黑体" w:eastAsia="黑体"/>
          <w:b/>
          <w:color w:val="000000"/>
          <w:sz w:val="32"/>
          <w:szCs w:val="32"/>
          <w:lang w:val="en-US" w:eastAsia="zh-CN"/>
        </w:rPr>
      </w:pPr>
      <w:r>
        <w:rPr>
          <w:rFonts w:hint="eastAsia" w:ascii="黑体" w:hAnsi="黑体" w:eastAsia="黑体"/>
          <w:b/>
          <w:color w:val="000000"/>
          <w:sz w:val="32"/>
          <w:szCs w:val="32"/>
          <w:lang w:val="en-US" w:eastAsia="zh-CN"/>
        </w:rPr>
        <w:t>七、服务报价</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本次服务报价最高限价为人民币</w:t>
      </w:r>
      <w:r>
        <w:rPr>
          <w:rFonts w:hint="eastAsia" w:ascii="仿宋" w:hAnsi="仿宋" w:eastAsia="仿宋" w:cs="仿宋"/>
          <w:color w:val="auto"/>
          <w:sz w:val="32"/>
          <w:szCs w:val="32"/>
          <w:highlight w:val="none"/>
          <w:lang w:val="en-US" w:eastAsia="zh-CN"/>
        </w:rPr>
        <w:t>541557.35</w:t>
      </w:r>
      <w:r>
        <w:rPr>
          <w:rFonts w:hint="eastAsia" w:cs="宋体"/>
          <w:b w:val="0"/>
          <w:bCs w:val="0"/>
          <w:lang w:val="en-US" w:eastAsia="zh-CN"/>
        </w:rPr>
        <w:t>元整。供应商的报价不得超出最高限价。</w:t>
      </w:r>
    </w:p>
    <w:p>
      <w:pPr>
        <w:pStyle w:val="16"/>
        <w:ind w:right="-30" w:firstLine="482" w:firstLineChars="150"/>
        <w:rPr>
          <w:rFonts w:hint="eastAsia" w:ascii="黑体" w:hAnsi="黑体" w:eastAsia="黑体"/>
          <w:b/>
          <w:color w:val="000000"/>
          <w:sz w:val="32"/>
          <w:szCs w:val="32"/>
          <w:lang w:val="en-US" w:eastAsia="zh-CN"/>
        </w:rPr>
      </w:pPr>
      <w:r>
        <w:rPr>
          <w:rFonts w:hint="eastAsia" w:ascii="黑体" w:hAnsi="黑体" w:eastAsia="黑体"/>
          <w:b/>
          <w:color w:val="000000"/>
          <w:sz w:val="32"/>
          <w:szCs w:val="32"/>
          <w:lang w:val="en-US" w:eastAsia="zh-CN"/>
        </w:rPr>
        <w:t>八、确定成交供应商</w:t>
      </w:r>
    </w:p>
    <w:p>
      <w:pPr>
        <w:numPr>
          <w:ilvl w:val="0"/>
          <w:numId w:val="0"/>
        </w:numPr>
        <w:ind w:left="0" w:leftChars="0" w:firstLine="480" w:firstLineChars="200"/>
        <w:rPr>
          <w:rFonts w:hint="eastAsia" w:cs="宋体"/>
          <w:b w:val="0"/>
          <w:bCs w:val="0"/>
          <w:lang w:val="en-US" w:eastAsia="zh-CN"/>
        </w:rPr>
      </w:pPr>
      <w:r>
        <w:rPr>
          <w:rFonts w:hint="eastAsia" w:cs="宋体"/>
          <w:b w:val="0"/>
          <w:bCs w:val="0"/>
          <w:lang w:val="en-US" w:eastAsia="zh-CN"/>
        </w:rPr>
        <w:t>若有多家供应商竞价，采购人将综合考虑供应商的服务质量、技术力量、采购信誉度、成功案例（需提供相关的证明材料）等方面进行择优选择，确定为成交供应商。</w:t>
      </w:r>
    </w:p>
    <w:p>
      <w:pPr>
        <w:pStyle w:val="16"/>
        <w:ind w:right="-30" w:firstLine="482" w:firstLineChars="150"/>
        <w:rPr>
          <w:rFonts w:hint="eastAsia" w:ascii="黑体" w:hAnsi="黑体" w:eastAsia="黑体"/>
          <w:b/>
          <w:color w:val="000000"/>
          <w:sz w:val="32"/>
          <w:szCs w:val="32"/>
          <w:lang w:val="en-US" w:eastAsia="zh-CN"/>
        </w:rPr>
      </w:pPr>
      <w:r>
        <w:rPr>
          <w:rFonts w:hint="eastAsia" w:ascii="黑体" w:hAnsi="黑体" w:eastAsia="黑体"/>
          <w:b/>
          <w:color w:val="000000"/>
          <w:sz w:val="32"/>
          <w:szCs w:val="32"/>
          <w:lang w:val="en-US" w:eastAsia="zh-CN"/>
        </w:rPr>
        <w:t>九、评标方法、评标标准：</w:t>
      </w:r>
    </w:p>
    <w:tbl>
      <w:tblPr>
        <w:tblStyle w:val="25"/>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153"/>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Align w:val="center"/>
          </w:tcPr>
          <w:p>
            <w:pPr>
              <w:pStyle w:val="30"/>
              <w:jc w:val="center"/>
              <w:rPr>
                <w:rFonts w:cs="宋体"/>
                <w:szCs w:val="21"/>
              </w:rPr>
            </w:pPr>
            <w:r>
              <w:rPr>
                <w:rFonts w:hint="eastAsia" w:cs="宋体"/>
                <w:szCs w:val="21"/>
              </w:rPr>
              <w:t>评分项目</w:t>
            </w:r>
          </w:p>
        </w:tc>
        <w:tc>
          <w:tcPr>
            <w:tcW w:w="666" w:type="pct"/>
            <w:vAlign w:val="center"/>
          </w:tcPr>
          <w:p>
            <w:pPr>
              <w:pStyle w:val="30"/>
              <w:jc w:val="center"/>
              <w:rPr>
                <w:rFonts w:cs="宋体"/>
                <w:dstrike/>
                <w:szCs w:val="21"/>
              </w:rPr>
            </w:pPr>
            <w:r>
              <w:rPr>
                <w:rFonts w:hint="eastAsia" w:cs="宋体"/>
                <w:szCs w:val="21"/>
              </w:rPr>
              <w:t>评审因素</w:t>
            </w:r>
          </w:p>
        </w:tc>
        <w:tc>
          <w:tcPr>
            <w:tcW w:w="3704" w:type="pct"/>
            <w:vAlign w:val="center"/>
          </w:tcPr>
          <w:p>
            <w:pPr>
              <w:pStyle w:val="30"/>
              <w:jc w:val="center"/>
              <w:rPr>
                <w:rFonts w:cs="宋体"/>
                <w:dstrike/>
                <w:szCs w:val="21"/>
              </w:rPr>
            </w:pPr>
            <w:r>
              <w:rPr>
                <w:rFonts w:hint="eastAsia" w:cs="宋体"/>
                <w:szCs w:val="21"/>
              </w:rPr>
              <w:t>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restart"/>
            <w:vAlign w:val="center"/>
          </w:tcPr>
          <w:p>
            <w:pPr>
              <w:pStyle w:val="30"/>
              <w:jc w:val="center"/>
              <w:rPr>
                <w:rFonts w:cs="宋体"/>
                <w:bCs/>
                <w:szCs w:val="21"/>
              </w:rPr>
            </w:pPr>
            <w:r>
              <w:rPr>
                <w:rFonts w:hint="eastAsia" w:cs="宋体"/>
                <w:bCs/>
                <w:szCs w:val="21"/>
              </w:rPr>
              <w:t>技术评分（</w:t>
            </w:r>
            <w:r>
              <w:rPr>
                <w:rFonts w:cs="宋体"/>
                <w:bCs/>
                <w:szCs w:val="21"/>
              </w:rPr>
              <w:t>60分）</w:t>
            </w:r>
          </w:p>
        </w:tc>
        <w:tc>
          <w:tcPr>
            <w:tcW w:w="666" w:type="pct"/>
            <w:vAlign w:val="center"/>
          </w:tcPr>
          <w:p>
            <w:pPr>
              <w:pStyle w:val="30"/>
              <w:jc w:val="center"/>
              <w:rPr>
                <w:rFonts w:cs="宋体"/>
                <w:szCs w:val="21"/>
              </w:rPr>
            </w:pPr>
            <w:r>
              <w:rPr>
                <w:rFonts w:cs="宋体"/>
                <w:szCs w:val="21"/>
              </w:rPr>
              <w:t>项目（背景、现状</w:t>
            </w:r>
            <w:r>
              <w:rPr>
                <w:rFonts w:hint="eastAsia" w:cs="宋体"/>
                <w:szCs w:val="21"/>
                <w:lang w:val="en-US" w:eastAsia="zh-CN"/>
              </w:rPr>
              <w:t>及存在问题</w:t>
            </w:r>
            <w:r>
              <w:rPr>
                <w:rFonts w:cs="宋体"/>
                <w:szCs w:val="21"/>
              </w:rPr>
              <w:t>、</w:t>
            </w:r>
            <w:r>
              <w:rPr>
                <w:rFonts w:hint="eastAsia" w:cs="宋体"/>
                <w:szCs w:val="21"/>
                <w:lang w:val="en-US" w:eastAsia="zh-CN"/>
              </w:rPr>
              <w:t>建设</w:t>
            </w:r>
            <w:r>
              <w:rPr>
                <w:rFonts w:cs="宋体"/>
                <w:szCs w:val="21"/>
              </w:rPr>
              <w:t>目标）理解</w:t>
            </w:r>
            <w:r>
              <w:rPr>
                <w:rFonts w:hint="eastAsia" w:cs="宋体"/>
                <w:szCs w:val="21"/>
              </w:rPr>
              <w:t>程度</w:t>
            </w:r>
            <w:r>
              <w:rPr>
                <w:rFonts w:cs="宋体"/>
                <w:szCs w:val="21"/>
              </w:rPr>
              <w:t>（</w:t>
            </w:r>
            <w:r>
              <w:rPr>
                <w:rFonts w:hint="eastAsia" w:cs="宋体"/>
                <w:szCs w:val="21"/>
                <w:lang w:val="en-US" w:eastAsia="zh-CN"/>
              </w:rPr>
              <w:t>7</w:t>
            </w:r>
            <w:r>
              <w:rPr>
                <w:rFonts w:cs="宋体"/>
                <w:szCs w:val="21"/>
              </w:rPr>
              <w:t>分）</w:t>
            </w:r>
          </w:p>
        </w:tc>
        <w:tc>
          <w:tcPr>
            <w:tcW w:w="3704" w:type="pct"/>
            <w:vAlign w:val="center"/>
          </w:tcPr>
          <w:p>
            <w:pPr>
              <w:pStyle w:val="30"/>
              <w:jc w:val="both"/>
              <w:rPr>
                <w:rFonts w:cs="宋体"/>
                <w:szCs w:val="21"/>
              </w:rPr>
            </w:pPr>
            <w:r>
              <w:rPr>
                <w:rFonts w:hint="eastAsia" w:cs="宋体"/>
                <w:szCs w:val="21"/>
              </w:rPr>
              <w:t>根据投标人对</w:t>
            </w:r>
            <w:r>
              <w:rPr>
                <w:rFonts w:cs="宋体"/>
                <w:szCs w:val="21"/>
              </w:rPr>
              <w:t>项目（背景、现状</w:t>
            </w:r>
            <w:r>
              <w:rPr>
                <w:rFonts w:hint="eastAsia" w:cs="宋体"/>
                <w:szCs w:val="21"/>
                <w:lang w:val="en-US" w:eastAsia="zh-CN"/>
              </w:rPr>
              <w:t>及存在问题</w:t>
            </w:r>
            <w:r>
              <w:rPr>
                <w:rFonts w:cs="宋体"/>
                <w:szCs w:val="21"/>
              </w:rPr>
              <w:t>、</w:t>
            </w:r>
            <w:r>
              <w:rPr>
                <w:rFonts w:hint="eastAsia" w:cs="宋体"/>
                <w:szCs w:val="21"/>
                <w:lang w:val="en-US" w:eastAsia="zh-CN"/>
              </w:rPr>
              <w:t>建设</w:t>
            </w:r>
            <w:r>
              <w:rPr>
                <w:rFonts w:cs="宋体"/>
                <w:szCs w:val="21"/>
              </w:rPr>
              <w:t>目标</w:t>
            </w:r>
            <w:r>
              <w:rPr>
                <w:rFonts w:hint="eastAsia" w:cs="宋体"/>
                <w:szCs w:val="21"/>
              </w:rPr>
              <w:t>等</w:t>
            </w:r>
            <w:r>
              <w:rPr>
                <w:rFonts w:cs="宋体"/>
                <w:szCs w:val="21"/>
              </w:rPr>
              <w:t>）理解</w:t>
            </w:r>
            <w:r>
              <w:rPr>
                <w:rFonts w:hint="eastAsia" w:cs="宋体"/>
                <w:szCs w:val="21"/>
              </w:rPr>
              <w:t>程度进行综合评审：</w:t>
            </w:r>
          </w:p>
          <w:p>
            <w:pPr>
              <w:pStyle w:val="30"/>
              <w:jc w:val="both"/>
              <w:rPr>
                <w:rFonts w:cs="宋体"/>
                <w:szCs w:val="21"/>
              </w:rPr>
            </w:pPr>
            <w:r>
              <w:rPr>
                <w:rFonts w:cs="宋体"/>
                <w:szCs w:val="21"/>
              </w:rPr>
              <w:t>1）能准确理解</w:t>
            </w:r>
            <w:r>
              <w:rPr>
                <w:rFonts w:hint="eastAsia" w:cs="宋体"/>
                <w:szCs w:val="21"/>
              </w:rPr>
              <w:t>并</w:t>
            </w:r>
            <w:r>
              <w:rPr>
                <w:rFonts w:cs="宋体"/>
                <w:szCs w:val="21"/>
              </w:rPr>
              <w:t>详细完整描述本项目的建设背景、</w:t>
            </w:r>
            <w:r>
              <w:rPr>
                <w:rFonts w:hint="eastAsia" w:cs="宋体"/>
                <w:szCs w:val="21"/>
              </w:rPr>
              <w:t>现状</w:t>
            </w:r>
            <w:r>
              <w:rPr>
                <w:rFonts w:hint="eastAsia" w:cs="宋体"/>
                <w:szCs w:val="21"/>
                <w:lang w:val="en-US" w:eastAsia="zh-CN"/>
              </w:rPr>
              <w:t>及存在问题</w:t>
            </w:r>
            <w:r>
              <w:rPr>
                <w:rFonts w:hint="eastAsia" w:cs="宋体"/>
                <w:szCs w:val="21"/>
              </w:rPr>
              <w:t>、建设</w:t>
            </w:r>
            <w:r>
              <w:rPr>
                <w:rFonts w:cs="宋体"/>
                <w:szCs w:val="21"/>
              </w:rPr>
              <w:t>目标</w:t>
            </w:r>
            <w:r>
              <w:rPr>
                <w:rFonts w:hint="eastAsia" w:cs="宋体"/>
                <w:szCs w:val="21"/>
              </w:rPr>
              <w:t>的，</w:t>
            </w:r>
            <w:r>
              <w:rPr>
                <w:rFonts w:cs="宋体"/>
                <w:szCs w:val="21"/>
              </w:rPr>
              <w:t>得</w:t>
            </w:r>
            <w:r>
              <w:rPr>
                <w:rFonts w:hint="eastAsia" w:cs="宋体"/>
                <w:szCs w:val="21"/>
                <w:lang w:val="en-US" w:eastAsia="zh-CN"/>
              </w:rPr>
              <w:t>7</w:t>
            </w:r>
            <w:r>
              <w:rPr>
                <w:rFonts w:cs="宋体"/>
                <w:szCs w:val="21"/>
              </w:rPr>
              <w:t>分</w:t>
            </w:r>
            <w:r>
              <w:rPr>
                <w:rFonts w:hint="eastAsia" w:cs="宋体"/>
                <w:szCs w:val="21"/>
              </w:rPr>
              <w:t>；</w:t>
            </w:r>
          </w:p>
          <w:p>
            <w:pPr>
              <w:pStyle w:val="30"/>
              <w:jc w:val="both"/>
              <w:rPr>
                <w:rFonts w:cs="宋体"/>
                <w:szCs w:val="21"/>
              </w:rPr>
            </w:pPr>
            <w:r>
              <w:rPr>
                <w:rFonts w:cs="宋体"/>
                <w:szCs w:val="21"/>
              </w:rPr>
              <w:t>2）较准确理解</w:t>
            </w:r>
            <w:r>
              <w:rPr>
                <w:rFonts w:hint="eastAsia" w:cs="宋体"/>
                <w:szCs w:val="21"/>
              </w:rPr>
              <w:t>并描述</w:t>
            </w:r>
            <w:r>
              <w:rPr>
                <w:rFonts w:cs="宋体"/>
                <w:szCs w:val="21"/>
              </w:rPr>
              <w:t>本项目的建设背景、</w:t>
            </w:r>
            <w:r>
              <w:rPr>
                <w:rFonts w:hint="eastAsia" w:cs="宋体"/>
                <w:szCs w:val="21"/>
              </w:rPr>
              <w:t>现状</w:t>
            </w:r>
            <w:r>
              <w:rPr>
                <w:rFonts w:hint="eastAsia" w:cs="宋体"/>
                <w:szCs w:val="21"/>
                <w:lang w:val="en-US" w:eastAsia="zh-CN"/>
              </w:rPr>
              <w:t>及存在问题</w:t>
            </w:r>
            <w:r>
              <w:rPr>
                <w:rFonts w:hint="eastAsia" w:cs="宋体"/>
                <w:szCs w:val="21"/>
              </w:rPr>
              <w:t>、</w:t>
            </w:r>
            <w:r>
              <w:rPr>
                <w:rFonts w:cs="宋体"/>
                <w:szCs w:val="21"/>
              </w:rPr>
              <w:t>建设目标</w:t>
            </w:r>
            <w:r>
              <w:rPr>
                <w:rFonts w:hint="eastAsia" w:cs="宋体"/>
                <w:szCs w:val="21"/>
              </w:rPr>
              <w:t>的，得</w:t>
            </w:r>
            <w:r>
              <w:rPr>
                <w:rFonts w:hint="eastAsia" w:cs="宋体"/>
                <w:szCs w:val="21"/>
                <w:lang w:val="en-US" w:eastAsia="zh-CN"/>
              </w:rPr>
              <w:t>5</w:t>
            </w:r>
            <w:r>
              <w:rPr>
                <w:rFonts w:cs="宋体"/>
                <w:szCs w:val="21"/>
              </w:rPr>
              <w:t>分；</w:t>
            </w:r>
          </w:p>
          <w:p>
            <w:pPr>
              <w:pStyle w:val="30"/>
              <w:jc w:val="both"/>
              <w:rPr>
                <w:rFonts w:cs="宋体"/>
                <w:szCs w:val="21"/>
              </w:rPr>
            </w:pPr>
            <w:r>
              <w:rPr>
                <w:rFonts w:cs="宋体"/>
                <w:szCs w:val="21"/>
              </w:rPr>
              <w:t>3）基本理解</w:t>
            </w:r>
            <w:r>
              <w:rPr>
                <w:rFonts w:hint="eastAsia" w:cs="宋体"/>
                <w:szCs w:val="21"/>
              </w:rPr>
              <w:t>并描述</w:t>
            </w:r>
            <w:r>
              <w:rPr>
                <w:rFonts w:cs="宋体"/>
                <w:szCs w:val="21"/>
              </w:rPr>
              <w:t>本项目的建设背景、</w:t>
            </w:r>
            <w:r>
              <w:rPr>
                <w:rFonts w:hint="eastAsia" w:cs="宋体"/>
                <w:szCs w:val="21"/>
              </w:rPr>
              <w:t>现状</w:t>
            </w:r>
            <w:r>
              <w:rPr>
                <w:rFonts w:hint="eastAsia" w:cs="宋体"/>
                <w:szCs w:val="21"/>
                <w:lang w:val="en-US" w:eastAsia="zh-CN"/>
              </w:rPr>
              <w:t>及存在问题</w:t>
            </w:r>
            <w:r>
              <w:rPr>
                <w:rFonts w:hint="eastAsia" w:cs="宋体"/>
                <w:szCs w:val="21"/>
              </w:rPr>
              <w:t>、</w:t>
            </w:r>
            <w:r>
              <w:rPr>
                <w:rFonts w:cs="宋体"/>
                <w:szCs w:val="21"/>
              </w:rPr>
              <w:t>建设目标</w:t>
            </w:r>
            <w:r>
              <w:rPr>
                <w:rFonts w:hint="eastAsia" w:cs="宋体"/>
                <w:szCs w:val="21"/>
              </w:rPr>
              <w:t>的，得</w:t>
            </w:r>
            <w:r>
              <w:rPr>
                <w:rFonts w:hint="eastAsia" w:cs="宋体"/>
                <w:szCs w:val="21"/>
                <w:lang w:val="en-US" w:eastAsia="zh-CN"/>
              </w:rPr>
              <w:t>3</w:t>
            </w:r>
            <w:r>
              <w:rPr>
                <w:rFonts w:hint="eastAsia" w:cs="宋体"/>
                <w:szCs w:val="21"/>
              </w:rPr>
              <w:t>分；</w:t>
            </w:r>
          </w:p>
          <w:p>
            <w:pPr>
              <w:pStyle w:val="30"/>
              <w:jc w:val="both"/>
              <w:rPr>
                <w:rFonts w:cs="宋体"/>
                <w:szCs w:val="21"/>
              </w:rPr>
            </w:pPr>
            <w:r>
              <w:rPr>
                <w:rFonts w:cs="宋体"/>
                <w:szCs w:val="21"/>
              </w:rPr>
              <w:t>4）</w:t>
            </w:r>
            <w:r>
              <w:rPr>
                <w:rFonts w:hint="eastAsia" w:cs="宋体"/>
                <w:szCs w:val="21"/>
              </w:rPr>
              <w:t>对项目</w:t>
            </w:r>
            <w:r>
              <w:rPr>
                <w:rFonts w:cs="宋体"/>
                <w:szCs w:val="21"/>
              </w:rPr>
              <w:t>理解</w:t>
            </w:r>
            <w:r>
              <w:rPr>
                <w:rFonts w:hint="eastAsia" w:cs="宋体"/>
                <w:szCs w:val="21"/>
              </w:rPr>
              <w:t>差或无提供相关描述的得</w:t>
            </w:r>
            <w:r>
              <w:rPr>
                <w:rFonts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continue"/>
            <w:vAlign w:val="center"/>
          </w:tcPr>
          <w:p>
            <w:pPr>
              <w:pStyle w:val="30"/>
              <w:jc w:val="center"/>
              <w:rPr>
                <w:rFonts w:hint="eastAsia" w:cs="宋体"/>
                <w:bCs/>
                <w:szCs w:val="21"/>
              </w:rPr>
            </w:pPr>
          </w:p>
        </w:tc>
        <w:tc>
          <w:tcPr>
            <w:tcW w:w="666" w:type="pct"/>
            <w:vAlign w:val="center"/>
          </w:tcPr>
          <w:p>
            <w:pPr>
              <w:pStyle w:val="30"/>
              <w:jc w:val="center"/>
              <w:rPr>
                <w:rFonts w:cs="宋体"/>
                <w:szCs w:val="21"/>
              </w:rPr>
            </w:pPr>
            <w:r>
              <w:rPr>
                <w:rFonts w:cs="宋体"/>
                <w:szCs w:val="21"/>
              </w:rPr>
              <w:t>意义及必要性</w:t>
            </w:r>
          </w:p>
          <w:p>
            <w:pPr>
              <w:pStyle w:val="30"/>
              <w:jc w:val="center"/>
              <w:rPr>
                <w:rFonts w:cs="宋体"/>
                <w:szCs w:val="21"/>
              </w:rPr>
            </w:pPr>
            <w:r>
              <w:rPr>
                <w:rFonts w:cs="宋体"/>
                <w:szCs w:val="21"/>
              </w:rPr>
              <w:t>（</w:t>
            </w:r>
            <w:r>
              <w:rPr>
                <w:rFonts w:hint="eastAsia" w:cs="宋体"/>
                <w:szCs w:val="21"/>
                <w:lang w:val="en-US" w:eastAsia="zh-CN"/>
              </w:rPr>
              <w:t>8</w:t>
            </w:r>
            <w:r>
              <w:rPr>
                <w:rFonts w:cs="宋体"/>
                <w:szCs w:val="21"/>
              </w:rPr>
              <w:t>分）</w:t>
            </w:r>
          </w:p>
        </w:tc>
        <w:tc>
          <w:tcPr>
            <w:tcW w:w="3704" w:type="pct"/>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r>
              <w:rPr>
                <w:rFonts w:hint="eastAsia"/>
                <w:sz w:val="21"/>
                <w:szCs w:val="21"/>
              </w:rPr>
              <w:t>根据响应人提交的方案对项目的</w:t>
            </w:r>
            <w:r>
              <w:rPr>
                <w:sz w:val="21"/>
                <w:szCs w:val="21"/>
              </w:rPr>
              <w:t>意义及必要性分析</w:t>
            </w:r>
            <w:r>
              <w:rPr>
                <w:rFonts w:hint="eastAsia"/>
                <w:sz w:val="21"/>
                <w:szCs w:val="21"/>
              </w:rPr>
              <w:t>情况进行综合评审：</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r>
              <w:rPr>
                <w:sz w:val="21"/>
                <w:szCs w:val="21"/>
              </w:rPr>
              <w:t>1</w:t>
            </w:r>
            <w:r>
              <w:rPr>
                <w:rFonts w:hint="eastAsia"/>
                <w:sz w:val="21"/>
                <w:szCs w:val="21"/>
                <w:lang w:eastAsia="zh-CN"/>
              </w:rPr>
              <w:t>）</w:t>
            </w:r>
            <w:r>
              <w:rPr>
                <w:sz w:val="21"/>
                <w:szCs w:val="21"/>
              </w:rPr>
              <w:t>方案中对本项目的意义及必要性分析充分满足</w:t>
            </w:r>
            <w:r>
              <w:rPr>
                <w:rFonts w:hint="eastAsia"/>
                <w:sz w:val="21"/>
                <w:szCs w:val="21"/>
                <w:lang w:eastAsia="zh-CN"/>
              </w:rPr>
              <w:t>招标</w:t>
            </w:r>
            <w:r>
              <w:rPr>
                <w:sz w:val="21"/>
                <w:szCs w:val="21"/>
              </w:rPr>
              <w:t>要求</w:t>
            </w:r>
            <w:r>
              <w:rPr>
                <w:rFonts w:hint="eastAsia"/>
                <w:sz w:val="21"/>
                <w:szCs w:val="21"/>
              </w:rPr>
              <w:t>的</w:t>
            </w:r>
            <w:r>
              <w:rPr>
                <w:sz w:val="21"/>
                <w:szCs w:val="21"/>
              </w:rPr>
              <w:t>得</w:t>
            </w:r>
            <w:r>
              <w:rPr>
                <w:rFonts w:hint="eastAsia"/>
                <w:sz w:val="21"/>
                <w:szCs w:val="21"/>
                <w:lang w:val="en-US" w:eastAsia="zh-CN"/>
              </w:rPr>
              <w:t>8</w:t>
            </w:r>
            <w:r>
              <w:rPr>
                <w:sz w:val="21"/>
                <w:szCs w:val="21"/>
              </w:rPr>
              <w:t>分</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r>
              <w:rPr>
                <w:rFonts w:hint="eastAsia"/>
                <w:sz w:val="21"/>
                <w:szCs w:val="21"/>
              </w:rPr>
              <w:t>2</w:t>
            </w:r>
            <w:r>
              <w:rPr>
                <w:rFonts w:hint="eastAsia"/>
                <w:sz w:val="21"/>
                <w:szCs w:val="21"/>
                <w:lang w:eastAsia="zh-CN"/>
              </w:rPr>
              <w:t>）</w:t>
            </w:r>
            <w:r>
              <w:rPr>
                <w:sz w:val="21"/>
                <w:szCs w:val="21"/>
              </w:rPr>
              <w:t>方案中对本项目的意义及必要性分析</w:t>
            </w:r>
            <w:r>
              <w:rPr>
                <w:rFonts w:hint="eastAsia"/>
                <w:sz w:val="21"/>
                <w:szCs w:val="21"/>
              </w:rPr>
              <w:t>较</w:t>
            </w:r>
            <w:r>
              <w:rPr>
                <w:sz w:val="21"/>
                <w:szCs w:val="21"/>
              </w:rPr>
              <w:t>满足</w:t>
            </w:r>
            <w:r>
              <w:rPr>
                <w:rFonts w:hint="eastAsia"/>
                <w:sz w:val="21"/>
                <w:szCs w:val="21"/>
                <w:lang w:eastAsia="zh-CN"/>
              </w:rPr>
              <w:t>招标</w:t>
            </w:r>
            <w:r>
              <w:rPr>
                <w:sz w:val="21"/>
                <w:szCs w:val="21"/>
              </w:rPr>
              <w:t>要求</w:t>
            </w:r>
            <w:r>
              <w:rPr>
                <w:rFonts w:hint="eastAsia"/>
                <w:sz w:val="21"/>
                <w:szCs w:val="21"/>
              </w:rPr>
              <w:t>的</w:t>
            </w:r>
            <w:r>
              <w:rPr>
                <w:sz w:val="21"/>
                <w:szCs w:val="21"/>
              </w:rPr>
              <w:t>得</w:t>
            </w:r>
            <w:r>
              <w:rPr>
                <w:rFonts w:hint="eastAsia"/>
                <w:sz w:val="21"/>
                <w:szCs w:val="21"/>
                <w:lang w:val="en-US" w:eastAsia="zh-CN"/>
              </w:rPr>
              <w:t>6</w:t>
            </w:r>
            <w:r>
              <w:rPr>
                <w:sz w:val="21"/>
                <w:szCs w:val="21"/>
              </w:rPr>
              <w:t>分</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sz w:val="21"/>
                <w:szCs w:val="21"/>
              </w:rPr>
            </w:pPr>
            <w:r>
              <w:rPr>
                <w:rFonts w:hint="eastAsia"/>
                <w:sz w:val="21"/>
                <w:szCs w:val="21"/>
              </w:rPr>
              <w:t>3</w:t>
            </w:r>
            <w:r>
              <w:rPr>
                <w:sz w:val="21"/>
                <w:szCs w:val="21"/>
              </w:rPr>
              <w:t>）方案中对本项目的意义及必要性分析基本满足</w:t>
            </w:r>
            <w:r>
              <w:rPr>
                <w:rFonts w:hint="eastAsia"/>
                <w:sz w:val="21"/>
                <w:szCs w:val="21"/>
                <w:lang w:eastAsia="zh-CN"/>
              </w:rPr>
              <w:t>招标</w:t>
            </w:r>
            <w:r>
              <w:rPr>
                <w:sz w:val="21"/>
                <w:szCs w:val="21"/>
              </w:rPr>
              <w:t>文件要求</w:t>
            </w:r>
            <w:r>
              <w:rPr>
                <w:rFonts w:hint="eastAsia"/>
                <w:sz w:val="21"/>
                <w:szCs w:val="21"/>
              </w:rPr>
              <w:t>的</w:t>
            </w:r>
            <w:r>
              <w:rPr>
                <w:sz w:val="21"/>
                <w:szCs w:val="21"/>
              </w:rPr>
              <w:t>得</w:t>
            </w:r>
            <w:r>
              <w:rPr>
                <w:rFonts w:hint="eastAsia"/>
                <w:sz w:val="21"/>
                <w:szCs w:val="21"/>
                <w:lang w:val="en-US" w:eastAsia="zh-CN"/>
              </w:rPr>
              <w:t>4</w:t>
            </w:r>
            <w:r>
              <w:rPr>
                <w:sz w:val="21"/>
                <w:szCs w:val="21"/>
              </w:rPr>
              <w:t>分</w:t>
            </w:r>
            <w:r>
              <w:rPr>
                <w:rFonts w:hint="eastAsia"/>
                <w:sz w:val="21"/>
                <w:szCs w:val="21"/>
              </w:rPr>
              <w:t>；</w:t>
            </w:r>
          </w:p>
          <w:p>
            <w:pPr>
              <w:pStyle w:val="30"/>
              <w:jc w:val="both"/>
              <w:rPr>
                <w:rFonts w:cs="宋体"/>
                <w:szCs w:val="21"/>
              </w:rPr>
            </w:pPr>
            <w:r>
              <w:rPr>
                <w:rFonts w:hint="eastAsia"/>
                <w:sz w:val="21"/>
                <w:szCs w:val="21"/>
              </w:rPr>
              <w:t>4</w:t>
            </w:r>
            <w:r>
              <w:rPr>
                <w:sz w:val="21"/>
                <w:szCs w:val="21"/>
              </w:rPr>
              <w:t>）方案中对本项目的意义及必要性分析差</w:t>
            </w:r>
            <w:r>
              <w:rPr>
                <w:rFonts w:hint="eastAsia"/>
                <w:sz w:val="21"/>
                <w:szCs w:val="21"/>
              </w:rPr>
              <w:t>或无提供相关描述的得0分</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continue"/>
            <w:vAlign w:val="center"/>
          </w:tcPr>
          <w:p>
            <w:pPr>
              <w:pStyle w:val="30"/>
              <w:jc w:val="center"/>
              <w:rPr>
                <w:rFonts w:cs="宋体"/>
                <w:bCs/>
                <w:szCs w:val="21"/>
              </w:rPr>
            </w:pPr>
          </w:p>
        </w:tc>
        <w:tc>
          <w:tcPr>
            <w:tcW w:w="666" w:type="pct"/>
            <w:vAlign w:val="center"/>
          </w:tcPr>
          <w:p>
            <w:pPr>
              <w:pStyle w:val="30"/>
              <w:jc w:val="center"/>
              <w:rPr>
                <w:rFonts w:cs="宋体"/>
                <w:szCs w:val="21"/>
              </w:rPr>
            </w:pPr>
            <w:r>
              <w:rPr>
                <w:rFonts w:hint="eastAsia" w:cs="宋体"/>
                <w:szCs w:val="21"/>
                <w:lang w:val="en-US" w:eastAsia="zh-CN"/>
              </w:rPr>
              <w:t>平台软件</w:t>
            </w:r>
            <w:r>
              <w:rPr>
                <w:rFonts w:hint="eastAsia" w:cs="宋体"/>
                <w:szCs w:val="21"/>
              </w:rPr>
              <w:t>功能响应（</w:t>
            </w:r>
            <w:r>
              <w:rPr>
                <w:rFonts w:hint="eastAsia" w:cs="宋体"/>
                <w:szCs w:val="21"/>
                <w:lang w:val="en-US" w:eastAsia="zh-CN"/>
              </w:rPr>
              <w:t>15</w:t>
            </w:r>
            <w:r>
              <w:rPr>
                <w:rFonts w:hint="eastAsia" w:cs="宋体"/>
                <w:szCs w:val="21"/>
              </w:rPr>
              <w:t>分）</w:t>
            </w:r>
          </w:p>
        </w:tc>
        <w:tc>
          <w:tcPr>
            <w:tcW w:w="3704" w:type="pct"/>
            <w:vAlign w:val="center"/>
          </w:tcPr>
          <w:p>
            <w:pPr>
              <w:pStyle w:val="30"/>
              <w:numPr>
                <w:ilvl w:val="0"/>
                <w:numId w:val="0"/>
              </w:numPr>
              <w:ind w:leftChars="0"/>
              <w:jc w:val="both"/>
              <w:rPr>
                <w:rFonts w:hint="eastAsia" w:cs="宋体"/>
                <w:szCs w:val="21"/>
              </w:rPr>
            </w:pPr>
            <w:r>
              <w:rPr>
                <w:rFonts w:hint="eastAsia" w:cs="宋体"/>
                <w:szCs w:val="21"/>
              </w:rPr>
              <w:t>根据响应人对行政执法信息平台、移动执法平台软件功能内容进行综合评审：</w:t>
            </w:r>
          </w:p>
          <w:p>
            <w:pPr>
              <w:pStyle w:val="30"/>
              <w:numPr>
                <w:ilvl w:val="0"/>
                <w:numId w:val="0"/>
              </w:numPr>
              <w:ind w:leftChars="0"/>
              <w:jc w:val="both"/>
              <w:rPr>
                <w:rFonts w:hint="eastAsia" w:cs="宋体"/>
                <w:szCs w:val="21"/>
              </w:rPr>
            </w:pPr>
            <w:r>
              <w:rPr>
                <w:rFonts w:hint="eastAsia" w:cs="宋体"/>
                <w:szCs w:val="21"/>
              </w:rPr>
              <w:t>1）行政执法信息平台、移动执法平台软件功能内容全面，完全满足招标要求的，得15分；</w:t>
            </w:r>
          </w:p>
          <w:p>
            <w:pPr>
              <w:pStyle w:val="30"/>
              <w:numPr>
                <w:ilvl w:val="0"/>
                <w:numId w:val="0"/>
              </w:numPr>
              <w:ind w:leftChars="0"/>
              <w:jc w:val="both"/>
              <w:rPr>
                <w:rFonts w:hint="eastAsia" w:cs="宋体"/>
                <w:szCs w:val="21"/>
              </w:rPr>
            </w:pPr>
            <w:r>
              <w:rPr>
                <w:rFonts w:hint="eastAsia" w:cs="宋体"/>
                <w:szCs w:val="21"/>
              </w:rPr>
              <w:t>2）行政执法信息平台、移动执法平台软件功能内容较全面，基本招标满足要求的，得10分；</w:t>
            </w:r>
          </w:p>
          <w:p>
            <w:pPr>
              <w:pStyle w:val="30"/>
              <w:numPr>
                <w:ilvl w:val="0"/>
                <w:numId w:val="0"/>
              </w:numPr>
              <w:ind w:leftChars="0"/>
              <w:jc w:val="both"/>
              <w:rPr>
                <w:rFonts w:hint="eastAsia" w:cs="宋体"/>
                <w:szCs w:val="21"/>
              </w:rPr>
            </w:pPr>
            <w:r>
              <w:rPr>
                <w:rFonts w:hint="eastAsia" w:cs="宋体"/>
                <w:szCs w:val="21"/>
              </w:rPr>
              <w:t>3）行政执法信息平台、移动执法平台软件功能内容一般，不能完全满足招标要求的，得5分；</w:t>
            </w:r>
          </w:p>
          <w:p>
            <w:pPr>
              <w:pStyle w:val="30"/>
              <w:numPr>
                <w:ilvl w:val="0"/>
                <w:numId w:val="0"/>
              </w:numPr>
              <w:ind w:leftChars="0"/>
              <w:jc w:val="both"/>
              <w:rPr>
                <w:rFonts w:cs="宋体"/>
                <w:szCs w:val="21"/>
              </w:rPr>
            </w:pPr>
            <w:r>
              <w:rPr>
                <w:rFonts w:hint="eastAsia" w:cs="宋体"/>
                <w:szCs w:val="21"/>
              </w:rPr>
              <w:t>4）行政执法信息平台、移动执法平台软件功能内容差或无提供相关描述的得0分。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continue"/>
            <w:vAlign w:val="center"/>
          </w:tcPr>
          <w:p>
            <w:pPr>
              <w:pStyle w:val="30"/>
              <w:jc w:val="center"/>
              <w:rPr>
                <w:rFonts w:cs="宋体"/>
                <w:bCs/>
                <w:szCs w:val="21"/>
              </w:rPr>
            </w:pPr>
          </w:p>
        </w:tc>
        <w:tc>
          <w:tcPr>
            <w:tcW w:w="666" w:type="pct"/>
            <w:vAlign w:val="center"/>
          </w:tcPr>
          <w:p>
            <w:pPr>
              <w:pStyle w:val="30"/>
              <w:jc w:val="both"/>
              <w:rPr>
                <w:rFonts w:cs="宋体"/>
                <w:szCs w:val="21"/>
              </w:rPr>
            </w:pPr>
            <w:r>
              <w:rPr>
                <w:rFonts w:cs="宋体"/>
                <w:szCs w:val="21"/>
              </w:rPr>
              <w:t>项目实施方案（</w:t>
            </w:r>
            <w:r>
              <w:rPr>
                <w:rFonts w:hint="eastAsia" w:cs="宋体"/>
                <w:szCs w:val="21"/>
                <w:lang w:val="en-US" w:eastAsia="zh-CN"/>
              </w:rPr>
              <w:t>15</w:t>
            </w:r>
            <w:r>
              <w:rPr>
                <w:rFonts w:cs="宋体"/>
                <w:szCs w:val="21"/>
              </w:rPr>
              <w:t>分）</w:t>
            </w:r>
          </w:p>
        </w:tc>
        <w:tc>
          <w:tcPr>
            <w:tcW w:w="3704" w:type="pct"/>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r>
              <w:rPr>
                <w:rFonts w:hint="eastAsia"/>
                <w:sz w:val="21"/>
                <w:szCs w:val="21"/>
              </w:rPr>
              <w:t>根据响应人提交的</w:t>
            </w:r>
            <w:r>
              <w:rPr>
                <w:sz w:val="21"/>
                <w:szCs w:val="21"/>
              </w:rPr>
              <w:t>项目实施方案</w:t>
            </w:r>
            <w:r>
              <w:rPr>
                <w:rFonts w:hint="eastAsia"/>
                <w:sz w:val="21"/>
                <w:szCs w:val="21"/>
              </w:rPr>
              <w:t>(包括</w:t>
            </w:r>
            <w:r>
              <w:rPr>
                <w:rFonts w:hint="eastAsia"/>
                <w:sz w:val="21"/>
                <w:szCs w:val="21"/>
                <w:lang w:val="en-US" w:eastAsia="zh-CN"/>
              </w:rPr>
              <w:t>执法部门上线服务</w:t>
            </w:r>
            <w:r>
              <w:rPr>
                <w:rFonts w:hint="eastAsia"/>
                <w:sz w:val="21"/>
                <w:szCs w:val="21"/>
              </w:rPr>
              <w:t>、</w:t>
            </w:r>
            <w:r>
              <w:rPr>
                <w:rFonts w:hint="eastAsia"/>
                <w:sz w:val="21"/>
                <w:szCs w:val="21"/>
                <w:lang w:val="en-US" w:eastAsia="zh-CN"/>
              </w:rPr>
              <w:t>系统培训服务</w:t>
            </w:r>
            <w:r>
              <w:rPr>
                <w:rFonts w:hint="eastAsia"/>
                <w:sz w:val="21"/>
                <w:szCs w:val="21"/>
              </w:rPr>
              <w:t>、</w:t>
            </w:r>
            <w:r>
              <w:rPr>
                <w:rFonts w:hint="eastAsia"/>
                <w:sz w:val="21"/>
                <w:szCs w:val="21"/>
                <w:lang w:val="en-US" w:eastAsia="zh-CN"/>
              </w:rPr>
              <w:t>推广实施服务</w:t>
            </w:r>
            <w:r>
              <w:rPr>
                <w:rFonts w:hint="eastAsia"/>
                <w:sz w:val="21"/>
                <w:szCs w:val="21"/>
              </w:rPr>
              <w:t>、镇街下放权责清单在“两平台”应用</w:t>
            </w:r>
            <w:r>
              <w:rPr>
                <w:rFonts w:hint="eastAsia"/>
                <w:sz w:val="21"/>
                <w:szCs w:val="21"/>
                <w:lang w:eastAsia="zh-CN"/>
              </w:rPr>
              <w:t>、</w:t>
            </w:r>
            <w:r>
              <w:rPr>
                <w:rFonts w:hint="eastAsia"/>
                <w:sz w:val="21"/>
                <w:szCs w:val="21"/>
                <w:lang w:val="en-US" w:eastAsia="zh-CN"/>
              </w:rPr>
              <w:t>业务运营服务、重点保障服务、</w:t>
            </w:r>
            <w:r>
              <w:rPr>
                <w:rFonts w:hint="eastAsia"/>
                <w:sz w:val="21"/>
                <w:szCs w:val="21"/>
              </w:rPr>
              <w:t>风险防范措施)是否详细、丰富，</w:t>
            </w:r>
            <w:r>
              <w:rPr>
                <w:sz w:val="21"/>
                <w:szCs w:val="21"/>
              </w:rPr>
              <w:t>以及风险防范措施</w:t>
            </w:r>
            <w:r>
              <w:rPr>
                <w:rFonts w:hint="eastAsia"/>
                <w:sz w:val="21"/>
                <w:szCs w:val="21"/>
              </w:rPr>
              <w:t>是否具</w:t>
            </w:r>
            <w:r>
              <w:rPr>
                <w:sz w:val="21"/>
                <w:szCs w:val="21"/>
              </w:rPr>
              <w:t>有效性和可操作性</w:t>
            </w:r>
            <w:r>
              <w:rPr>
                <w:rFonts w:hint="eastAsia"/>
                <w:sz w:val="21"/>
                <w:szCs w:val="21"/>
              </w:rPr>
              <w:t>等情况进行综合评审：</w:t>
            </w:r>
          </w:p>
          <w:p>
            <w:pPr>
              <w:keepNext w:val="0"/>
              <w:keepLines w:val="0"/>
              <w:pageBreakBefore w:val="0"/>
              <w:widowControl w:val="0"/>
              <w:kinsoku/>
              <w:wordWrap/>
              <w:overflowPunct/>
              <w:topLinePunct w:val="0"/>
              <w:autoSpaceDE/>
              <w:autoSpaceDN/>
              <w:bidi w:val="0"/>
              <w:adjustRightInd/>
              <w:snapToGrid/>
              <w:ind w:firstLine="0" w:firstLineChars="0"/>
              <w:textAlignment w:val="auto"/>
              <w:rPr>
                <w:sz w:val="21"/>
                <w:szCs w:val="21"/>
              </w:rPr>
            </w:pPr>
            <w:r>
              <w:rPr>
                <w:sz w:val="21"/>
                <w:szCs w:val="21"/>
              </w:rPr>
              <w:t>1）</w:t>
            </w:r>
            <w:r>
              <w:rPr>
                <w:rFonts w:hint="eastAsia"/>
                <w:sz w:val="21"/>
                <w:szCs w:val="21"/>
              </w:rPr>
              <w:t>项目实施方案详细，完全满足</w:t>
            </w:r>
            <w:r>
              <w:rPr>
                <w:rFonts w:hint="eastAsia"/>
                <w:sz w:val="21"/>
                <w:szCs w:val="21"/>
                <w:lang w:eastAsia="zh-CN"/>
              </w:rPr>
              <w:t>招标</w:t>
            </w:r>
            <w:r>
              <w:rPr>
                <w:rFonts w:hint="eastAsia"/>
                <w:sz w:val="21"/>
                <w:szCs w:val="21"/>
              </w:rPr>
              <w:t>要求的得</w:t>
            </w:r>
            <w:r>
              <w:rPr>
                <w:rFonts w:hint="eastAsia"/>
                <w:sz w:val="21"/>
                <w:szCs w:val="21"/>
                <w:lang w:val="en-US" w:eastAsia="zh-CN"/>
              </w:rPr>
              <w:t>15</w:t>
            </w:r>
            <w:r>
              <w:rPr>
                <w:rFonts w:hint="eastAsia"/>
                <w:sz w:val="21"/>
                <w:szCs w:val="21"/>
              </w:rPr>
              <w:t>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sz w:val="21"/>
                <w:szCs w:val="21"/>
              </w:rPr>
            </w:pPr>
            <w:r>
              <w:rPr>
                <w:rFonts w:hint="eastAsia"/>
                <w:sz w:val="21"/>
                <w:szCs w:val="21"/>
              </w:rPr>
              <w:t>2</w:t>
            </w:r>
            <w:r>
              <w:rPr>
                <w:sz w:val="21"/>
                <w:szCs w:val="21"/>
              </w:rPr>
              <w:t>）</w:t>
            </w:r>
            <w:r>
              <w:rPr>
                <w:rFonts w:hint="eastAsia"/>
                <w:sz w:val="21"/>
                <w:szCs w:val="21"/>
              </w:rPr>
              <w:t>项目实施方案较详细，较满足</w:t>
            </w:r>
            <w:r>
              <w:rPr>
                <w:rFonts w:hint="eastAsia"/>
                <w:sz w:val="21"/>
                <w:szCs w:val="21"/>
                <w:lang w:eastAsia="zh-CN"/>
              </w:rPr>
              <w:t>招标</w:t>
            </w:r>
            <w:r>
              <w:rPr>
                <w:rFonts w:hint="eastAsia"/>
                <w:sz w:val="21"/>
                <w:szCs w:val="21"/>
              </w:rPr>
              <w:t>要求的得</w:t>
            </w:r>
            <w:r>
              <w:rPr>
                <w:rFonts w:hint="eastAsia"/>
                <w:sz w:val="21"/>
                <w:szCs w:val="21"/>
                <w:lang w:val="en-US" w:eastAsia="zh-CN"/>
              </w:rPr>
              <w:t>10</w:t>
            </w:r>
            <w:r>
              <w:rPr>
                <w:rFonts w:hint="eastAsia"/>
                <w:sz w:val="21"/>
                <w:szCs w:val="21"/>
              </w:rPr>
              <w:t>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sz w:val="21"/>
                <w:szCs w:val="21"/>
              </w:rPr>
            </w:pPr>
            <w:r>
              <w:rPr>
                <w:rFonts w:hint="eastAsia"/>
                <w:sz w:val="21"/>
                <w:szCs w:val="21"/>
              </w:rPr>
              <w:t>3</w:t>
            </w:r>
            <w:r>
              <w:rPr>
                <w:sz w:val="21"/>
                <w:szCs w:val="21"/>
              </w:rPr>
              <w:t>）</w:t>
            </w:r>
            <w:r>
              <w:rPr>
                <w:rFonts w:hint="eastAsia"/>
                <w:sz w:val="21"/>
                <w:szCs w:val="21"/>
              </w:rPr>
              <w:t>项目实施方案简单，基本满足</w:t>
            </w:r>
            <w:r>
              <w:rPr>
                <w:rFonts w:hint="eastAsia"/>
                <w:sz w:val="21"/>
                <w:szCs w:val="21"/>
                <w:lang w:eastAsia="zh-CN"/>
              </w:rPr>
              <w:t>招标</w:t>
            </w:r>
            <w:r>
              <w:rPr>
                <w:rFonts w:hint="eastAsia"/>
                <w:sz w:val="21"/>
                <w:szCs w:val="21"/>
              </w:rPr>
              <w:t>要求的得</w:t>
            </w:r>
            <w:r>
              <w:rPr>
                <w:rFonts w:hint="eastAsia"/>
                <w:sz w:val="21"/>
                <w:szCs w:val="21"/>
                <w:lang w:val="en-US" w:eastAsia="zh-CN"/>
              </w:rPr>
              <w:t>5</w:t>
            </w:r>
            <w:r>
              <w:rPr>
                <w:rFonts w:hint="eastAsia"/>
                <w:sz w:val="21"/>
                <w:szCs w:val="21"/>
              </w:rPr>
              <w:t>分；</w:t>
            </w:r>
          </w:p>
          <w:p>
            <w:pPr>
              <w:pStyle w:val="30"/>
              <w:jc w:val="both"/>
              <w:rPr>
                <w:rFonts w:hint="eastAsia" w:cs="宋体"/>
                <w:szCs w:val="21"/>
              </w:rPr>
            </w:pPr>
            <w:r>
              <w:rPr>
                <w:rFonts w:hint="eastAsia"/>
                <w:sz w:val="21"/>
                <w:szCs w:val="21"/>
              </w:rPr>
              <w:t>4</w:t>
            </w:r>
            <w:r>
              <w:rPr>
                <w:sz w:val="21"/>
                <w:szCs w:val="21"/>
              </w:rPr>
              <w:t>）</w:t>
            </w:r>
            <w:r>
              <w:rPr>
                <w:rFonts w:hint="eastAsia"/>
                <w:sz w:val="21"/>
                <w:szCs w:val="21"/>
              </w:rPr>
              <w:t>项目实施方案差或无提供相关描述的得0分。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continue"/>
            <w:vAlign w:val="center"/>
          </w:tcPr>
          <w:p>
            <w:pPr>
              <w:pStyle w:val="30"/>
              <w:jc w:val="center"/>
              <w:rPr>
                <w:rFonts w:cs="宋体"/>
                <w:bCs/>
                <w:szCs w:val="21"/>
              </w:rPr>
            </w:pPr>
          </w:p>
        </w:tc>
        <w:tc>
          <w:tcPr>
            <w:tcW w:w="666" w:type="pct"/>
            <w:vAlign w:val="center"/>
          </w:tcPr>
          <w:p>
            <w:pPr>
              <w:pStyle w:val="30"/>
              <w:jc w:val="center"/>
              <w:rPr>
                <w:rFonts w:cs="宋体"/>
                <w:szCs w:val="21"/>
              </w:rPr>
            </w:pPr>
            <w:r>
              <w:rPr>
                <w:rFonts w:cs="宋体"/>
                <w:szCs w:val="21"/>
              </w:rPr>
              <w:t>项目技术</w:t>
            </w:r>
            <w:r>
              <w:rPr>
                <w:rFonts w:hint="eastAsia" w:cs="宋体"/>
                <w:szCs w:val="21"/>
              </w:rPr>
              <w:t>方案</w:t>
            </w:r>
            <w:r>
              <w:rPr>
                <w:rFonts w:cs="宋体"/>
                <w:szCs w:val="21"/>
              </w:rPr>
              <w:t>（</w:t>
            </w:r>
            <w:r>
              <w:rPr>
                <w:rFonts w:hint="eastAsia" w:cs="宋体"/>
                <w:szCs w:val="21"/>
                <w:lang w:val="en-US" w:eastAsia="zh-CN"/>
              </w:rPr>
              <w:t>15</w:t>
            </w:r>
            <w:r>
              <w:rPr>
                <w:rFonts w:cs="宋体"/>
                <w:szCs w:val="21"/>
              </w:rPr>
              <w:t>分）</w:t>
            </w:r>
          </w:p>
        </w:tc>
        <w:tc>
          <w:tcPr>
            <w:tcW w:w="3704" w:type="pct"/>
            <w:vAlign w:val="center"/>
          </w:tcPr>
          <w:p>
            <w:pPr>
              <w:pStyle w:val="30"/>
              <w:jc w:val="both"/>
              <w:rPr>
                <w:rFonts w:cs="宋体"/>
                <w:szCs w:val="21"/>
              </w:rPr>
            </w:pPr>
            <w:r>
              <w:rPr>
                <w:rFonts w:hint="eastAsia" w:cs="宋体"/>
                <w:szCs w:val="21"/>
              </w:rPr>
              <w:t>根据投标人提交的项目技术方案</w:t>
            </w:r>
            <w:r>
              <w:rPr>
                <w:rFonts w:hint="eastAsia" w:cs="宋体"/>
                <w:szCs w:val="21"/>
                <w:lang w:eastAsia="zh-CN"/>
              </w:rPr>
              <w:t>（</w:t>
            </w:r>
            <w:r>
              <w:rPr>
                <w:rFonts w:hint="eastAsia" w:cs="宋体"/>
                <w:szCs w:val="21"/>
                <w:lang w:val="en-US" w:eastAsia="zh-CN"/>
              </w:rPr>
              <w:t>总体架构、技术架构、网络架构、技术路线</w:t>
            </w:r>
            <w:r>
              <w:rPr>
                <w:rFonts w:hint="eastAsia" w:cs="宋体"/>
                <w:szCs w:val="21"/>
                <w:lang w:eastAsia="zh-CN"/>
              </w:rPr>
              <w:t>）</w:t>
            </w:r>
            <w:r>
              <w:rPr>
                <w:rFonts w:cs="宋体"/>
                <w:szCs w:val="21"/>
              </w:rPr>
              <w:t>是否详细、完整，方案是否具规范性、科学性、先进性等情况进行综合评审：</w:t>
            </w:r>
          </w:p>
          <w:p>
            <w:pPr>
              <w:pStyle w:val="30"/>
              <w:jc w:val="both"/>
              <w:rPr>
                <w:rFonts w:hint="eastAsia" w:cs="宋体"/>
                <w:szCs w:val="21"/>
              </w:rPr>
            </w:pPr>
            <w:r>
              <w:rPr>
                <w:rFonts w:hint="eastAsia" w:cs="宋体"/>
                <w:szCs w:val="21"/>
              </w:rPr>
              <w:t>1）项目技术方案可行性高，优于招标文件要求的，得</w:t>
            </w:r>
            <w:r>
              <w:rPr>
                <w:rFonts w:hint="eastAsia" w:cs="宋体"/>
                <w:szCs w:val="21"/>
                <w:lang w:val="en-US" w:eastAsia="zh-CN"/>
              </w:rPr>
              <w:t>15</w:t>
            </w:r>
            <w:r>
              <w:rPr>
                <w:rFonts w:hint="eastAsia" w:cs="宋体"/>
                <w:szCs w:val="21"/>
              </w:rPr>
              <w:t>分；</w:t>
            </w:r>
          </w:p>
          <w:p>
            <w:pPr>
              <w:pStyle w:val="30"/>
              <w:jc w:val="both"/>
              <w:rPr>
                <w:rFonts w:hint="eastAsia" w:cs="宋体"/>
                <w:szCs w:val="21"/>
              </w:rPr>
            </w:pPr>
            <w:r>
              <w:rPr>
                <w:rFonts w:hint="eastAsia" w:cs="宋体"/>
                <w:szCs w:val="21"/>
              </w:rPr>
              <w:t>2）项目技术方案可行性一般，基本满足招标文件要求的，得</w:t>
            </w:r>
            <w:r>
              <w:rPr>
                <w:rFonts w:hint="eastAsia" w:cs="宋体"/>
                <w:szCs w:val="21"/>
                <w:lang w:val="en-US" w:eastAsia="zh-CN"/>
              </w:rPr>
              <w:t>10</w:t>
            </w:r>
            <w:r>
              <w:rPr>
                <w:rFonts w:hint="eastAsia" w:cs="宋体"/>
                <w:szCs w:val="21"/>
              </w:rPr>
              <w:t>分；</w:t>
            </w:r>
          </w:p>
          <w:p>
            <w:pPr>
              <w:pStyle w:val="30"/>
              <w:jc w:val="both"/>
              <w:rPr>
                <w:rFonts w:hint="eastAsia" w:cs="宋体"/>
                <w:szCs w:val="21"/>
              </w:rPr>
            </w:pPr>
            <w:r>
              <w:rPr>
                <w:rFonts w:hint="eastAsia" w:cs="宋体"/>
                <w:szCs w:val="21"/>
              </w:rPr>
              <w:t>3）项目技术方案可行性一般，部分满足招标文件要求的，得</w:t>
            </w:r>
            <w:r>
              <w:rPr>
                <w:rFonts w:hint="eastAsia" w:cs="宋体"/>
                <w:szCs w:val="21"/>
                <w:lang w:val="en-US" w:eastAsia="zh-CN"/>
              </w:rPr>
              <w:t>5</w:t>
            </w:r>
            <w:r>
              <w:rPr>
                <w:rFonts w:hint="eastAsia" w:cs="宋体"/>
                <w:szCs w:val="21"/>
              </w:rPr>
              <w:t>分；</w:t>
            </w:r>
          </w:p>
          <w:p>
            <w:pPr>
              <w:pStyle w:val="30"/>
              <w:jc w:val="both"/>
              <w:rPr>
                <w:rFonts w:cs="宋体"/>
                <w:szCs w:val="21"/>
              </w:rPr>
            </w:pPr>
            <w:r>
              <w:rPr>
                <w:rFonts w:hint="eastAsia" w:cs="宋体"/>
                <w:szCs w:val="21"/>
              </w:rPr>
              <w:t>4）无提供相关描述的得0分。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29" w:type="pct"/>
            <w:vMerge w:val="restart"/>
            <w:vAlign w:val="center"/>
          </w:tcPr>
          <w:p>
            <w:pPr>
              <w:pStyle w:val="30"/>
              <w:jc w:val="center"/>
              <w:rPr>
                <w:rFonts w:cs="宋体"/>
                <w:bCs/>
                <w:szCs w:val="21"/>
              </w:rPr>
            </w:pPr>
            <w:r>
              <w:rPr>
                <w:rFonts w:hint="eastAsia" w:cs="宋体"/>
                <w:bCs/>
                <w:szCs w:val="21"/>
              </w:rPr>
              <w:t>商务评分（</w:t>
            </w:r>
            <w:r>
              <w:rPr>
                <w:rFonts w:cs="宋体"/>
                <w:bCs/>
                <w:szCs w:val="21"/>
              </w:rPr>
              <w:t>30分）</w:t>
            </w:r>
          </w:p>
        </w:tc>
        <w:tc>
          <w:tcPr>
            <w:tcW w:w="666" w:type="pct"/>
            <w:vAlign w:val="center"/>
          </w:tcPr>
          <w:p>
            <w:pPr>
              <w:pStyle w:val="30"/>
              <w:jc w:val="center"/>
              <w:rPr>
                <w:rFonts w:cs="宋体"/>
                <w:szCs w:val="21"/>
              </w:rPr>
            </w:pPr>
            <w:r>
              <w:rPr>
                <w:rFonts w:cs="宋体"/>
                <w:szCs w:val="21"/>
                <w:lang w:bidi="ar"/>
              </w:rPr>
              <w:t>经营业绩（</w:t>
            </w:r>
            <w:r>
              <w:rPr>
                <w:rFonts w:hint="eastAsia" w:cs="宋体"/>
                <w:szCs w:val="21"/>
                <w:lang w:val="en-US" w:eastAsia="zh-CN" w:bidi="ar"/>
              </w:rPr>
              <w:t>4</w:t>
            </w:r>
            <w:r>
              <w:rPr>
                <w:rFonts w:cs="宋体"/>
                <w:szCs w:val="21"/>
                <w:lang w:bidi="ar"/>
              </w:rPr>
              <w:t>分）</w:t>
            </w:r>
          </w:p>
        </w:tc>
        <w:tc>
          <w:tcPr>
            <w:tcW w:w="3704" w:type="pct"/>
            <w:vAlign w:val="center"/>
          </w:tcPr>
          <w:p>
            <w:pPr>
              <w:pStyle w:val="30"/>
              <w:jc w:val="both"/>
              <w:rPr>
                <w:rFonts w:cs="宋体"/>
                <w:szCs w:val="21"/>
              </w:rPr>
            </w:pPr>
            <w:r>
              <w:rPr>
                <w:rFonts w:hint="eastAsia" w:cs="宋体"/>
                <w:szCs w:val="21"/>
                <w:lang w:bidi="ar"/>
              </w:rPr>
              <w:t>投标人自</w:t>
            </w:r>
            <w:r>
              <w:rPr>
                <w:rFonts w:hint="eastAsia" w:cs="宋体"/>
                <w:szCs w:val="21"/>
                <w:lang w:val="en-US" w:eastAsia="zh-CN" w:bidi="ar"/>
              </w:rPr>
              <w:t>2020</w:t>
            </w:r>
            <w:r>
              <w:rPr>
                <w:rFonts w:cs="宋体"/>
                <w:szCs w:val="21"/>
                <w:lang w:bidi="ar"/>
              </w:rPr>
              <w:t>年1月1日以来（以合同签订时间为准）承担过</w:t>
            </w:r>
            <w:r>
              <w:rPr>
                <w:rFonts w:hint="eastAsia" w:cs="宋体"/>
                <w:szCs w:val="21"/>
                <w:lang w:val="en-US" w:eastAsia="zh-CN" w:bidi="ar"/>
              </w:rPr>
              <w:t>行政执</w:t>
            </w:r>
            <w:r>
              <w:rPr>
                <w:rFonts w:hint="eastAsia" w:cs="宋体"/>
                <w:szCs w:val="21"/>
                <w:lang w:bidi="ar"/>
              </w:rPr>
              <w:t>法领域</w:t>
            </w:r>
            <w:r>
              <w:rPr>
                <w:rFonts w:cs="宋体"/>
                <w:szCs w:val="21"/>
                <w:lang w:bidi="ar"/>
              </w:rPr>
              <w:t>信息化项目</w:t>
            </w:r>
            <w:r>
              <w:rPr>
                <w:rFonts w:hint="eastAsia" w:cs="宋体"/>
                <w:szCs w:val="21"/>
                <w:lang w:bidi="ar"/>
              </w:rPr>
              <w:t>的，每</w:t>
            </w:r>
            <w:r>
              <w:rPr>
                <w:rFonts w:cs="宋体"/>
                <w:szCs w:val="21"/>
                <w:lang w:bidi="ar"/>
              </w:rPr>
              <w:t>1个合同得2分，没有的得0分。</w:t>
            </w:r>
            <w:r>
              <w:rPr>
                <w:rFonts w:cs="宋体"/>
                <w:szCs w:val="21"/>
                <w:lang w:bidi="ar"/>
              </w:rPr>
              <w:br w:type="textWrapping"/>
            </w:r>
            <w:r>
              <w:rPr>
                <w:rFonts w:hint="eastAsia" w:cs="宋体"/>
                <w:szCs w:val="21"/>
                <w:lang w:bidi="ar"/>
              </w:rPr>
              <w:t>本项最高得分为</w:t>
            </w:r>
            <w:r>
              <w:rPr>
                <w:rFonts w:hint="eastAsia" w:cs="宋体"/>
                <w:szCs w:val="21"/>
                <w:lang w:val="en-US" w:eastAsia="zh-CN" w:bidi="ar"/>
              </w:rPr>
              <w:t>4</w:t>
            </w:r>
            <w:r>
              <w:rPr>
                <w:rFonts w:cs="宋体"/>
                <w:szCs w:val="21"/>
                <w:lang w:bidi="ar"/>
              </w:rPr>
              <w:t>分。</w:t>
            </w:r>
            <w:r>
              <w:rPr>
                <w:rFonts w:cs="宋体"/>
                <w:szCs w:val="21"/>
                <w:lang w:bidi="ar"/>
              </w:rPr>
              <w:br w:type="textWrapping"/>
            </w:r>
            <w:r>
              <w:rPr>
                <w:rFonts w:hint="eastAsia" w:cs="宋体"/>
                <w:szCs w:val="21"/>
                <w:lang w:bidi="ar"/>
              </w:rPr>
              <w:t>需提供项目合同关键页复印件，并加盖投标人单位公章，否则不得分。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continue"/>
            <w:vAlign w:val="center"/>
          </w:tcPr>
          <w:p>
            <w:pPr>
              <w:pStyle w:val="30"/>
              <w:jc w:val="center"/>
              <w:rPr>
                <w:rFonts w:cs="宋体"/>
                <w:bCs/>
                <w:szCs w:val="21"/>
              </w:rPr>
            </w:pPr>
          </w:p>
        </w:tc>
        <w:tc>
          <w:tcPr>
            <w:tcW w:w="666" w:type="pct"/>
            <w:vAlign w:val="center"/>
          </w:tcPr>
          <w:p>
            <w:pPr>
              <w:pStyle w:val="30"/>
              <w:jc w:val="center"/>
              <w:rPr>
                <w:rFonts w:cs="宋体"/>
                <w:szCs w:val="21"/>
              </w:rPr>
            </w:pPr>
            <w:r>
              <w:rPr>
                <w:rFonts w:cs="宋体"/>
                <w:szCs w:val="21"/>
                <w:lang w:bidi="ar"/>
              </w:rPr>
              <w:t>投标人综合实力（</w:t>
            </w:r>
            <w:r>
              <w:rPr>
                <w:rFonts w:hint="eastAsia" w:cs="宋体"/>
                <w:szCs w:val="21"/>
                <w:lang w:val="en-US" w:eastAsia="zh-CN" w:bidi="ar"/>
              </w:rPr>
              <w:t>8</w:t>
            </w:r>
            <w:r>
              <w:rPr>
                <w:rFonts w:cs="宋体"/>
                <w:szCs w:val="21"/>
                <w:lang w:bidi="ar"/>
              </w:rPr>
              <w:t>分）</w:t>
            </w:r>
          </w:p>
        </w:tc>
        <w:tc>
          <w:tcPr>
            <w:tcW w:w="3704" w:type="pct"/>
            <w:vAlign w:val="center"/>
          </w:tcPr>
          <w:p>
            <w:pPr>
              <w:pStyle w:val="30"/>
              <w:jc w:val="both"/>
              <w:rPr>
                <w:rFonts w:hint="eastAsia" w:eastAsia="宋体" w:cs="宋体"/>
                <w:szCs w:val="21"/>
                <w:lang w:eastAsia="zh-CN" w:bidi="ar"/>
              </w:rPr>
            </w:pPr>
            <w:r>
              <w:rPr>
                <w:rFonts w:cs="宋体"/>
                <w:szCs w:val="21"/>
                <w:lang w:bidi="ar"/>
              </w:rPr>
              <w:t>1）</w:t>
            </w:r>
            <w:r>
              <w:rPr>
                <w:rFonts w:hint="eastAsia" w:cs="宋体"/>
                <w:kern w:val="0"/>
                <w:szCs w:val="21"/>
                <w:lang w:bidi="ar"/>
              </w:rPr>
              <w:t>具有</w:t>
            </w:r>
            <w:r>
              <w:rPr>
                <w:rFonts w:cs="宋体"/>
                <w:szCs w:val="21"/>
                <w:lang w:bidi="ar"/>
              </w:rPr>
              <w:t>能力成熟度模型集成（CMMI）</w:t>
            </w:r>
            <w:r>
              <w:rPr>
                <w:rFonts w:hint="eastAsia" w:cs="宋体"/>
                <w:kern w:val="0"/>
                <w:szCs w:val="21"/>
                <w:lang w:bidi="ar"/>
              </w:rPr>
              <w:t>三级或以上的得</w:t>
            </w:r>
            <w:r>
              <w:rPr>
                <w:rFonts w:hint="eastAsia" w:cs="宋体"/>
                <w:kern w:val="0"/>
                <w:szCs w:val="21"/>
                <w:lang w:val="en-US" w:eastAsia="zh-CN" w:bidi="ar"/>
              </w:rPr>
              <w:t>2</w:t>
            </w:r>
            <w:r>
              <w:rPr>
                <w:rFonts w:hint="eastAsia" w:cs="宋体"/>
                <w:kern w:val="0"/>
                <w:szCs w:val="21"/>
                <w:lang w:bidi="ar"/>
              </w:rPr>
              <w:t>分，二级</w:t>
            </w:r>
            <w:r>
              <w:rPr>
                <w:rFonts w:hint="eastAsia" w:cs="宋体"/>
                <w:kern w:val="0"/>
                <w:szCs w:val="21"/>
                <w:lang w:val="en-US" w:eastAsia="zh-Hans" w:bidi="ar"/>
              </w:rPr>
              <w:t>或</w:t>
            </w:r>
            <w:r>
              <w:rPr>
                <w:rFonts w:hint="eastAsia" w:cs="宋体"/>
                <w:kern w:val="0"/>
                <w:szCs w:val="21"/>
                <w:lang w:bidi="ar"/>
              </w:rPr>
              <w:t>以下得</w:t>
            </w:r>
            <w:r>
              <w:rPr>
                <w:rFonts w:hint="eastAsia" w:cs="宋体"/>
                <w:kern w:val="0"/>
                <w:szCs w:val="21"/>
                <w:lang w:val="en-US" w:eastAsia="zh-CN" w:bidi="ar"/>
              </w:rPr>
              <w:t>1</w:t>
            </w:r>
            <w:r>
              <w:rPr>
                <w:rFonts w:hint="eastAsia" w:cs="宋体"/>
                <w:kern w:val="0"/>
                <w:szCs w:val="21"/>
                <w:lang w:bidi="ar"/>
              </w:rPr>
              <w:t>分，没有的得</w:t>
            </w:r>
            <w:r>
              <w:rPr>
                <w:rFonts w:cs="宋体"/>
                <w:kern w:val="0"/>
                <w:szCs w:val="21"/>
                <w:lang w:bidi="ar"/>
              </w:rPr>
              <w:t>0</w:t>
            </w:r>
            <w:r>
              <w:rPr>
                <w:rFonts w:hint="eastAsia" w:cs="宋体"/>
                <w:kern w:val="0"/>
                <w:szCs w:val="21"/>
                <w:lang w:bidi="ar"/>
              </w:rPr>
              <w:t>分</w:t>
            </w:r>
            <w:r>
              <w:rPr>
                <w:rFonts w:hint="eastAsia" w:cs="宋体"/>
                <w:szCs w:val="21"/>
                <w:lang w:eastAsia="zh-CN" w:bidi="ar"/>
              </w:rPr>
              <w:t>；</w:t>
            </w:r>
          </w:p>
          <w:p>
            <w:pPr>
              <w:pStyle w:val="30"/>
              <w:jc w:val="both"/>
              <w:rPr>
                <w:rFonts w:cs="宋体"/>
                <w:szCs w:val="21"/>
                <w:lang w:bidi="ar"/>
              </w:rPr>
            </w:pPr>
            <w:r>
              <w:rPr>
                <w:rFonts w:cs="宋体"/>
                <w:szCs w:val="21"/>
                <w:lang w:bidi="ar"/>
              </w:rPr>
              <w:t>2）具有</w:t>
            </w:r>
            <w:r>
              <w:rPr>
                <w:rFonts w:cs="宋体"/>
                <w:kern w:val="0"/>
                <w:szCs w:val="21"/>
                <w:lang w:bidi="ar"/>
              </w:rPr>
              <w:t>ITSS</w:t>
            </w:r>
            <w:r>
              <w:rPr>
                <w:rFonts w:hint="eastAsia" w:cs="宋体"/>
                <w:kern w:val="0"/>
                <w:szCs w:val="21"/>
                <w:lang w:bidi="ar"/>
              </w:rPr>
              <w:t>信息技术服务标准</w:t>
            </w:r>
            <w:r>
              <w:rPr>
                <w:rFonts w:hint="eastAsia" w:cs="宋体"/>
                <w:szCs w:val="21"/>
                <w:lang w:val="en-US" w:eastAsia="zh-CN" w:bidi="ar"/>
              </w:rPr>
              <w:t>二</w:t>
            </w:r>
            <w:r>
              <w:rPr>
                <w:rFonts w:hint="eastAsia" w:cs="宋体"/>
                <w:szCs w:val="21"/>
                <w:lang w:bidi="ar"/>
              </w:rPr>
              <w:t>级或以上认证证书的得</w:t>
            </w:r>
            <w:r>
              <w:rPr>
                <w:rFonts w:hint="eastAsia" w:cs="宋体"/>
                <w:szCs w:val="21"/>
                <w:lang w:val="en-US" w:eastAsia="zh-CN" w:bidi="ar"/>
              </w:rPr>
              <w:t>2</w:t>
            </w:r>
            <w:r>
              <w:rPr>
                <w:rFonts w:hint="eastAsia" w:cs="宋体"/>
                <w:szCs w:val="21"/>
                <w:lang w:bidi="ar"/>
              </w:rPr>
              <w:t>分，</w:t>
            </w:r>
            <w:r>
              <w:rPr>
                <w:rFonts w:hint="eastAsia" w:cs="宋体"/>
                <w:szCs w:val="21"/>
                <w:lang w:val="en-US" w:eastAsia="zh-CN" w:bidi="ar"/>
              </w:rPr>
              <w:t>三</w:t>
            </w:r>
            <w:r>
              <w:rPr>
                <w:rFonts w:hint="eastAsia" w:cs="宋体"/>
                <w:szCs w:val="21"/>
                <w:lang w:bidi="ar"/>
              </w:rPr>
              <w:t>级或以下得1分，没有的得</w:t>
            </w:r>
            <w:r>
              <w:rPr>
                <w:rFonts w:cs="宋体"/>
                <w:szCs w:val="21"/>
                <w:lang w:bidi="ar"/>
              </w:rPr>
              <w:t>0分；</w:t>
            </w:r>
          </w:p>
          <w:p>
            <w:pPr>
              <w:pStyle w:val="30"/>
              <w:jc w:val="both"/>
              <w:rPr>
                <w:rFonts w:cs="宋体"/>
                <w:szCs w:val="21"/>
                <w:lang w:bidi="ar"/>
              </w:rPr>
            </w:pPr>
            <w:r>
              <w:rPr>
                <w:rFonts w:cs="宋体"/>
                <w:szCs w:val="21"/>
                <w:lang w:bidi="ar"/>
              </w:rPr>
              <w:t>3）具有ISO14001环境管理体系认证证书的得1分，没有的得0分；</w:t>
            </w:r>
          </w:p>
          <w:p>
            <w:pPr>
              <w:pStyle w:val="30"/>
              <w:jc w:val="both"/>
              <w:rPr>
                <w:rFonts w:cs="宋体"/>
                <w:szCs w:val="21"/>
                <w:lang w:bidi="ar"/>
              </w:rPr>
            </w:pPr>
            <w:r>
              <w:rPr>
                <w:rFonts w:cs="宋体"/>
                <w:szCs w:val="21"/>
                <w:lang w:bidi="ar"/>
              </w:rPr>
              <w:t>4）具有ISO20000信息技术服务管理体系认证证书的得1分，没有的得0分；</w:t>
            </w:r>
          </w:p>
          <w:p>
            <w:pPr>
              <w:pStyle w:val="30"/>
              <w:jc w:val="both"/>
              <w:rPr>
                <w:rFonts w:cs="宋体"/>
                <w:szCs w:val="21"/>
                <w:lang w:bidi="ar"/>
              </w:rPr>
            </w:pPr>
            <w:r>
              <w:rPr>
                <w:rFonts w:cs="宋体"/>
                <w:szCs w:val="21"/>
                <w:lang w:bidi="ar"/>
              </w:rPr>
              <w:t>5）具有ISO27001信息安全管理体系认证证书的得1分，没有的得0分；</w:t>
            </w:r>
          </w:p>
          <w:p>
            <w:pPr>
              <w:pStyle w:val="30"/>
              <w:jc w:val="both"/>
              <w:rPr>
                <w:rFonts w:cs="宋体"/>
                <w:szCs w:val="21"/>
                <w:lang w:bidi="ar"/>
              </w:rPr>
            </w:pPr>
            <w:r>
              <w:rPr>
                <w:rFonts w:cs="宋体"/>
                <w:szCs w:val="21"/>
                <w:lang w:bidi="ar"/>
              </w:rPr>
              <w:t>6）具有ISO9001质量管理体系认证证书的得1分，没有的得0分；</w:t>
            </w:r>
          </w:p>
          <w:p>
            <w:pPr>
              <w:pStyle w:val="30"/>
              <w:jc w:val="both"/>
              <w:rPr>
                <w:rFonts w:cs="宋体"/>
                <w:szCs w:val="21"/>
                <w:lang w:bidi="ar"/>
              </w:rPr>
            </w:pPr>
            <w:r>
              <w:rPr>
                <w:rFonts w:hint="eastAsia" w:cs="宋体"/>
                <w:szCs w:val="21"/>
                <w:lang w:bidi="ar"/>
              </w:rPr>
              <w:t>本项最高得分为</w:t>
            </w:r>
            <w:r>
              <w:rPr>
                <w:rFonts w:cs="宋体"/>
                <w:szCs w:val="21"/>
                <w:lang w:bidi="ar"/>
              </w:rPr>
              <w:t>8</w:t>
            </w:r>
            <w:r>
              <w:rPr>
                <w:rFonts w:hint="eastAsia" w:cs="宋体"/>
                <w:szCs w:val="21"/>
                <w:lang w:bidi="ar"/>
              </w:rPr>
              <w:t>分。</w:t>
            </w:r>
          </w:p>
          <w:p>
            <w:pPr>
              <w:pStyle w:val="30"/>
              <w:jc w:val="both"/>
              <w:rPr>
                <w:rFonts w:cs="宋体"/>
                <w:szCs w:val="21"/>
                <w:lang w:bidi="ar"/>
              </w:rPr>
            </w:pPr>
            <w:r>
              <w:rPr>
                <w:rFonts w:hint="eastAsia" w:cs="宋体"/>
                <w:szCs w:val="21"/>
                <w:lang w:bidi="ar"/>
              </w:rPr>
              <w:t>需提供相应证书复印件，并加盖投标人单位公章，否则不得分。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continue"/>
            <w:vAlign w:val="center"/>
          </w:tcPr>
          <w:p>
            <w:pPr>
              <w:pStyle w:val="30"/>
              <w:jc w:val="center"/>
              <w:rPr>
                <w:rFonts w:cs="宋体"/>
                <w:bCs/>
                <w:szCs w:val="21"/>
              </w:rPr>
            </w:pPr>
          </w:p>
        </w:tc>
        <w:tc>
          <w:tcPr>
            <w:tcW w:w="666" w:type="pct"/>
            <w:vAlign w:val="center"/>
          </w:tcPr>
          <w:p>
            <w:pPr>
              <w:pStyle w:val="30"/>
              <w:jc w:val="both"/>
              <w:rPr>
                <w:rFonts w:cs="宋体"/>
                <w:szCs w:val="21"/>
              </w:rPr>
            </w:pPr>
            <w:r>
              <w:rPr>
                <w:rFonts w:hint="eastAsia" w:cs="宋体"/>
                <w:szCs w:val="21"/>
              </w:rPr>
              <w:t>项目负责人</w:t>
            </w:r>
            <w:r>
              <w:rPr>
                <w:rFonts w:cs="宋体"/>
                <w:szCs w:val="21"/>
                <w:lang w:bidi="ar"/>
              </w:rPr>
              <w:t>（</w:t>
            </w:r>
            <w:r>
              <w:rPr>
                <w:rFonts w:hint="eastAsia" w:cs="宋体"/>
                <w:szCs w:val="21"/>
                <w:lang w:val="en-US" w:eastAsia="zh-CN" w:bidi="ar"/>
              </w:rPr>
              <w:t>6</w:t>
            </w:r>
            <w:r>
              <w:rPr>
                <w:rFonts w:cs="宋体"/>
                <w:szCs w:val="21"/>
                <w:lang w:bidi="ar"/>
              </w:rPr>
              <w:t>分）</w:t>
            </w:r>
          </w:p>
        </w:tc>
        <w:tc>
          <w:tcPr>
            <w:tcW w:w="3704" w:type="pct"/>
            <w:vAlign w:val="center"/>
          </w:tcPr>
          <w:p>
            <w:pPr>
              <w:pStyle w:val="30"/>
              <w:jc w:val="both"/>
              <w:rPr>
                <w:rFonts w:hint="eastAsia" w:eastAsia="宋体" w:cs="宋体"/>
                <w:szCs w:val="21"/>
                <w:lang w:eastAsia="zh-CN"/>
              </w:rPr>
            </w:pPr>
            <w:r>
              <w:rPr>
                <w:rFonts w:hint="eastAsia" w:cs="宋体"/>
                <w:szCs w:val="21"/>
              </w:rPr>
              <w:t>项目负责人资质情况：</w:t>
            </w:r>
          </w:p>
          <w:p>
            <w:pPr>
              <w:pStyle w:val="30"/>
              <w:numPr>
                <w:ilvl w:val="-1"/>
                <w:numId w:val="0"/>
              </w:numPr>
              <w:jc w:val="both"/>
              <w:rPr>
                <w:rFonts w:hint="eastAsia" w:cs="宋体"/>
                <w:szCs w:val="21"/>
              </w:rPr>
            </w:pPr>
            <w:r>
              <w:rPr>
                <w:rFonts w:hint="eastAsia" w:cs="宋体"/>
                <w:szCs w:val="21"/>
                <w:lang w:val="en-US" w:eastAsia="zh-CN"/>
              </w:rPr>
              <w:t>1）</w:t>
            </w:r>
            <w:r>
              <w:rPr>
                <w:rFonts w:hint="eastAsia" w:cs="宋体"/>
                <w:szCs w:val="21"/>
              </w:rPr>
              <w:t>具有本科（含）或以上学历得1分，本科以下得0.5分；</w:t>
            </w:r>
          </w:p>
          <w:p>
            <w:pPr>
              <w:pStyle w:val="30"/>
              <w:numPr>
                <w:ilvl w:val="-1"/>
                <w:numId w:val="0"/>
              </w:numPr>
              <w:jc w:val="both"/>
              <w:rPr>
                <w:rFonts w:hint="eastAsia" w:cs="宋体"/>
                <w:szCs w:val="21"/>
              </w:rPr>
            </w:pPr>
            <w:r>
              <w:rPr>
                <w:rFonts w:hint="eastAsia" w:cs="宋体"/>
                <w:szCs w:val="21"/>
                <w:lang w:val="en-US" w:eastAsia="zh-CN"/>
              </w:rPr>
              <w:t>2）</w:t>
            </w:r>
            <w:r>
              <w:rPr>
                <w:rFonts w:hint="eastAsia" w:cs="宋体"/>
                <w:szCs w:val="21"/>
              </w:rPr>
              <w:t>具有信息系统项目管理师证书的得2分；</w:t>
            </w:r>
          </w:p>
          <w:p>
            <w:pPr>
              <w:pStyle w:val="30"/>
              <w:numPr>
                <w:ilvl w:val="-1"/>
                <w:numId w:val="0"/>
              </w:numPr>
              <w:jc w:val="both"/>
              <w:rPr>
                <w:rFonts w:hint="eastAsia" w:cs="宋体"/>
                <w:szCs w:val="21"/>
              </w:rPr>
            </w:pPr>
            <w:r>
              <w:rPr>
                <w:rFonts w:hint="eastAsia" w:cs="宋体"/>
                <w:szCs w:val="21"/>
                <w:lang w:val="en-US" w:eastAsia="zh-CN"/>
              </w:rPr>
              <w:t>3）</w:t>
            </w:r>
            <w:r>
              <w:rPr>
                <w:rFonts w:hint="eastAsia" w:cs="宋体"/>
                <w:szCs w:val="21"/>
              </w:rPr>
              <w:t>具有软件设计师证书的得</w:t>
            </w:r>
            <w:r>
              <w:rPr>
                <w:rFonts w:hint="eastAsia" w:cs="宋体"/>
                <w:szCs w:val="21"/>
                <w:lang w:val="en-US" w:eastAsia="zh-CN"/>
              </w:rPr>
              <w:t>2</w:t>
            </w:r>
            <w:r>
              <w:rPr>
                <w:rFonts w:hint="eastAsia" w:cs="宋体"/>
                <w:szCs w:val="21"/>
              </w:rPr>
              <w:t>分；</w:t>
            </w:r>
          </w:p>
          <w:p>
            <w:pPr>
              <w:pStyle w:val="30"/>
              <w:numPr>
                <w:ilvl w:val="-1"/>
                <w:numId w:val="0"/>
              </w:numPr>
              <w:jc w:val="both"/>
              <w:rPr>
                <w:rFonts w:hint="eastAsia" w:cs="宋体"/>
                <w:szCs w:val="21"/>
              </w:rPr>
            </w:pPr>
            <w:r>
              <w:rPr>
                <w:rFonts w:hint="eastAsia" w:cs="宋体"/>
                <w:szCs w:val="21"/>
                <w:lang w:val="en-US" w:eastAsia="zh-CN"/>
              </w:rPr>
              <w:t>4）</w:t>
            </w:r>
            <w:r>
              <w:rPr>
                <w:rFonts w:hint="eastAsia" w:cs="宋体"/>
                <w:szCs w:val="21"/>
              </w:rPr>
              <w:t>具有ITIL证书得1分。</w:t>
            </w:r>
          </w:p>
          <w:p>
            <w:pPr>
              <w:pStyle w:val="30"/>
              <w:jc w:val="both"/>
              <w:rPr>
                <w:rFonts w:hint="eastAsia" w:cs="宋体"/>
                <w:szCs w:val="21"/>
              </w:rPr>
            </w:pPr>
            <w:r>
              <w:rPr>
                <w:rFonts w:hint="eastAsia" w:cs="宋体"/>
                <w:szCs w:val="21"/>
              </w:rPr>
              <w:t>注：提供项目负责人的相关证书复印件以及在投标人单位任职的证明材料（提供截止投标前6个月内任一个月加盖社保部门印章的社保缴纳证明材料或单位代缴个人所得税税单等）扫描件。不按照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continue"/>
            <w:vAlign w:val="center"/>
          </w:tcPr>
          <w:p>
            <w:pPr>
              <w:pStyle w:val="30"/>
              <w:jc w:val="center"/>
              <w:rPr>
                <w:rFonts w:cs="宋体"/>
                <w:bCs/>
                <w:szCs w:val="21"/>
              </w:rPr>
            </w:pPr>
          </w:p>
        </w:tc>
        <w:tc>
          <w:tcPr>
            <w:tcW w:w="666" w:type="pct"/>
            <w:vAlign w:val="center"/>
          </w:tcPr>
          <w:p>
            <w:pPr>
              <w:pStyle w:val="30"/>
              <w:jc w:val="both"/>
              <w:rPr>
                <w:rFonts w:hint="eastAsia" w:cs="宋体"/>
                <w:szCs w:val="21"/>
              </w:rPr>
            </w:pPr>
            <w:r>
              <w:rPr>
                <w:rFonts w:hint="eastAsia" w:cs="宋体"/>
                <w:szCs w:val="21"/>
                <w:lang w:val="en-US" w:eastAsia="zh-CN"/>
              </w:rPr>
              <w:t>主要技术人员（项目负责人除外）</w:t>
            </w:r>
            <w:r>
              <w:rPr>
                <w:rFonts w:cs="宋体"/>
                <w:szCs w:val="21"/>
                <w:lang w:bidi="ar"/>
              </w:rPr>
              <w:t>（</w:t>
            </w:r>
            <w:r>
              <w:rPr>
                <w:rFonts w:hint="eastAsia" w:cs="宋体"/>
                <w:szCs w:val="21"/>
                <w:lang w:val="en-US" w:eastAsia="zh-CN" w:bidi="ar"/>
              </w:rPr>
              <w:t>12</w:t>
            </w:r>
            <w:r>
              <w:rPr>
                <w:rFonts w:cs="宋体"/>
                <w:szCs w:val="21"/>
                <w:lang w:bidi="ar"/>
              </w:rPr>
              <w:t>分）</w:t>
            </w:r>
          </w:p>
          <w:p>
            <w:pPr>
              <w:pStyle w:val="30"/>
              <w:jc w:val="center"/>
              <w:rPr>
                <w:rFonts w:cs="宋体"/>
                <w:szCs w:val="21"/>
              </w:rPr>
            </w:pPr>
          </w:p>
        </w:tc>
        <w:tc>
          <w:tcPr>
            <w:tcW w:w="3704" w:type="pct"/>
            <w:vAlign w:val="center"/>
          </w:tcPr>
          <w:p>
            <w:pPr>
              <w:pStyle w:val="30"/>
              <w:jc w:val="both"/>
              <w:rPr>
                <w:rFonts w:hint="eastAsia" w:cs="宋体"/>
                <w:szCs w:val="21"/>
              </w:rPr>
            </w:pPr>
            <w:r>
              <w:rPr>
                <w:rFonts w:hint="eastAsia" w:cs="宋体"/>
                <w:szCs w:val="21"/>
              </w:rPr>
              <w:t>投标人拟投入本项目的主要技术人员（项目负责人除外）资质情况：</w:t>
            </w:r>
          </w:p>
          <w:p>
            <w:pPr>
              <w:pStyle w:val="30"/>
              <w:numPr>
                <w:ilvl w:val="-1"/>
                <w:numId w:val="0"/>
              </w:numPr>
              <w:jc w:val="both"/>
              <w:rPr>
                <w:rFonts w:hint="eastAsia" w:eastAsia="宋体" w:cs="宋体"/>
                <w:szCs w:val="21"/>
                <w:lang w:eastAsia="zh-CN"/>
              </w:rPr>
            </w:pPr>
            <w:r>
              <w:rPr>
                <w:rFonts w:hint="eastAsia" w:cs="宋体"/>
                <w:szCs w:val="21"/>
                <w:lang w:val="en-US" w:eastAsia="zh-CN"/>
              </w:rPr>
              <w:t>1）</w:t>
            </w:r>
            <w:r>
              <w:rPr>
                <w:rFonts w:hint="eastAsia" w:cs="宋体"/>
                <w:szCs w:val="21"/>
              </w:rPr>
              <w:t>具有网络规划设计师证书的得2分；</w:t>
            </w:r>
          </w:p>
          <w:p>
            <w:pPr>
              <w:pStyle w:val="30"/>
              <w:numPr>
                <w:ilvl w:val="-1"/>
                <w:numId w:val="0"/>
              </w:numPr>
              <w:jc w:val="both"/>
              <w:rPr>
                <w:rFonts w:hint="eastAsia" w:cs="宋体"/>
                <w:szCs w:val="21"/>
              </w:rPr>
            </w:pPr>
            <w:r>
              <w:rPr>
                <w:rFonts w:hint="eastAsia" w:cs="宋体"/>
                <w:szCs w:val="21"/>
                <w:lang w:val="en-US" w:eastAsia="zh-CN"/>
              </w:rPr>
              <w:t>2）</w:t>
            </w:r>
            <w:r>
              <w:rPr>
                <w:rFonts w:hint="eastAsia" w:cs="宋体"/>
                <w:szCs w:val="21"/>
              </w:rPr>
              <w:t>具有系统架构设计师证书的得2分；</w:t>
            </w:r>
          </w:p>
          <w:p>
            <w:pPr>
              <w:pStyle w:val="30"/>
              <w:numPr>
                <w:ilvl w:val="-1"/>
                <w:numId w:val="0"/>
              </w:numPr>
              <w:jc w:val="both"/>
              <w:rPr>
                <w:rFonts w:hint="eastAsia" w:cs="宋体"/>
                <w:szCs w:val="21"/>
              </w:rPr>
            </w:pPr>
            <w:r>
              <w:rPr>
                <w:rFonts w:hint="eastAsia" w:cs="宋体"/>
                <w:szCs w:val="21"/>
                <w:lang w:val="en-US" w:eastAsia="zh-CN"/>
              </w:rPr>
              <w:t>3）</w:t>
            </w:r>
            <w:r>
              <w:rPr>
                <w:rFonts w:hint="eastAsia" w:cs="宋体"/>
                <w:szCs w:val="21"/>
              </w:rPr>
              <w:t>具有具有信息系统项目管理师证书的得2分；</w:t>
            </w:r>
          </w:p>
          <w:p>
            <w:pPr>
              <w:pStyle w:val="30"/>
              <w:numPr>
                <w:ilvl w:val="-1"/>
                <w:numId w:val="0"/>
              </w:numPr>
              <w:jc w:val="both"/>
              <w:rPr>
                <w:rFonts w:hint="eastAsia" w:eastAsia="宋体" w:cs="宋体"/>
                <w:szCs w:val="21"/>
                <w:lang w:eastAsia="zh-CN"/>
              </w:rPr>
            </w:pPr>
            <w:r>
              <w:rPr>
                <w:rFonts w:hint="eastAsia" w:cs="宋体"/>
                <w:szCs w:val="21"/>
                <w:lang w:val="en-US" w:eastAsia="zh-CN"/>
              </w:rPr>
              <w:t>4）</w:t>
            </w:r>
            <w:r>
              <w:rPr>
                <w:rFonts w:hint="eastAsia" w:cs="宋体"/>
                <w:szCs w:val="21"/>
              </w:rPr>
              <w:t>具有数据库系统工程师证书的得1分，最高2分；</w:t>
            </w:r>
          </w:p>
          <w:p>
            <w:pPr>
              <w:pStyle w:val="30"/>
              <w:numPr>
                <w:ilvl w:val="-1"/>
                <w:numId w:val="0"/>
              </w:numPr>
              <w:jc w:val="both"/>
              <w:rPr>
                <w:rFonts w:hint="eastAsia" w:cs="宋体"/>
                <w:szCs w:val="21"/>
              </w:rPr>
            </w:pPr>
            <w:r>
              <w:rPr>
                <w:rFonts w:hint="eastAsia" w:cs="宋体"/>
                <w:szCs w:val="21"/>
                <w:lang w:val="en-US" w:eastAsia="zh-CN"/>
              </w:rPr>
              <w:t>5）</w:t>
            </w:r>
            <w:r>
              <w:rPr>
                <w:rFonts w:hint="eastAsia" w:cs="宋体"/>
                <w:szCs w:val="21"/>
              </w:rPr>
              <w:t>具有软件设计师证书的得1分，最高2分；</w:t>
            </w:r>
          </w:p>
          <w:p>
            <w:pPr>
              <w:pStyle w:val="30"/>
              <w:numPr>
                <w:ilvl w:val="-1"/>
                <w:numId w:val="0"/>
              </w:numPr>
              <w:jc w:val="both"/>
              <w:rPr>
                <w:rFonts w:hint="eastAsia" w:cs="宋体"/>
                <w:szCs w:val="21"/>
              </w:rPr>
            </w:pPr>
            <w:r>
              <w:rPr>
                <w:rFonts w:hint="eastAsia" w:cs="宋体"/>
                <w:szCs w:val="21"/>
                <w:lang w:val="en-US" w:eastAsia="zh-CN"/>
              </w:rPr>
              <w:t>6）</w:t>
            </w:r>
            <w:r>
              <w:rPr>
                <w:rFonts w:hint="eastAsia" w:cs="宋体"/>
                <w:szCs w:val="21"/>
              </w:rPr>
              <w:t>具有网络工程师得1分，最高2分。</w:t>
            </w:r>
          </w:p>
          <w:p>
            <w:pPr>
              <w:pStyle w:val="30"/>
              <w:jc w:val="both"/>
              <w:rPr>
                <w:rFonts w:cs="宋体"/>
                <w:szCs w:val="21"/>
              </w:rPr>
            </w:pPr>
            <w:r>
              <w:rPr>
                <w:rFonts w:hint="eastAsia" w:cs="宋体"/>
                <w:szCs w:val="21"/>
              </w:rPr>
              <w:t>如一人具有多个证书的不重复计分，按一个证书计分（得分最高项）。注：提供团队成员的相关证书复印件以及在投标人单位任职的证明材料（提供截止投标前6个月内任一个月加盖社保部门印章的社保缴纳证明材料或单位代缴个人所得税税单等）扫描件。不按照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Align w:val="center"/>
          </w:tcPr>
          <w:p>
            <w:pPr>
              <w:pStyle w:val="30"/>
              <w:jc w:val="center"/>
              <w:rPr>
                <w:rFonts w:cs="宋体"/>
                <w:bCs/>
                <w:szCs w:val="21"/>
              </w:rPr>
            </w:pPr>
            <w:r>
              <w:rPr>
                <w:rFonts w:hint="eastAsia" w:cs="宋体"/>
                <w:szCs w:val="21"/>
                <w:lang w:bidi="ar"/>
              </w:rPr>
              <w:t>价格评分（10分）</w:t>
            </w:r>
          </w:p>
        </w:tc>
        <w:tc>
          <w:tcPr>
            <w:tcW w:w="666" w:type="pct"/>
            <w:vAlign w:val="center"/>
          </w:tcPr>
          <w:p>
            <w:pPr>
              <w:pStyle w:val="30"/>
              <w:jc w:val="center"/>
              <w:rPr>
                <w:rFonts w:cs="宋体"/>
                <w:szCs w:val="21"/>
              </w:rPr>
            </w:pPr>
            <w:r>
              <w:rPr>
                <w:rFonts w:hint="eastAsia" w:cs="宋体"/>
                <w:szCs w:val="21"/>
                <w:lang w:val="en-US" w:eastAsia="zh-CN"/>
              </w:rPr>
              <w:t>价格评审因素</w:t>
            </w:r>
          </w:p>
        </w:tc>
        <w:tc>
          <w:tcPr>
            <w:tcW w:w="3704" w:type="pct"/>
            <w:vAlign w:val="center"/>
          </w:tcPr>
          <w:p>
            <w:pPr>
              <w:pStyle w:val="30"/>
              <w:jc w:val="both"/>
              <w:rPr>
                <w:rFonts w:hint="eastAsia" w:cs="宋体"/>
                <w:szCs w:val="21"/>
              </w:rPr>
            </w:pPr>
            <w:r>
              <w:rPr>
                <w:rFonts w:hint="eastAsia" w:cs="宋体"/>
                <w:szCs w:val="21"/>
              </w:rPr>
              <w:t>经评标委员会审核，满足招标文件要求且进行了政策性价格扣除</w:t>
            </w:r>
          </w:p>
          <w:p>
            <w:pPr>
              <w:pStyle w:val="30"/>
              <w:jc w:val="both"/>
              <w:rPr>
                <w:rFonts w:hint="eastAsia" w:cs="宋体"/>
                <w:szCs w:val="21"/>
              </w:rPr>
            </w:pPr>
            <w:r>
              <w:rPr>
                <w:rFonts w:hint="eastAsia" w:cs="宋体"/>
                <w:szCs w:val="21"/>
              </w:rPr>
              <w:t>后，以评标价格的最低价者定为评标基准价，其价格分为满分。</w:t>
            </w:r>
          </w:p>
          <w:p>
            <w:pPr>
              <w:pStyle w:val="30"/>
              <w:jc w:val="both"/>
              <w:rPr>
                <w:rFonts w:hint="eastAsia" w:cs="宋体"/>
                <w:szCs w:val="21"/>
              </w:rPr>
            </w:pPr>
            <w:r>
              <w:rPr>
                <w:rFonts w:hint="eastAsia" w:cs="宋体"/>
                <w:szCs w:val="21"/>
              </w:rPr>
              <w:t>其他投标人的价格分统一按下列公式折算递减。即：</w:t>
            </w:r>
          </w:p>
          <w:p>
            <w:pPr>
              <w:pStyle w:val="30"/>
              <w:jc w:val="both"/>
              <w:rPr>
                <w:rFonts w:hint="eastAsia" w:cs="宋体"/>
                <w:szCs w:val="21"/>
              </w:rPr>
            </w:pPr>
            <w:r>
              <w:rPr>
                <w:rFonts w:hint="eastAsia" w:cs="宋体"/>
                <w:szCs w:val="21"/>
              </w:rPr>
              <w:t>评标基准价=评标价格的最低价=满价格评分权重分</w:t>
            </w:r>
          </w:p>
          <w:p>
            <w:pPr>
              <w:pStyle w:val="30"/>
              <w:jc w:val="both"/>
              <w:rPr>
                <w:rFonts w:hint="eastAsia" w:cs="宋体"/>
                <w:szCs w:val="21"/>
              </w:rPr>
            </w:pPr>
            <w:r>
              <w:rPr>
                <w:rFonts w:hint="eastAsia" w:cs="宋体"/>
                <w:szCs w:val="21"/>
              </w:rPr>
              <w:t>其他投标报价得分=(评标基准价÷评标价格)×价格评分权重</w:t>
            </w:r>
          </w:p>
          <w:p>
            <w:pPr>
              <w:pStyle w:val="30"/>
              <w:jc w:val="both"/>
              <w:rPr>
                <w:rFonts w:cs="宋体"/>
                <w:szCs w:val="21"/>
              </w:rPr>
            </w:pPr>
            <w:r>
              <w:rPr>
                <w:rFonts w:hint="eastAsia" w:cs="宋体"/>
                <w:szCs w:val="21"/>
              </w:rPr>
              <w:t>（评标价格、评标基准价均精确到两位小数）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vAlign w:val="center"/>
          </w:tcPr>
          <w:p>
            <w:pPr>
              <w:pStyle w:val="30"/>
              <w:jc w:val="both"/>
              <w:rPr>
                <w:rFonts w:cs="宋体"/>
                <w:szCs w:val="21"/>
              </w:rPr>
            </w:pPr>
            <w:r>
              <w:rPr>
                <w:rFonts w:hint="eastAsia"/>
                <w:sz w:val="24"/>
                <w:szCs w:val="24"/>
              </w:rPr>
              <w:t>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ind w:firstLine="480"/>
      </w:pPr>
    </w:p>
    <w:p>
      <w:pPr>
        <w:ind w:firstLine="480"/>
        <w:jc w:val="righ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Times New Roman" w:hAnsi="Times New Roman"/>
        <w:sz w:val="21"/>
        <w:szCs w:val="21"/>
      </w:rPr>
    </w:sdtEndPr>
    <w:sdtContent>
      <w:p>
        <w:pPr>
          <w:ind w:firstLine="0" w:firstLineChars="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29</w:t>
        </w:r>
        <w:r>
          <w:rPr>
            <w:rFonts w:ascii="Times New Roman" w:hAnsi="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A40FF"/>
    <w:multiLevelType w:val="multilevel"/>
    <w:tmpl w:val="18CA40FF"/>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10"/>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40F42138"/>
    <w:multiLevelType w:val="multilevel"/>
    <w:tmpl w:val="40F42138"/>
    <w:lvl w:ilvl="0" w:tentative="0">
      <w:start w:val="1"/>
      <w:numFmt w:val="decimal"/>
      <w:pStyle w:val="3"/>
      <w:lvlText w:val="%1"/>
      <w:lvlJc w:val="left"/>
      <w:pPr>
        <w:ind w:left="0" w:firstLine="0"/>
      </w:pPr>
      <w:rPr>
        <w:rFonts w:hint="eastAsia"/>
      </w:rPr>
    </w:lvl>
    <w:lvl w:ilvl="1" w:tentative="0">
      <w:start w:val="1"/>
      <w:numFmt w:val="decimal"/>
      <w:pStyle w:val="4"/>
      <w:lvlText w:val="%1.%2"/>
      <w:lvlJc w:val="left"/>
      <w:pPr>
        <w:ind w:left="0" w:firstLine="0"/>
      </w:pPr>
      <w:rPr>
        <w:rFonts w:hint="eastAsia"/>
      </w:rPr>
    </w:lvl>
    <w:lvl w:ilvl="2" w:tentative="0">
      <w:start w:val="1"/>
      <w:numFmt w:val="decimal"/>
      <w:pStyle w:val="6"/>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pStyle w:val="8"/>
      <w:lvlText w:val="%1.%2.%3.%4.%5"/>
      <w:lvlJc w:val="left"/>
      <w:pPr>
        <w:ind w:left="0" w:firstLine="0"/>
      </w:pPr>
      <w:rPr>
        <w:rFonts w:hint="eastAsia"/>
      </w:rPr>
    </w:lvl>
    <w:lvl w:ilvl="5" w:tentative="0">
      <w:start w:val="1"/>
      <w:numFmt w:val="decimal"/>
      <w:pStyle w:val="9"/>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pStyle w:val="11"/>
      <w:lvlText w:val="%1.%2.%3.%4.%5.%6.%7.%8"/>
      <w:lvlJc w:val="left"/>
      <w:pPr>
        <w:ind w:left="0" w:firstLine="0"/>
      </w:pPr>
      <w:rPr>
        <w:rFonts w:hint="eastAsia"/>
      </w:rPr>
    </w:lvl>
    <w:lvl w:ilvl="8" w:tentative="0">
      <w:start w:val="1"/>
      <w:numFmt w:val="decimal"/>
      <w:pStyle w:val="12"/>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5D"/>
    <w:rsid w:val="00001378"/>
    <w:rsid w:val="00004AAC"/>
    <w:rsid w:val="00010749"/>
    <w:rsid w:val="000133AC"/>
    <w:rsid w:val="00021B59"/>
    <w:rsid w:val="0003356D"/>
    <w:rsid w:val="000423E1"/>
    <w:rsid w:val="00042551"/>
    <w:rsid w:val="00073601"/>
    <w:rsid w:val="00073BB7"/>
    <w:rsid w:val="000773EA"/>
    <w:rsid w:val="00082180"/>
    <w:rsid w:val="0008625D"/>
    <w:rsid w:val="00092C3E"/>
    <w:rsid w:val="000A4BBD"/>
    <w:rsid w:val="000A6FDC"/>
    <w:rsid w:val="000B1241"/>
    <w:rsid w:val="000B4BBB"/>
    <w:rsid w:val="000B6AA3"/>
    <w:rsid w:val="000F01CC"/>
    <w:rsid w:val="000F7640"/>
    <w:rsid w:val="001001AF"/>
    <w:rsid w:val="00100684"/>
    <w:rsid w:val="00103C13"/>
    <w:rsid w:val="00130E90"/>
    <w:rsid w:val="00131878"/>
    <w:rsid w:val="001341AA"/>
    <w:rsid w:val="00155BCF"/>
    <w:rsid w:val="00155E8F"/>
    <w:rsid w:val="00167DE7"/>
    <w:rsid w:val="00173063"/>
    <w:rsid w:val="0017387F"/>
    <w:rsid w:val="0017391D"/>
    <w:rsid w:val="00174CD8"/>
    <w:rsid w:val="00183CD7"/>
    <w:rsid w:val="0018412B"/>
    <w:rsid w:val="0018660D"/>
    <w:rsid w:val="001924FE"/>
    <w:rsid w:val="001979DA"/>
    <w:rsid w:val="001B16FD"/>
    <w:rsid w:val="001C439E"/>
    <w:rsid w:val="001E4B21"/>
    <w:rsid w:val="00202A69"/>
    <w:rsid w:val="002067AB"/>
    <w:rsid w:val="0021233C"/>
    <w:rsid w:val="00217917"/>
    <w:rsid w:val="00220B71"/>
    <w:rsid w:val="002340CA"/>
    <w:rsid w:val="00234408"/>
    <w:rsid w:val="00235B75"/>
    <w:rsid w:val="002521B1"/>
    <w:rsid w:val="002601D7"/>
    <w:rsid w:val="00263725"/>
    <w:rsid w:val="00267E6F"/>
    <w:rsid w:val="00277DAA"/>
    <w:rsid w:val="00280B04"/>
    <w:rsid w:val="0028172B"/>
    <w:rsid w:val="00291DED"/>
    <w:rsid w:val="00296A25"/>
    <w:rsid w:val="002A14DC"/>
    <w:rsid w:val="002A5F94"/>
    <w:rsid w:val="002C54CD"/>
    <w:rsid w:val="002D00C6"/>
    <w:rsid w:val="002D5A37"/>
    <w:rsid w:val="002D70E5"/>
    <w:rsid w:val="00301835"/>
    <w:rsid w:val="0031203C"/>
    <w:rsid w:val="00313EF3"/>
    <w:rsid w:val="00321BC0"/>
    <w:rsid w:val="0032382F"/>
    <w:rsid w:val="00331845"/>
    <w:rsid w:val="003519DF"/>
    <w:rsid w:val="00361316"/>
    <w:rsid w:val="00374A2C"/>
    <w:rsid w:val="00381763"/>
    <w:rsid w:val="003A3C12"/>
    <w:rsid w:val="003B3151"/>
    <w:rsid w:val="003B3EF9"/>
    <w:rsid w:val="003B6B43"/>
    <w:rsid w:val="003D5F76"/>
    <w:rsid w:val="003D76FA"/>
    <w:rsid w:val="003E4E51"/>
    <w:rsid w:val="003E59E6"/>
    <w:rsid w:val="003F6CF7"/>
    <w:rsid w:val="00401A17"/>
    <w:rsid w:val="00411554"/>
    <w:rsid w:val="004165FC"/>
    <w:rsid w:val="00422848"/>
    <w:rsid w:val="00425D93"/>
    <w:rsid w:val="00430B94"/>
    <w:rsid w:val="00431BC4"/>
    <w:rsid w:val="0044327E"/>
    <w:rsid w:val="004468A4"/>
    <w:rsid w:val="00451253"/>
    <w:rsid w:val="00463486"/>
    <w:rsid w:val="00463BD6"/>
    <w:rsid w:val="00476DDA"/>
    <w:rsid w:val="00477E25"/>
    <w:rsid w:val="0048517D"/>
    <w:rsid w:val="004858BA"/>
    <w:rsid w:val="00486F2D"/>
    <w:rsid w:val="0049258A"/>
    <w:rsid w:val="00497F4C"/>
    <w:rsid w:val="004A7052"/>
    <w:rsid w:val="004B3172"/>
    <w:rsid w:val="004B6991"/>
    <w:rsid w:val="004E23BC"/>
    <w:rsid w:val="004E4E34"/>
    <w:rsid w:val="004E640C"/>
    <w:rsid w:val="004E7CEB"/>
    <w:rsid w:val="004F00C0"/>
    <w:rsid w:val="004F61E1"/>
    <w:rsid w:val="005004E5"/>
    <w:rsid w:val="005030B2"/>
    <w:rsid w:val="005167D3"/>
    <w:rsid w:val="005208C9"/>
    <w:rsid w:val="00521294"/>
    <w:rsid w:val="005241CC"/>
    <w:rsid w:val="00533F7B"/>
    <w:rsid w:val="005377D5"/>
    <w:rsid w:val="00551108"/>
    <w:rsid w:val="005674B6"/>
    <w:rsid w:val="00576181"/>
    <w:rsid w:val="0058065D"/>
    <w:rsid w:val="00587B00"/>
    <w:rsid w:val="0059103A"/>
    <w:rsid w:val="005958EE"/>
    <w:rsid w:val="005A17CD"/>
    <w:rsid w:val="005B54F9"/>
    <w:rsid w:val="005C0431"/>
    <w:rsid w:val="005C0551"/>
    <w:rsid w:val="005C2041"/>
    <w:rsid w:val="005F03B4"/>
    <w:rsid w:val="005F2A50"/>
    <w:rsid w:val="00606CCF"/>
    <w:rsid w:val="00617B0B"/>
    <w:rsid w:val="006324CD"/>
    <w:rsid w:val="00635312"/>
    <w:rsid w:val="00644E44"/>
    <w:rsid w:val="00647476"/>
    <w:rsid w:val="00660304"/>
    <w:rsid w:val="00663B2C"/>
    <w:rsid w:val="00670869"/>
    <w:rsid w:val="00681EA8"/>
    <w:rsid w:val="006A6714"/>
    <w:rsid w:val="006B25A5"/>
    <w:rsid w:val="006C75E8"/>
    <w:rsid w:val="006E60EA"/>
    <w:rsid w:val="006E71DD"/>
    <w:rsid w:val="006F7DA4"/>
    <w:rsid w:val="00703FDF"/>
    <w:rsid w:val="00706059"/>
    <w:rsid w:val="00736681"/>
    <w:rsid w:val="007454FF"/>
    <w:rsid w:val="007529AB"/>
    <w:rsid w:val="007561F9"/>
    <w:rsid w:val="00756651"/>
    <w:rsid w:val="00763CE7"/>
    <w:rsid w:val="00765887"/>
    <w:rsid w:val="00774085"/>
    <w:rsid w:val="0077754C"/>
    <w:rsid w:val="00783FAE"/>
    <w:rsid w:val="007A519A"/>
    <w:rsid w:val="007B0898"/>
    <w:rsid w:val="007B3C2E"/>
    <w:rsid w:val="007B561D"/>
    <w:rsid w:val="007C11AA"/>
    <w:rsid w:val="007D0F2E"/>
    <w:rsid w:val="007D311E"/>
    <w:rsid w:val="007D36D0"/>
    <w:rsid w:val="007D37B1"/>
    <w:rsid w:val="007D3AE3"/>
    <w:rsid w:val="007E51D4"/>
    <w:rsid w:val="007E5B40"/>
    <w:rsid w:val="007E627E"/>
    <w:rsid w:val="007E7934"/>
    <w:rsid w:val="007F51E3"/>
    <w:rsid w:val="008043B2"/>
    <w:rsid w:val="008046D5"/>
    <w:rsid w:val="008209B6"/>
    <w:rsid w:val="008251F6"/>
    <w:rsid w:val="0084027B"/>
    <w:rsid w:val="00842A38"/>
    <w:rsid w:val="00845B5B"/>
    <w:rsid w:val="00853BCF"/>
    <w:rsid w:val="00855AE3"/>
    <w:rsid w:val="00866F2F"/>
    <w:rsid w:val="00881030"/>
    <w:rsid w:val="00882637"/>
    <w:rsid w:val="00894C0A"/>
    <w:rsid w:val="008A6C35"/>
    <w:rsid w:val="008A7A01"/>
    <w:rsid w:val="008A7E3F"/>
    <w:rsid w:val="008B0FBD"/>
    <w:rsid w:val="008B2A2B"/>
    <w:rsid w:val="008B39C7"/>
    <w:rsid w:val="008C1F5A"/>
    <w:rsid w:val="008C27E2"/>
    <w:rsid w:val="008C2BC3"/>
    <w:rsid w:val="00902B0C"/>
    <w:rsid w:val="009066D1"/>
    <w:rsid w:val="00906A01"/>
    <w:rsid w:val="0090709E"/>
    <w:rsid w:val="00910701"/>
    <w:rsid w:val="00912A8A"/>
    <w:rsid w:val="00913A07"/>
    <w:rsid w:val="009147EB"/>
    <w:rsid w:val="00932D95"/>
    <w:rsid w:val="0094429A"/>
    <w:rsid w:val="00963498"/>
    <w:rsid w:val="00986CB9"/>
    <w:rsid w:val="00995B78"/>
    <w:rsid w:val="009C21DE"/>
    <w:rsid w:val="009C37BA"/>
    <w:rsid w:val="009D0269"/>
    <w:rsid w:val="009D1F2B"/>
    <w:rsid w:val="009D4C86"/>
    <w:rsid w:val="009E1FE3"/>
    <w:rsid w:val="009F21B6"/>
    <w:rsid w:val="009F21E7"/>
    <w:rsid w:val="009F3E57"/>
    <w:rsid w:val="009F4A75"/>
    <w:rsid w:val="00A14434"/>
    <w:rsid w:val="00A20439"/>
    <w:rsid w:val="00A34230"/>
    <w:rsid w:val="00A451B6"/>
    <w:rsid w:val="00A501DF"/>
    <w:rsid w:val="00A619BF"/>
    <w:rsid w:val="00A65C4F"/>
    <w:rsid w:val="00A66AB7"/>
    <w:rsid w:val="00A748FF"/>
    <w:rsid w:val="00A767A7"/>
    <w:rsid w:val="00A76FD4"/>
    <w:rsid w:val="00A90A1E"/>
    <w:rsid w:val="00A9639F"/>
    <w:rsid w:val="00AB69CA"/>
    <w:rsid w:val="00AC5B45"/>
    <w:rsid w:val="00AC5D81"/>
    <w:rsid w:val="00AE270F"/>
    <w:rsid w:val="00AE798D"/>
    <w:rsid w:val="00AF1631"/>
    <w:rsid w:val="00AF3503"/>
    <w:rsid w:val="00AF7695"/>
    <w:rsid w:val="00B01907"/>
    <w:rsid w:val="00B02863"/>
    <w:rsid w:val="00B15685"/>
    <w:rsid w:val="00B207DF"/>
    <w:rsid w:val="00B23379"/>
    <w:rsid w:val="00B27F6F"/>
    <w:rsid w:val="00B334D5"/>
    <w:rsid w:val="00B33E9D"/>
    <w:rsid w:val="00B46AA7"/>
    <w:rsid w:val="00B52339"/>
    <w:rsid w:val="00B525CE"/>
    <w:rsid w:val="00B57CB5"/>
    <w:rsid w:val="00B6272B"/>
    <w:rsid w:val="00B65869"/>
    <w:rsid w:val="00B65B67"/>
    <w:rsid w:val="00B67F80"/>
    <w:rsid w:val="00B729E3"/>
    <w:rsid w:val="00B93467"/>
    <w:rsid w:val="00B94829"/>
    <w:rsid w:val="00B96F06"/>
    <w:rsid w:val="00B97102"/>
    <w:rsid w:val="00BA6DD1"/>
    <w:rsid w:val="00BA72AD"/>
    <w:rsid w:val="00BB7D89"/>
    <w:rsid w:val="00BC1DD6"/>
    <w:rsid w:val="00BC4F11"/>
    <w:rsid w:val="00BC57CD"/>
    <w:rsid w:val="00BE244F"/>
    <w:rsid w:val="00BE382F"/>
    <w:rsid w:val="00BF0BF1"/>
    <w:rsid w:val="00BF2F36"/>
    <w:rsid w:val="00BF40CC"/>
    <w:rsid w:val="00C001B8"/>
    <w:rsid w:val="00C043EC"/>
    <w:rsid w:val="00C15996"/>
    <w:rsid w:val="00C159CD"/>
    <w:rsid w:val="00C1686B"/>
    <w:rsid w:val="00C22C24"/>
    <w:rsid w:val="00C27700"/>
    <w:rsid w:val="00C30EAA"/>
    <w:rsid w:val="00C344B6"/>
    <w:rsid w:val="00C34889"/>
    <w:rsid w:val="00C34CD3"/>
    <w:rsid w:val="00C41489"/>
    <w:rsid w:val="00C46E59"/>
    <w:rsid w:val="00C53F6A"/>
    <w:rsid w:val="00C5493C"/>
    <w:rsid w:val="00C55ADF"/>
    <w:rsid w:val="00C565EF"/>
    <w:rsid w:val="00C633EA"/>
    <w:rsid w:val="00C65252"/>
    <w:rsid w:val="00C66321"/>
    <w:rsid w:val="00C801AE"/>
    <w:rsid w:val="00C85F99"/>
    <w:rsid w:val="00C87C54"/>
    <w:rsid w:val="00C91122"/>
    <w:rsid w:val="00CA28B2"/>
    <w:rsid w:val="00CA6503"/>
    <w:rsid w:val="00CB6139"/>
    <w:rsid w:val="00CC768D"/>
    <w:rsid w:val="00CE0B10"/>
    <w:rsid w:val="00CF1362"/>
    <w:rsid w:val="00D014D0"/>
    <w:rsid w:val="00D23536"/>
    <w:rsid w:val="00D255A0"/>
    <w:rsid w:val="00D2772F"/>
    <w:rsid w:val="00D33606"/>
    <w:rsid w:val="00D37479"/>
    <w:rsid w:val="00D421BF"/>
    <w:rsid w:val="00D42667"/>
    <w:rsid w:val="00D5058A"/>
    <w:rsid w:val="00D50EFF"/>
    <w:rsid w:val="00D52513"/>
    <w:rsid w:val="00D56DFF"/>
    <w:rsid w:val="00D708FC"/>
    <w:rsid w:val="00D91F22"/>
    <w:rsid w:val="00D963EA"/>
    <w:rsid w:val="00DC03EE"/>
    <w:rsid w:val="00DC68D1"/>
    <w:rsid w:val="00DC77B0"/>
    <w:rsid w:val="00DD7AD0"/>
    <w:rsid w:val="00DE2382"/>
    <w:rsid w:val="00DE523B"/>
    <w:rsid w:val="00E02544"/>
    <w:rsid w:val="00E13CF8"/>
    <w:rsid w:val="00E20026"/>
    <w:rsid w:val="00E208E8"/>
    <w:rsid w:val="00E2269B"/>
    <w:rsid w:val="00E267BF"/>
    <w:rsid w:val="00E30E4D"/>
    <w:rsid w:val="00E3152D"/>
    <w:rsid w:val="00E32641"/>
    <w:rsid w:val="00E3532E"/>
    <w:rsid w:val="00E371E0"/>
    <w:rsid w:val="00E40768"/>
    <w:rsid w:val="00E43C4B"/>
    <w:rsid w:val="00E56655"/>
    <w:rsid w:val="00E64661"/>
    <w:rsid w:val="00E65A8D"/>
    <w:rsid w:val="00E65D1B"/>
    <w:rsid w:val="00E662E0"/>
    <w:rsid w:val="00E70091"/>
    <w:rsid w:val="00E71E15"/>
    <w:rsid w:val="00E77F59"/>
    <w:rsid w:val="00E8762F"/>
    <w:rsid w:val="00E900C1"/>
    <w:rsid w:val="00E9249D"/>
    <w:rsid w:val="00EA6AFE"/>
    <w:rsid w:val="00EB6E8F"/>
    <w:rsid w:val="00ED0F35"/>
    <w:rsid w:val="00ED4605"/>
    <w:rsid w:val="00EE04F3"/>
    <w:rsid w:val="00EF1E39"/>
    <w:rsid w:val="00F02C82"/>
    <w:rsid w:val="00F06334"/>
    <w:rsid w:val="00F145BA"/>
    <w:rsid w:val="00F16C60"/>
    <w:rsid w:val="00F30E7C"/>
    <w:rsid w:val="00F32DA3"/>
    <w:rsid w:val="00F32E98"/>
    <w:rsid w:val="00F33B8A"/>
    <w:rsid w:val="00F34BDD"/>
    <w:rsid w:val="00F533D5"/>
    <w:rsid w:val="00F56B66"/>
    <w:rsid w:val="00F6321A"/>
    <w:rsid w:val="00F67080"/>
    <w:rsid w:val="00F70694"/>
    <w:rsid w:val="00F70D2C"/>
    <w:rsid w:val="00F72C40"/>
    <w:rsid w:val="00F732D2"/>
    <w:rsid w:val="00F7434D"/>
    <w:rsid w:val="00F74D53"/>
    <w:rsid w:val="00F83835"/>
    <w:rsid w:val="00F863C9"/>
    <w:rsid w:val="00F95812"/>
    <w:rsid w:val="00FB0F18"/>
    <w:rsid w:val="00FB35D4"/>
    <w:rsid w:val="00FB55C0"/>
    <w:rsid w:val="00FC3B62"/>
    <w:rsid w:val="00FD23C8"/>
    <w:rsid w:val="00FD2DE9"/>
    <w:rsid w:val="00FD3EBE"/>
    <w:rsid w:val="00FF7196"/>
    <w:rsid w:val="01793591"/>
    <w:rsid w:val="01A8320F"/>
    <w:rsid w:val="01A87401"/>
    <w:rsid w:val="01AD5316"/>
    <w:rsid w:val="01B64E4F"/>
    <w:rsid w:val="02301FCF"/>
    <w:rsid w:val="02A634C9"/>
    <w:rsid w:val="030C5A58"/>
    <w:rsid w:val="031152C7"/>
    <w:rsid w:val="03240049"/>
    <w:rsid w:val="032C7935"/>
    <w:rsid w:val="033635A1"/>
    <w:rsid w:val="033B4B1F"/>
    <w:rsid w:val="035B024F"/>
    <w:rsid w:val="038449CE"/>
    <w:rsid w:val="038F3773"/>
    <w:rsid w:val="03C448F7"/>
    <w:rsid w:val="03DE7850"/>
    <w:rsid w:val="047E0838"/>
    <w:rsid w:val="048A6AAF"/>
    <w:rsid w:val="049C69B2"/>
    <w:rsid w:val="04AE6219"/>
    <w:rsid w:val="04BA0275"/>
    <w:rsid w:val="04EE3B51"/>
    <w:rsid w:val="051C4018"/>
    <w:rsid w:val="05211C8B"/>
    <w:rsid w:val="05257DD6"/>
    <w:rsid w:val="055233E3"/>
    <w:rsid w:val="055313B9"/>
    <w:rsid w:val="05584E03"/>
    <w:rsid w:val="05975FFC"/>
    <w:rsid w:val="05BE5B43"/>
    <w:rsid w:val="05EC2CBE"/>
    <w:rsid w:val="05EF77EC"/>
    <w:rsid w:val="05F7344A"/>
    <w:rsid w:val="061A396B"/>
    <w:rsid w:val="063F702F"/>
    <w:rsid w:val="06652A41"/>
    <w:rsid w:val="067319E0"/>
    <w:rsid w:val="06CD1CB5"/>
    <w:rsid w:val="06EA78C0"/>
    <w:rsid w:val="06F40564"/>
    <w:rsid w:val="06F757B1"/>
    <w:rsid w:val="070219E7"/>
    <w:rsid w:val="071023CF"/>
    <w:rsid w:val="073653A5"/>
    <w:rsid w:val="07480E14"/>
    <w:rsid w:val="07846CF3"/>
    <w:rsid w:val="0791786A"/>
    <w:rsid w:val="07A17C7E"/>
    <w:rsid w:val="07AB4FCB"/>
    <w:rsid w:val="07B7214D"/>
    <w:rsid w:val="07B874E0"/>
    <w:rsid w:val="07E4781F"/>
    <w:rsid w:val="080F2216"/>
    <w:rsid w:val="088475FD"/>
    <w:rsid w:val="08C843BF"/>
    <w:rsid w:val="08E42BD2"/>
    <w:rsid w:val="09055BC4"/>
    <w:rsid w:val="09061C7F"/>
    <w:rsid w:val="09232FBB"/>
    <w:rsid w:val="09992538"/>
    <w:rsid w:val="09AA7C1B"/>
    <w:rsid w:val="09D50760"/>
    <w:rsid w:val="0A043EBA"/>
    <w:rsid w:val="0A172A13"/>
    <w:rsid w:val="0A40746F"/>
    <w:rsid w:val="0A407E20"/>
    <w:rsid w:val="0A892692"/>
    <w:rsid w:val="0AC901C8"/>
    <w:rsid w:val="0AFA76DB"/>
    <w:rsid w:val="0B0822E1"/>
    <w:rsid w:val="0B3C7C36"/>
    <w:rsid w:val="0BDE10D7"/>
    <w:rsid w:val="0BE358DF"/>
    <w:rsid w:val="0BED0F30"/>
    <w:rsid w:val="0C32780A"/>
    <w:rsid w:val="0C327FB5"/>
    <w:rsid w:val="0C3E56E9"/>
    <w:rsid w:val="0C9B1839"/>
    <w:rsid w:val="0CF120E3"/>
    <w:rsid w:val="0CF816FF"/>
    <w:rsid w:val="0D0F2D20"/>
    <w:rsid w:val="0D494271"/>
    <w:rsid w:val="0D4B17CB"/>
    <w:rsid w:val="0DA060DC"/>
    <w:rsid w:val="0DAC1F07"/>
    <w:rsid w:val="0DBA7CBA"/>
    <w:rsid w:val="0DD47B10"/>
    <w:rsid w:val="0DDA19DB"/>
    <w:rsid w:val="0DDE5C3C"/>
    <w:rsid w:val="0E0E114D"/>
    <w:rsid w:val="0E5A1EF5"/>
    <w:rsid w:val="0E8815B5"/>
    <w:rsid w:val="0E9B1118"/>
    <w:rsid w:val="0ECF1A84"/>
    <w:rsid w:val="0EEF106F"/>
    <w:rsid w:val="0F1A64E0"/>
    <w:rsid w:val="0F287CBB"/>
    <w:rsid w:val="0F5C4047"/>
    <w:rsid w:val="0FAB4892"/>
    <w:rsid w:val="0FE1186B"/>
    <w:rsid w:val="1051221A"/>
    <w:rsid w:val="109115BE"/>
    <w:rsid w:val="10A654AD"/>
    <w:rsid w:val="1102547E"/>
    <w:rsid w:val="113162EF"/>
    <w:rsid w:val="11333DF9"/>
    <w:rsid w:val="117B17FC"/>
    <w:rsid w:val="11AA1E6B"/>
    <w:rsid w:val="120E0DFF"/>
    <w:rsid w:val="12D94129"/>
    <w:rsid w:val="13131BF1"/>
    <w:rsid w:val="135828C1"/>
    <w:rsid w:val="13A50343"/>
    <w:rsid w:val="13AC1068"/>
    <w:rsid w:val="13DB0086"/>
    <w:rsid w:val="13F31818"/>
    <w:rsid w:val="140B1FE9"/>
    <w:rsid w:val="1418110C"/>
    <w:rsid w:val="14185B34"/>
    <w:rsid w:val="14366E21"/>
    <w:rsid w:val="14883EEC"/>
    <w:rsid w:val="149B517D"/>
    <w:rsid w:val="14C05F2E"/>
    <w:rsid w:val="14F14C5C"/>
    <w:rsid w:val="15504924"/>
    <w:rsid w:val="15AD303A"/>
    <w:rsid w:val="15B1322A"/>
    <w:rsid w:val="15CB297F"/>
    <w:rsid w:val="15DE7EA3"/>
    <w:rsid w:val="161D0181"/>
    <w:rsid w:val="166834E2"/>
    <w:rsid w:val="167A2E4B"/>
    <w:rsid w:val="16842FD8"/>
    <w:rsid w:val="16A314E0"/>
    <w:rsid w:val="16AD5BDB"/>
    <w:rsid w:val="16C06D73"/>
    <w:rsid w:val="16D222FB"/>
    <w:rsid w:val="17186BB3"/>
    <w:rsid w:val="17320311"/>
    <w:rsid w:val="173A617C"/>
    <w:rsid w:val="17471332"/>
    <w:rsid w:val="175F4D14"/>
    <w:rsid w:val="1766326A"/>
    <w:rsid w:val="17767E05"/>
    <w:rsid w:val="179A627A"/>
    <w:rsid w:val="17B3036E"/>
    <w:rsid w:val="17D34DF7"/>
    <w:rsid w:val="17D371BB"/>
    <w:rsid w:val="17E603B6"/>
    <w:rsid w:val="180C7345"/>
    <w:rsid w:val="181B7ACA"/>
    <w:rsid w:val="18392BDE"/>
    <w:rsid w:val="183D0F71"/>
    <w:rsid w:val="185224BA"/>
    <w:rsid w:val="18DE43B4"/>
    <w:rsid w:val="19220201"/>
    <w:rsid w:val="192F5006"/>
    <w:rsid w:val="19353F17"/>
    <w:rsid w:val="197C3CDD"/>
    <w:rsid w:val="1984015F"/>
    <w:rsid w:val="19D11C57"/>
    <w:rsid w:val="19F62F12"/>
    <w:rsid w:val="1A177C91"/>
    <w:rsid w:val="1A1E49AB"/>
    <w:rsid w:val="1A3650E8"/>
    <w:rsid w:val="1A46025F"/>
    <w:rsid w:val="1A8948CD"/>
    <w:rsid w:val="1A941939"/>
    <w:rsid w:val="1A9C0E8A"/>
    <w:rsid w:val="1ABB7D62"/>
    <w:rsid w:val="1ACD75AF"/>
    <w:rsid w:val="1AEA1E98"/>
    <w:rsid w:val="1B161797"/>
    <w:rsid w:val="1B69092E"/>
    <w:rsid w:val="1BA12155"/>
    <w:rsid w:val="1C694CE1"/>
    <w:rsid w:val="1CA736C1"/>
    <w:rsid w:val="1CAF5BD6"/>
    <w:rsid w:val="1CD45EC1"/>
    <w:rsid w:val="1D073643"/>
    <w:rsid w:val="1D143EC1"/>
    <w:rsid w:val="1D202B80"/>
    <w:rsid w:val="1D650C52"/>
    <w:rsid w:val="1D794BA3"/>
    <w:rsid w:val="1DA24769"/>
    <w:rsid w:val="1DC35E63"/>
    <w:rsid w:val="1DDD668B"/>
    <w:rsid w:val="1DF6130F"/>
    <w:rsid w:val="1DF919B7"/>
    <w:rsid w:val="1E9E44E0"/>
    <w:rsid w:val="1EB93922"/>
    <w:rsid w:val="1EBB5977"/>
    <w:rsid w:val="1F0736FE"/>
    <w:rsid w:val="1F47434C"/>
    <w:rsid w:val="1F5D1DFD"/>
    <w:rsid w:val="1F764306"/>
    <w:rsid w:val="1FEC3334"/>
    <w:rsid w:val="1FEE7A47"/>
    <w:rsid w:val="1FF13551"/>
    <w:rsid w:val="201C6CA9"/>
    <w:rsid w:val="204F1C37"/>
    <w:rsid w:val="20735FEA"/>
    <w:rsid w:val="20943F8C"/>
    <w:rsid w:val="209634ED"/>
    <w:rsid w:val="20AB20FE"/>
    <w:rsid w:val="20CE0ED9"/>
    <w:rsid w:val="215A0A22"/>
    <w:rsid w:val="215E2D59"/>
    <w:rsid w:val="21D0037C"/>
    <w:rsid w:val="21D45EAE"/>
    <w:rsid w:val="21FB4E59"/>
    <w:rsid w:val="22184AA8"/>
    <w:rsid w:val="22604A7B"/>
    <w:rsid w:val="2267795C"/>
    <w:rsid w:val="229424D6"/>
    <w:rsid w:val="22F15921"/>
    <w:rsid w:val="232807DA"/>
    <w:rsid w:val="236729E6"/>
    <w:rsid w:val="237A47F7"/>
    <w:rsid w:val="23816F07"/>
    <w:rsid w:val="239522F6"/>
    <w:rsid w:val="23E80503"/>
    <w:rsid w:val="23F72674"/>
    <w:rsid w:val="24611D76"/>
    <w:rsid w:val="247732C1"/>
    <w:rsid w:val="247B75C7"/>
    <w:rsid w:val="24845D64"/>
    <w:rsid w:val="249935AC"/>
    <w:rsid w:val="250F35E2"/>
    <w:rsid w:val="254474BD"/>
    <w:rsid w:val="254E3C43"/>
    <w:rsid w:val="257F591F"/>
    <w:rsid w:val="25A31185"/>
    <w:rsid w:val="25FF4D71"/>
    <w:rsid w:val="26072585"/>
    <w:rsid w:val="26190AB3"/>
    <w:rsid w:val="263A3A24"/>
    <w:rsid w:val="26760A87"/>
    <w:rsid w:val="2693564A"/>
    <w:rsid w:val="26C8459A"/>
    <w:rsid w:val="26E170BC"/>
    <w:rsid w:val="271A4C51"/>
    <w:rsid w:val="27402CF7"/>
    <w:rsid w:val="27702E44"/>
    <w:rsid w:val="27BB5448"/>
    <w:rsid w:val="27CC6C12"/>
    <w:rsid w:val="280F0902"/>
    <w:rsid w:val="285753F0"/>
    <w:rsid w:val="28A00F9E"/>
    <w:rsid w:val="28D403A4"/>
    <w:rsid w:val="28D82D6C"/>
    <w:rsid w:val="28F32B26"/>
    <w:rsid w:val="29571DDA"/>
    <w:rsid w:val="299C4ECB"/>
    <w:rsid w:val="299F491A"/>
    <w:rsid w:val="29AF3834"/>
    <w:rsid w:val="29F771AB"/>
    <w:rsid w:val="29FC0ADA"/>
    <w:rsid w:val="2A051E36"/>
    <w:rsid w:val="2A1831C5"/>
    <w:rsid w:val="2A1A6F3D"/>
    <w:rsid w:val="2A3B65FA"/>
    <w:rsid w:val="2A5A6A36"/>
    <w:rsid w:val="2A625DA9"/>
    <w:rsid w:val="2AAE4E11"/>
    <w:rsid w:val="2AD838E5"/>
    <w:rsid w:val="2AFA1071"/>
    <w:rsid w:val="2B440486"/>
    <w:rsid w:val="2B5676FA"/>
    <w:rsid w:val="2B6C482B"/>
    <w:rsid w:val="2B77216D"/>
    <w:rsid w:val="2B924A44"/>
    <w:rsid w:val="2B9B1318"/>
    <w:rsid w:val="2BA06D10"/>
    <w:rsid w:val="2BAA5CD5"/>
    <w:rsid w:val="2BBE7D9C"/>
    <w:rsid w:val="2BC969F6"/>
    <w:rsid w:val="2C3A2FE2"/>
    <w:rsid w:val="2C3B67EB"/>
    <w:rsid w:val="2C5A5CE6"/>
    <w:rsid w:val="2CBF5708"/>
    <w:rsid w:val="2CD9476B"/>
    <w:rsid w:val="2D164852"/>
    <w:rsid w:val="2D2A667D"/>
    <w:rsid w:val="2D392D94"/>
    <w:rsid w:val="2D393B7E"/>
    <w:rsid w:val="2D8A6187"/>
    <w:rsid w:val="2D8C58E7"/>
    <w:rsid w:val="2D8F379E"/>
    <w:rsid w:val="2D9917BD"/>
    <w:rsid w:val="2DAA2A07"/>
    <w:rsid w:val="2E796FC8"/>
    <w:rsid w:val="2E833AD3"/>
    <w:rsid w:val="2E836A65"/>
    <w:rsid w:val="2EA71393"/>
    <w:rsid w:val="2EDD0321"/>
    <w:rsid w:val="2EDF3578"/>
    <w:rsid w:val="2F1C35EA"/>
    <w:rsid w:val="2F1C5928"/>
    <w:rsid w:val="2F7F0FCC"/>
    <w:rsid w:val="2F9E6033"/>
    <w:rsid w:val="2FAB00C1"/>
    <w:rsid w:val="2FAF5F71"/>
    <w:rsid w:val="2FB15C4D"/>
    <w:rsid w:val="2FBF38F7"/>
    <w:rsid w:val="304A2C87"/>
    <w:rsid w:val="30EE12E3"/>
    <w:rsid w:val="310B2F55"/>
    <w:rsid w:val="311D6FD6"/>
    <w:rsid w:val="31252FB0"/>
    <w:rsid w:val="3142585D"/>
    <w:rsid w:val="3177727E"/>
    <w:rsid w:val="31A607D1"/>
    <w:rsid w:val="31AA504A"/>
    <w:rsid w:val="31AB49E8"/>
    <w:rsid w:val="31C9044B"/>
    <w:rsid w:val="320D06F9"/>
    <w:rsid w:val="3245567F"/>
    <w:rsid w:val="325243A2"/>
    <w:rsid w:val="32794D7F"/>
    <w:rsid w:val="32CC0EBB"/>
    <w:rsid w:val="33220C75"/>
    <w:rsid w:val="33833DA5"/>
    <w:rsid w:val="338939D4"/>
    <w:rsid w:val="33E74228"/>
    <w:rsid w:val="34A11233"/>
    <w:rsid w:val="34C348BF"/>
    <w:rsid w:val="34EA73F1"/>
    <w:rsid w:val="34EF2B13"/>
    <w:rsid w:val="34F55AE2"/>
    <w:rsid w:val="351C62E0"/>
    <w:rsid w:val="353E2D3D"/>
    <w:rsid w:val="35784F9F"/>
    <w:rsid w:val="35885CAA"/>
    <w:rsid w:val="35F70DC2"/>
    <w:rsid w:val="36301466"/>
    <w:rsid w:val="365B0E58"/>
    <w:rsid w:val="36750B40"/>
    <w:rsid w:val="36B109E6"/>
    <w:rsid w:val="36DB4E2A"/>
    <w:rsid w:val="371D4BF7"/>
    <w:rsid w:val="378A415F"/>
    <w:rsid w:val="379E3BB9"/>
    <w:rsid w:val="37A62A02"/>
    <w:rsid w:val="380D7E61"/>
    <w:rsid w:val="38215B1A"/>
    <w:rsid w:val="385C4E0C"/>
    <w:rsid w:val="38A067BB"/>
    <w:rsid w:val="38A53E83"/>
    <w:rsid w:val="39301656"/>
    <w:rsid w:val="395221DE"/>
    <w:rsid w:val="398708A5"/>
    <w:rsid w:val="39CB4E65"/>
    <w:rsid w:val="39CE1AF2"/>
    <w:rsid w:val="3A244FE2"/>
    <w:rsid w:val="3A2C397D"/>
    <w:rsid w:val="3A851A34"/>
    <w:rsid w:val="3AE00DAB"/>
    <w:rsid w:val="3AF07CBC"/>
    <w:rsid w:val="3B5F6616"/>
    <w:rsid w:val="3B6A3B18"/>
    <w:rsid w:val="3B7C222C"/>
    <w:rsid w:val="3BCB0C7E"/>
    <w:rsid w:val="3C001B5C"/>
    <w:rsid w:val="3C7872C9"/>
    <w:rsid w:val="3C8802DF"/>
    <w:rsid w:val="3C970ED4"/>
    <w:rsid w:val="3CAF59B3"/>
    <w:rsid w:val="3CBB1437"/>
    <w:rsid w:val="3CC81B5B"/>
    <w:rsid w:val="3CD94A35"/>
    <w:rsid w:val="3D35099F"/>
    <w:rsid w:val="3D513F0C"/>
    <w:rsid w:val="3D7F5DBA"/>
    <w:rsid w:val="3D936242"/>
    <w:rsid w:val="3E2E768E"/>
    <w:rsid w:val="3E570492"/>
    <w:rsid w:val="3E6F6DE0"/>
    <w:rsid w:val="3E87681A"/>
    <w:rsid w:val="3EF57C3F"/>
    <w:rsid w:val="3EFD1A4C"/>
    <w:rsid w:val="3F140BC1"/>
    <w:rsid w:val="3F3348D1"/>
    <w:rsid w:val="3F743D68"/>
    <w:rsid w:val="3FB70E48"/>
    <w:rsid w:val="400D1A58"/>
    <w:rsid w:val="40443D1F"/>
    <w:rsid w:val="404F7D01"/>
    <w:rsid w:val="40A573AD"/>
    <w:rsid w:val="40AB66E9"/>
    <w:rsid w:val="40DA645B"/>
    <w:rsid w:val="40E40231"/>
    <w:rsid w:val="41094BCE"/>
    <w:rsid w:val="412B379F"/>
    <w:rsid w:val="41654081"/>
    <w:rsid w:val="417717D1"/>
    <w:rsid w:val="418A15AC"/>
    <w:rsid w:val="41B863FE"/>
    <w:rsid w:val="420B6F6B"/>
    <w:rsid w:val="42227A90"/>
    <w:rsid w:val="42380887"/>
    <w:rsid w:val="42560497"/>
    <w:rsid w:val="425C0E10"/>
    <w:rsid w:val="4262727B"/>
    <w:rsid w:val="42702866"/>
    <w:rsid w:val="42856BF0"/>
    <w:rsid w:val="42AC50AD"/>
    <w:rsid w:val="43064B51"/>
    <w:rsid w:val="432B1D63"/>
    <w:rsid w:val="433154DE"/>
    <w:rsid w:val="43382524"/>
    <w:rsid w:val="435A5CB3"/>
    <w:rsid w:val="43DE63DC"/>
    <w:rsid w:val="43E231AD"/>
    <w:rsid w:val="441B3B85"/>
    <w:rsid w:val="446316FE"/>
    <w:rsid w:val="44747211"/>
    <w:rsid w:val="4481299B"/>
    <w:rsid w:val="44983428"/>
    <w:rsid w:val="44990FE0"/>
    <w:rsid w:val="44B320B8"/>
    <w:rsid w:val="44F94427"/>
    <w:rsid w:val="4500539A"/>
    <w:rsid w:val="45220127"/>
    <w:rsid w:val="45476C47"/>
    <w:rsid w:val="45650D74"/>
    <w:rsid w:val="458144A5"/>
    <w:rsid w:val="45986132"/>
    <w:rsid w:val="45993714"/>
    <w:rsid w:val="459D7429"/>
    <w:rsid w:val="45B157D7"/>
    <w:rsid w:val="45EE47E3"/>
    <w:rsid w:val="45F55928"/>
    <w:rsid w:val="4602166F"/>
    <w:rsid w:val="461B197A"/>
    <w:rsid w:val="463447CC"/>
    <w:rsid w:val="463931DD"/>
    <w:rsid w:val="46507B33"/>
    <w:rsid w:val="465472B0"/>
    <w:rsid w:val="46617813"/>
    <w:rsid w:val="466B384B"/>
    <w:rsid w:val="46725042"/>
    <w:rsid w:val="46C82CA7"/>
    <w:rsid w:val="46CD7BE7"/>
    <w:rsid w:val="470E0876"/>
    <w:rsid w:val="474D668A"/>
    <w:rsid w:val="4777552D"/>
    <w:rsid w:val="47E43F1D"/>
    <w:rsid w:val="48121D79"/>
    <w:rsid w:val="48400265"/>
    <w:rsid w:val="48957258"/>
    <w:rsid w:val="48A2539B"/>
    <w:rsid w:val="48A84D42"/>
    <w:rsid w:val="48C868F9"/>
    <w:rsid w:val="48D02743"/>
    <w:rsid w:val="48F95925"/>
    <w:rsid w:val="4903161E"/>
    <w:rsid w:val="495E19AB"/>
    <w:rsid w:val="496D3604"/>
    <w:rsid w:val="498652F2"/>
    <w:rsid w:val="498E506C"/>
    <w:rsid w:val="49A563CB"/>
    <w:rsid w:val="49BD25AC"/>
    <w:rsid w:val="49DB244D"/>
    <w:rsid w:val="49E969BC"/>
    <w:rsid w:val="4A005764"/>
    <w:rsid w:val="4A2D702D"/>
    <w:rsid w:val="4A306FA8"/>
    <w:rsid w:val="4A5A2D2C"/>
    <w:rsid w:val="4A7A5287"/>
    <w:rsid w:val="4A93109F"/>
    <w:rsid w:val="4AD241D7"/>
    <w:rsid w:val="4B5D3756"/>
    <w:rsid w:val="4B846E74"/>
    <w:rsid w:val="4BAD14E6"/>
    <w:rsid w:val="4BF640CA"/>
    <w:rsid w:val="4C026B35"/>
    <w:rsid w:val="4C59042A"/>
    <w:rsid w:val="4C6D4B56"/>
    <w:rsid w:val="4CC93F09"/>
    <w:rsid w:val="4CF052DC"/>
    <w:rsid w:val="4CF53DE0"/>
    <w:rsid w:val="4CFB1180"/>
    <w:rsid w:val="4D231B90"/>
    <w:rsid w:val="4D7348CD"/>
    <w:rsid w:val="4D822B87"/>
    <w:rsid w:val="4DFC0584"/>
    <w:rsid w:val="4E20751D"/>
    <w:rsid w:val="4E212F31"/>
    <w:rsid w:val="4E224529"/>
    <w:rsid w:val="4E53078D"/>
    <w:rsid w:val="4E76070F"/>
    <w:rsid w:val="4E822777"/>
    <w:rsid w:val="4E92164D"/>
    <w:rsid w:val="4EE03E12"/>
    <w:rsid w:val="4F0555F0"/>
    <w:rsid w:val="4F0D7E34"/>
    <w:rsid w:val="4F60388C"/>
    <w:rsid w:val="4F7A7A81"/>
    <w:rsid w:val="4FC71D88"/>
    <w:rsid w:val="4FD61995"/>
    <w:rsid w:val="50185EF3"/>
    <w:rsid w:val="50AD5170"/>
    <w:rsid w:val="510A2FB8"/>
    <w:rsid w:val="514510C7"/>
    <w:rsid w:val="515248DD"/>
    <w:rsid w:val="51A406B5"/>
    <w:rsid w:val="51A56788"/>
    <w:rsid w:val="51BD7315"/>
    <w:rsid w:val="5207117A"/>
    <w:rsid w:val="525E5C88"/>
    <w:rsid w:val="529641FC"/>
    <w:rsid w:val="529F4493"/>
    <w:rsid w:val="52AB5B32"/>
    <w:rsid w:val="52BF7259"/>
    <w:rsid w:val="52C75E7E"/>
    <w:rsid w:val="52F31B65"/>
    <w:rsid w:val="52F9437A"/>
    <w:rsid w:val="52FE1CBE"/>
    <w:rsid w:val="538838C7"/>
    <w:rsid w:val="53943C6B"/>
    <w:rsid w:val="53E47207"/>
    <w:rsid w:val="54253ED0"/>
    <w:rsid w:val="54577F5C"/>
    <w:rsid w:val="54974BEA"/>
    <w:rsid w:val="54A360D6"/>
    <w:rsid w:val="54B476D6"/>
    <w:rsid w:val="54DF3AF0"/>
    <w:rsid w:val="54F509F0"/>
    <w:rsid w:val="54F82B92"/>
    <w:rsid w:val="551B40CD"/>
    <w:rsid w:val="55496BB9"/>
    <w:rsid w:val="5581153A"/>
    <w:rsid w:val="55A21DB9"/>
    <w:rsid w:val="55B163B3"/>
    <w:rsid w:val="55FA0152"/>
    <w:rsid w:val="55FA1C14"/>
    <w:rsid w:val="5618286D"/>
    <w:rsid w:val="565D28DF"/>
    <w:rsid w:val="56717635"/>
    <w:rsid w:val="568972E2"/>
    <w:rsid w:val="56BA0FDC"/>
    <w:rsid w:val="56CB50FE"/>
    <w:rsid w:val="57097283"/>
    <w:rsid w:val="57392849"/>
    <w:rsid w:val="578735B4"/>
    <w:rsid w:val="57A0530E"/>
    <w:rsid w:val="57C604E7"/>
    <w:rsid w:val="57EA510A"/>
    <w:rsid w:val="57FF2F40"/>
    <w:rsid w:val="58344D30"/>
    <w:rsid w:val="585B234B"/>
    <w:rsid w:val="587B6073"/>
    <w:rsid w:val="588C54CF"/>
    <w:rsid w:val="59636818"/>
    <w:rsid w:val="59E85724"/>
    <w:rsid w:val="5A28285A"/>
    <w:rsid w:val="5AAB3A99"/>
    <w:rsid w:val="5ACB2702"/>
    <w:rsid w:val="5AD2186D"/>
    <w:rsid w:val="5B323837"/>
    <w:rsid w:val="5B6905E8"/>
    <w:rsid w:val="5BED4466"/>
    <w:rsid w:val="5BED4D3F"/>
    <w:rsid w:val="5C0676C1"/>
    <w:rsid w:val="5C1067A0"/>
    <w:rsid w:val="5C210EB6"/>
    <w:rsid w:val="5C232068"/>
    <w:rsid w:val="5C3E7FB9"/>
    <w:rsid w:val="5C62008F"/>
    <w:rsid w:val="5CD0683A"/>
    <w:rsid w:val="5CD52D05"/>
    <w:rsid w:val="5CF81667"/>
    <w:rsid w:val="5D1841F6"/>
    <w:rsid w:val="5D3B7E5E"/>
    <w:rsid w:val="5D6B2C47"/>
    <w:rsid w:val="5D924DB4"/>
    <w:rsid w:val="5DD979AC"/>
    <w:rsid w:val="5DE132F2"/>
    <w:rsid w:val="5DEA664B"/>
    <w:rsid w:val="5E2D10DD"/>
    <w:rsid w:val="5E630B0B"/>
    <w:rsid w:val="5E6940A2"/>
    <w:rsid w:val="5F434264"/>
    <w:rsid w:val="5F8C4459"/>
    <w:rsid w:val="5FB90155"/>
    <w:rsid w:val="5FBA5E44"/>
    <w:rsid w:val="5FC83AE4"/>
    <w:rsid w:val="5FDEDC80"/>
    <w:rsid w:val="5FF92B75"/>
    <w:rsid w:val="600B7BA3"/>
    <w:rsid w:val="60153C4F"/>
    <w:rsid w:val="603911C4"/>
    <w:rsid w:val="60B5581F"/>
    <w:rsid w:val="61985093"/>
    <w:rsid w:val="61C21D14"/>
    <w:rsid w:val="62193607"/>
    <w:rsid w:val="62272A39"/>
    <w:rsid w:val="62436329"/>
    <w:rsid w:val="624D53FA"/>
    <w:rsid w:val="625A15EB"/>
    <w:rsid w:val="62D77460"/>
    <w:rsid w:val="62E82422"/>
    <w:rsid w:val="62FE787F"/>
    <w:rsid w:val="633707D8"/>
    <w:rsid w:val="63421A11"/>
    <w:rsid w:val="63435FA9"/>
    <w:rsid w:val="637F708D"/>
    <w:rsid w:val="639B4D5E"/>
    <w:rsid w:val="639D5B3F"/>
    <w:rsid w:val="63B23501"/>
    <w:rsid w:val="63BB314B"/>
    <w:rsid w:val="63E5141F"/>
    <w:rsid w:val="64017CF7"/>
    <w:rsid w:val="64134494"/>
    <w:rsid w:val="643279E9"/>
    <w:rsid w:val="643A703D"/>
    <w:rsid w:val="645C2FA1"/>
    <w:rsid w:val="64620B16"/>
    <w:rsid w:val="646F78AA"/>
    <w:rsid w:val="647D54F1"/>
    <w:rsid w:val="649B5FFC"/>
    <w:rsid w:val="65084279"/>
    <w:rsid w:val="6542751B"/>
    <w:rsid w:val="655655F8"/>
    <w:rsid w:val="65896749"/>
    <w:rsid w:val="65CA7541"/>
    <w:rsid w:val="65FD096C"/>
    <w:rsid w:val="66583C50"/>
    <w:rsid w:val="667E2329"/>
    <w:rsid w:val="669A6528"/>
    <w:rsid w:val="66B251F7"/>
    <w:rsid w:val="66D51E84"/>
    <w:rsid w:val="66DD7A18"/>
    <w:rsid w:val="66E94B28"/>
    <w:rsid w:val="670267B3"/>
    <w:rsid w:val="6715116D"/>
    <w:rsid w:val="676C5252"/>
    <w:rsid w:val="67F8359F"/>
    <w:rsid w:val="68110230"/>
    <w:rsid w:val="682416DB"/>
    <w:rsid w:val="68363162"/>
    <w:rsid w:val="68581629"/>
    <w:rsid w:val="68AF7B1A"/>
    <w:rsid w:val="68D438D2"/>
    <w:rsid w:val="68E00A78"/>
    <w:rsid w:val="68FE4CDE"/>
    <w:rsid w:val="690C72B9"/>
    <w:rsid w:val="698A2290"/>
    <w:rsid w:val="6999696D"/>
    <w:rsid w:val="69E436CE"/>
    <w:rsid w:val="6A07365C"/>
    <w:rsid w:val="6A0935BE"/>
    <w:rsid w:val="6A0C67C8"/>
    <w:rsid w:val="6A1C0142"/>
    <w:rsid w:val="6A433863"/>
    <w:rsid w:val="6A674B7F"/>
    <w:rsid w:val="6A8646FB"/>
    <w:rsid w:val="6ABE64B6"/>
    <w:rsid w:val="6AC1495F"/>
    <w:rsid w:val="6B1C2579"/>
    <w:rsid w:val="6B261B6A"/>
    <w:rsid w:val="6B89697E"/>
    <w:rsid w:val="6BD12BF8"/>
    <w:rsid w:val="6BE11B89"/>
    <w:rsid w:val="6BE62AE9"/>
    <w:rsid w:val="6C037841"/>
    <w:rsid w:val="6C237F16"/>
    <w:rsid w:val="6CB573E4"/>
    <w:rsid w:val="6CBA1761"/>
    <w:rsid w:val="6CBD2EC7"/>
    <w:rsid w:val="6CE06CEB"/>
    <w:rsid w:val="6CED3D9B"/>
    <w:rsid w:val="6D05069B"/>
    <w:rsid w:val="6D350D15"/>
    <w:rsid w:val="6D4D0B8E"/>
    <w:rsid w:val="6D8E7075"/>
    <w:rsid w:val="6D9E1270"/>
    <w:rsid w:val="6DA87F29"/>
    <w:rsid w:val="6DDF100D"/>
    <w:rsid w:val="6DE8560E"/>
    <w:rsid w:val="6DF43B11"/>
    <w:rsid w:val="6E020C00"/>
    <w:rsid w:val="6E0B6E27"/>
    <w:rsid w:val="6E75021F"/>
    <w:rsid w:val="6EA148BD"/>
    <w:rsid w:val="6EB56977"/>
    <w:rsid w:val="6EF860CB"/>
    <w:rsid w:val="6F041AD4"/>
    <w:rsid w:val="6F4659E2"/>
    <w:rsid w:val="6F573414"/>
    <w:rsid w:val="6FA442D7"/>
    <w:rsid w:val="6FD2411E"/>
    <w:rsid w:val="6FEB7D36"/>
    <w:rsid w:val="7006662E"/>
    <w:rsid w:val="702968F7"/>
    <w:rsid w:val="703C3ACE"/>
    <w:rsid w:val="70603958"/>
    <w:rsid w:val="70820B49"/>
    <w:rsid w:val="708E0827"/>
    <w:rsid w:val="70A64C7B"/>
    <w:rsid w:val="70CB4E52"/>
    <w:rsid w:val="71393740"/>
    <w:rsid w:val="71900D16"/>
    <w:rsid w:val="71B81FBA"/>
    <w:rsid w:val="71E137E6"/>
    <w:rsid w:val="723271EC"/>
    <w:rsid w:val="723544FE"/>
    <w:rsid w:val="7253582B"/>
    <w:rsid w:val="72B670A5"/>
    <w:rsid w:val="72E035F0"/>
    <w:rsid w:val="72E16704"/>
    <w:rsid w:val="730A1352"/>
    <w:rsid w:val="73293D7A"/>
    <w:rsid w:val="73472433"/>
    <w:rsid w:val="734A55EF"/>
    <w:rsid w:val="73713762"/>
    <w:rsid w:val="737416BD"/>
    <w:rsid w:val="738E7B26"/>
    <w:rsid w:val="739E37E6"/>
    <w:rsid w:val="73ED63E6"/>
    <w:rsid w:val="745921F8"/>
    <w:rsid w:val="74907D86"/>
    <w:rsid w:val="74940344"/>
    <w:rsid w:val="749F4EEE"/>
    <w:rsid w:val="751939E0"/>
    <w:rsid w:val="75284A4D"/>
    <w:rsid w:val="75590285"/>
    <w:rsid w:val="757D379E"/>
    <w:rsid w:val="759F0DC5"/>
    <w:rsid w:val="75A64914"/>
    <w:rsid w:val="75B51339"/>
    <w:rsid w:val="7616139E"/>
    <w:rsid w:val="76202D80"/>
    <w:rsid w:val="76A86589"/>
    <w:rsid w:val="77233ABE"/>
    <w:rsid w:val="77410409"/>
    <w:rsid w:val="7750463C"/>
    <w:rsid w:val="778760F8"/>
    <w:rsid w:val="77C0303E"/>
    <w:rsid w:val="78137428"/>
    <w:rsid w:val="78144E1F"/>
    <w:rsid w:val="78406171"/>
    <w:rsid w:val="78450BF6"/>
    <w:rsid w:val="785F1A8E"/>
    <w:rsid w:val="786E100B"/>
    <w:rsid w:val="787A5981"/>
    <w:rsid w:val="789C633C"/>
    <w:rsid w:val="78CC27B6"/>
    <w:rsid w:val="78D8589E"/>
    <w:rsid w:val="78E5782F"/>
    <w:rsid w:val="79077C59"/>
    <w:rsid w:val="79D44913"/>
    <w:rsid w:val="79F44681"/>
    <w:rsid w:val="7A182A6E"/>
    <w:rsid w:val="7A1E3D7C"/>
    <w:rsid w:val="7A33057D"/>
    <w:rsid w:val="7A662EE6"/>
    <w:rsid w:val="7A665A5D"/>
    <w:rsid w:val="7A680B60"/>
    <w:rsid w:val="7ACC115A"/>
    <w:rsid w:val="7AF43ADC"/>
    <w:rsid w:val="7B8B6F7A"/>
    <w:rsid w:val="7BCA550C"/>
    <w:rsid w:val="7BFB3F1B"/>
    <w:rsid w:val="7BFD0722"/>
    <w:rsid w:val="7C3A52DA"/>
    <w:rsid w:val="7C4E62BB"/>
    <w:rsid w:val="7C5756B8"/>
    <w:rsid w:val="7CA138F5"/>
    <w:rsid w:val="7CAA152B"/>
    <w:rsid w:val="7CF83328"/>
    <w:rsid w:val="7D050953"/>
    <w:rsid w:val="7D237B97"/>
    <w:rsid w:val="7DFC0274"/>
    <w:rsid w:val="7E116298"/>
    <w:rsid w:val="7E216765"/>
    <w:rsid w:val="7E58451E"/>
    <w:rsid w:val="7E93101E"/>
    <w:rsid w:val="7EB71522"/>
    <w:rsid w:val="7F0B5C31"/>
    <w:rsid w:val="7F1710AA"/>
    <w:rsid w:val="7F3C0BDB"/>
    <w:rsid w:val="7F474B41"/>
    <w:rsid w:val="7F8F2756"/>
    <w:rsid w:val="7F925A67"/>
    <w:rsid w:val="7FDA29AB"/>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semiHidden="0" w:name="heading 9"/>
    <w:lsdException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name="index heading"/>
    <w:lsdException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iPriority="99" w:name="List Bullet"/>
    <w:lsdException w:uiPriority="99" w:name="List Number"/>
    <w:lsdException w:uiPriority="99"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iPriority="99" w:semiHidden="0" w:name="Date"/>
    <w:lsdException w:qFormat="1" w:unhideWhenUsed="0" w:uiPriority="0" w:semiHidden="0" w:name="Body Text First Indent"/>
    <w:lsdException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宋体" w:hAnsi="宋体" w:eastAsia="宋体" w:cs="Times New Roman"/>
      <w:kern w:val="2"/>
      <w:sz w:val="24"/>
      <w:szCs w:val="24"/>
      <w:lang w:val="en-US" w:eastAsia="zh-CN" w:bidi="ar-SA"/>
    </w:rPr>
  </w:style>
  <w:style w:type="paragraph" w:styleId="3">
    <w:name w:val="heading 1"/>
    <w:basedOn w:val="1"/>
    <w:next w:val="1"/>
    <w:link w:val="36"/>
    <w:qFormat/>
    <w:uiPriority w:val="9"/>
    <w:pPr>
      <w:keepNext/>
      <w:keepLines/>
      <w:numPr>
        <w:ilvl w:val="0"/>
        <w:numId w:val="1"/>
      </w:numPr>
      <w:ind w:firstLineChars="0"/>
      <w:outlineLvl w:val="0"/>
    </w:pPr>
    <w:rPr>
      <w:b/>
      <w:bCs/>
      <w:kern w:val="44"/>
      <w:sz w:val="32"/>
      <w:szCs w:val="44"/>
    </w:rPr>
  </w:style>
  <w:style w:type="paragraph" w:styleId="4">
    <w:name w:val="heading 2"/>
    <w:basedOn w:val="5"/>
    <w:next w:val="1"/>
    <w:link w:val="35"/>
    <w:unhideWhenUsed/>
    <w:qFormat/>
    <w:uiPriority w:val="9"/>
    <w:pPr>
      <w:keepNext/>
      <w:keepLines/>
      <w:numPr>
        <w:ilvl w:val="1"/>
        <w:numId w:val="1"/>
      </w:numPr>
      <w:ind w:firstLineChars="0"/>
      <w:outlineLvl w:val="1"/>
    </w:pPr>
    <w:rPr>
      <w:rFonts w:cstheme="majorBidi"/>
      <w:b/>
      <w:bCs/>
      <w:sz w:val="30"/>
      <w:szCs w:val="32"/>
    </w:rPr>
  </w:style>
  <w:style w:type="paragraph" w:styleId="6">
    <w:name w:val="heading 3"/>
    <w:basedOn w:val="1"/>
    <w:next w:val="1"/>
    <w:link w:val="37"/>
    <w:unhideWhenUsed/>
    <w:qFormat/>
    <w:uiPriority w:val="9"/>
    <w:pPr>
      <w:keepNext/>
      <w:keepLines/>
      <w:numPr>
        <w:ilvl w:val="2"/>
        <w:numId w:val="1"/>
      </w:numPr>
      <w:ind w:firstLineChars="0"/>
      <w:outlineLvl w:val="2"/>
    </w:pPr>
    <w:rPr>
      <w:b/>
      <w:bCs/>
      <w:sz w:val="28"/>
      <w:szCs w:val="32"/>
    </w:rPr>
  </w:style>
  <w:style w:type="paragraph" w:styleId="7">
    <w:name w:val="heading 4"/>
    <w:basedOn w:val="1"/>
    <w:next w:val="1"/>
    <w:link w:val="38"/>
    <w:unhideWhenUsed/>
    <w:qFormat/>
    <w:uiPriority w:val="9"/>
    <w:pPr>
      <w:keepNext/>
      <w:keepLines/>
      <w:numPr>
        <w:ilvl w:val="3"/>
        <w:numId w:val="1"/>
      </w:numPr>
      <w:ind w:firstLineChars="0"/>
      <w:outlineLvl w:val="3"/>
    </w:pPr>
    <w:rPr>
      <w:rFonts w:cstheme="majorBidi"/>
      <w:b/>
      <w:bCs/>
      <w:szCs w:val="28"/>
    </w:rPr>
  </w:style>
  <w:style w:type="paragraph" w:styleId="8">
    <w:name w:val="heading 5"/>
    <w:basedOn w:val="1"/>
    <w:next w:val="1"/>
    <w:link w:val="39"/>
    <w:unhideWhenUsed/>
    <w:qFormat/>
    <w:uiPriority w:val="9"/>
    <w:pPr>
      <w:keepNext/>
      <w:keepLines/>
      <w:numPr>
        <w:ilvl w:val="4"/>
        <w:numId w:val="1"/>
      </w:numPr>
      <w:ind w:firstLineChars="0"/>
      <w:outlineLvl w:val="4"/>
    </w:pPr>
    <w:rPr>
      <w:b/>
      <w:bCs/>
      <w:szCs w:val="28"/>
    </w:rPr>
  </w:style>
  <w:style w:type="paragraph" w:styleId="9">
    <w:name w:val="heading 6"/>
    <w:basedOn w:val="1"/>
    <w:next w:val="1"/>
    <w:link w:val="33"/>
    <w:unhideWhenUsed/>
    <w:qFormat/>
    <w:uiPriority w:val="9"/>
    <w:pPr>
      <w:keepNext/>
      <w:keepLines/>
      <w:numPr>
        <w:ilvl w:val="5"/>
        <w:numId w:val="1"/>
      </w:numPr>
      <w:ind w:firstLineChars="0"/>
      <w:outlineLvl w:val="5"/>
    </w:pPr>
    <w:rPr>
      <w:rFonts w:cstheme="majorBidi"/>
      <w:b/>
      <w:bCs/>
    </w:rPr>
  </w:style>
  <w:style w:type="paragraph" w:styleId="10">
    <w:name w:val="heading 7"/>
    <w:basedOn w:val="1"/>
    <w:next w:val="1"/>
    <w:link w:val="34"/>
    <w:unhideWhenUsed/>
    <w:qFormat/>
    <w:uiPriority w:val="0"/>
    <w:pPr>
      <w:keepNext/>
      <w:keepLines/>
      <w:numPr>
        <w:ilvl w:val="6"/>
        <w:numId w:val="2"/>
      </w:numPr>
      <w:spacing w:before="240" w:after="64" w:line="320" w:lineRule="auto"/>
      <w:ind w:firstLine="0" w:firstLineChars="0"/>
      <w:outlineLvl w:val="6"/>
    </w:pPr>
    <w:rPr>
      <w:b/>
      <w:bCs/>
    </w:rPr>
  </w:style>
  <w:style w:type="paragraph" w:styleId="11">
    <w:name w:val="heading 8"/>
    <w:basedOn w:val="1"/>
    <w:next w:val="1"/>
    <w:link w:val="40"/>
    <w:unhideWhenUsed/>
    <w:qFormat/>
    <w:uiPriority w:val="9"/>
    <w:pPr>
      <w:keepNext/>
      <w:keepLines/>
      <w:numPr>
        <w:ilvl w:val="7"/>
        <w:numId w:val="1"/>
      </w:numPr>
      <w:spacing w:before="240" w:after="64" w:line="320" w:lineRule="auto"/>
      <w:ind w:firstLineChars="0"/>
      <w:outlineLvl w:val="7"/>
    </w:pPr>
    <w:rPr>
      <w:rFonts w:asciiTheme="majorHAnsi" w:hAnsiTheme="majorHAnsi" w:eastAsiaTheme="majorEastAsia" w:cstheme="majorBidi"/>
    </w:rPr>
  </w:style>
  <w:style w:type="paragraph" w:styleId="12">
    <w:name w:val="heading 9"/>
    <w:basedOn w:val="1"/>
    <w:next w:val="1"/>
    <w:link w:val="41"/>
    <w:unhideWhenUsed/>
    <w:qFormat/>
    <w:uiPriority w:val="9"/>
    <w:pPr>
      <w:keepNext/>
      <w:keepLines/>
      <w:numPr>
        <w:ilvl w:val="8"/>
        <w:numId w:val="1"/>
      </w:numPr>
      <w:spacing w:before="240" w:after="64" w:line="320" w:lineRule="auto"/>
      <w:ind w:firstLineChars="0"/>
      <w:outlineLvl w:val="8"/>
    </w:pPr>
    <w:rPr>
      <w:rFonts w:asciiTheme="majorHAnsi" w:hAnsiTheme="majorHAnsi" w:eastAsiaTheme="majorEastAsia" w:cstheme="majorBidi"/>
      <w:sz w:val="21"/>
      <w:szCs w:val="21"/>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left" w:pos="900"/>
        <w:tab w:val="right" w:leader="dot" w:pos="9351"/>
      </w:tabs>
      <w:spacing w:line="480" w:lineRule="exact"/>
      <w:ind w:firstLine="482"/>
    </w:pPr>
    <w:rPr>
      <w:b/>
      <w:bCs/>
      <w:color w:val="FF0000"/>
    </w:rPr>
  </w:style>
  <w:style w:type="paragraph" w:customStyle="1" w:styleId="5">
    <w:name w:val="*正文"/>
    <w:basedOn w:val="1"/>
    <w:qFormat/>
    <w:uiPriority w:val="0"/>
    <w:pPr>
      <w:ind w:firstLine="200"/>
    </w:pPr>
    <w:rPr>
      <w:rFonts w:ascii="宋体" w:hAnsi="宋体"/>
      <w:sz w:val="22"/>
    </w:rPr>
  </w:style>
  <w:style w:type="paragraph" w:styleId="13">
    <w:name w:val="Document Map"/>
    <w:basedOn w:val="1"/>
    <w:link w:val="61"/>
    <w:qFormat/>
    <w:uiPriority w:val="0"/>
    <w:pPr>
      <w:shd w:val="clear" w:color="auto" w:fill="000080"/>
      <w:spacing w:line="240" w:lineRule="auto"/>
      <w:ind w:firstLine="0" w:firstLineChars="0"/>
      <w:jc w:val="both"/>
    </w:pPr>
    <w:rPr>
      <w:rFonts w:ascii="Times New Roman" w:hAnsi="Times New Roman"/>
      <w:sz w:val="21"/>
    </w:rPr>
  </w:style>
  <w:style w:type="paragraph" w:styleId="14">
    <w:name w:val="annotation text"/>
    <w:basedOn w:val="1"/>
    <w:link w:val="58"/>
    <w:unhideWhenUsed/>
    <w:qFormat/>
    <w:uiPriority w:val="0"/>
  </w:style>
  <w:style w:type="paragraph" w:styleId="15">
    <w:name w:val="Body Text"/>
    <w:basedOn w:val="1"/>
    <w:qFormat/>
    <w:uiPriority w:val="99"/>
    <w:pPr>
      <w:spacing w:after="120"/>
    </w:pPr>
  </w:style>
  <w:style w:type="paragraph" w:styleId="16">
    <w:name w:val="Plain Text"/>
    <w:basedOn w:val="1"/>
    <w:qFormat/>
    <w:uiPriority w:val="0"/>
    <w:rPr>
      <w:rFonts w:ascii="宋体" w:hAnsi="Courier New" w:eastAsia="宋体"/>
      <w:sz w:val="21"/>
    </w:rPr>
  </w:style>
  <w:style w:type="paragraph" w:styleId="17">
    <w:name w:val="Date"/>
    <w:basedOn w:val="1"/>
    <w:next w:val="1"/>
    <w:link w:val="47"/>
    <w:unhideWhenUsed/>
    <w:qFormat/>
    <w:uiPriority w:val="99"/>
    <w:pPr>
      <w:ind w:left="100" w:leftChars="2500"/>
    </w:pPr>
  </w:style>
  <w:style w:type="paragraph" w:styleId="18">
    <w:name w:val="Balloon Text"/>
    <w:basedOn w:val="1"/>
    <w:link w:val="46"/>
    <w:unhideWhenUsed/>
    <w:qFormat/>
    <w:uiPriority w:val="99"/>
    <w:pPr>
      <w:spacing w:line="240" w:lineRule="auto"/>
    </w:pPr>
    <w:rPr>
      <w:sz w:val="18"/>
      <w:szCs w:val="18"/>
    </w:rPr>
  </w:style>
  <w:style w:type="paragraph" w:styleId="19">
    <w:name w:val="footer"/>
    <w:basedOn w:val="1"/>
    <w:link w:val="50"/>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Subtitle"/>
    <w:basedOn w:val="1"/>
    <w:next w:val="1"/>
    <w:link w:val="44"/>
    <w:qFormat/>
    <w:uiPriority w:val="11"/>
    <w:pPr>
      <w:spacing w:before="240" w:after="60" w:line="312" w:lineRule="auto"/>
      <w:jc w:val="center"/>
      <w:outlineLvl w:val="1"/>
    </w:pPr>
    <w:rPr>
      <w:rFonts w:eastAsiaTheme="minorEastAsia"/>
      <w:b/>
      <w:bCs/>
      <w:kern w:val="28"/>
      <w:sz w:val="32"/>
      <w:szCs w:val="32"/>
    </w:rPr>
  </w:style>
  <w:style w:type="paragraph" w:styleId="22">
    <w:name w:val="Title"/>
    <w:basedOn w:val="1"/>
    <w:next w:val="1"/>
    <w:link w:val="42"/>
    <w:qFormat/>
    <w:uiPriority w:val="10"/>
    <w:pPr>
      <w:ind w:firstLine="0" w:firstLineChars="0"/>
      <w:jc w:val="center"/>
      <w:outlineLvl w:val="0"/>
    </w:pPr>
    <w:rPr>
      <w:rFonts w:asciiTheme="majorHAnsi" w:hAnsiTheme="majorHAnsi" w:cstheme="majorBidi"/>
      <w:b/>
      <w:bCs/>
      <w:sz w:val="32"/>
      <w:szCs w:val="32"/>
    </w:rPr>
  </w:style>
  <w:style w:type="paragraph" w:styleId="23">
    <w:name w:val="annotation subject"/>
    <w:basedOn w:val="14"/>
    <w:next w:val="14"/>
    <w:link w:val="59"/>
    <w:unhideWhenUsed/>
    <w:qFormat/>
    <w:uiPriority w:val="0"/>
    <w:rPr>
      <w:b/>
      <w:bCs/>
    </w:rPr>
  </w:style>
  <w:style w:type="paragraph" w:styleId="24">
    <w:name w:val="Body Text First Indent"/>
    <w:basedOn w:val="15"/>
    <w:qFormat/>
    <w:uiPriority w:val="0"/>
    <w:pPr>
      <w:adjustRightInd w:val="0"/>
      <w:spacing w:line="312" w:lineRule="auto"/>
      <w:ind w:firstLine="420" w:firstLineChars="100"/>
      <w:textAlignment w:val="baseline"/>
    </w:pPr>
  </w:style>
  <w:style w:type="character" w:styleId="27">
    <w:name w:val="FollowedHyperlink"/>
    <w:basedOn w:val="26"/>
    <w:unhideWhenUsed/>
    <w:qFormat/>
    <w:uiPriority w:val="99"/>
    <w:rPr>
      <w:color w:val="954F72" w:themeColor="followedHyperlink"/>
      <w:u w:val="single"/>
      <w14:textFill>
        <w14:solidFill>
          <w14:schemeClr w14:val="folHlink"/>
        </w14:solidFill>
      </w14:textFill>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unhideWhenUsed/>
    <w:qFormat/>
    <w:uiPriority w:val="0"/>
    <w:rPr>
      <w:sz w:val="21"/>
      <w:szCs w:val="21"/>
    </w:rPr>
  </w:style>
  <w:style w:type="paragraph" w:customStyle="1" w:styleId="30">
    <w:name w:val="表格字体"/>
    <w:basedOn w:val="31"/>
    <w:link w:val="32"/>
    <w:qFormat/>
    <w:uiPriority w:val="0"/>
    <w:rPr>
      <w:sz w:val="21"/>
    </w:rPr>
  </w:style>
  <w:style w:type="paragraph" w:customStyle="1" w:styleId="31">
    <w:name w:val="No Spacing"/>
    <w:qFormat/>
    <w:uiPriority w:val="1"/>
    <w:pPr>
      <w:widowControl w:val="0"/>
      <w:spacing w:line="360" w:lineRule="auto"/>
    </w:pPr>
    <w:rPr>
      <w:rFonts w:ascii="宋体" w:hAnsi="宋体" w:eastAsia="宋体" w:cstheme="minorBidi"/>
      <w:kern w:val="2"/>
      <w:sz w:val="24"/>
      <w:szCs w:val="22"/>
      <w:lang w:val="en-US" w:eastAsia="zh-CN" w:bidi="ar-SA"/>
    </w:rPr>
  </w:style>
  <w:style w:type="character" w:customStyle="1" w:styleId="32">
    <w:name w:val="表格字体 字符"/>
    <w:basedOn w:val="26"/>
    <w:link w:val="30"/>
    <w:qFormat/>
    <w:uiPriority w:val="0"/>
    <w:rPr>
      <w:rFonts w:ascii="宋体" w:hAnsi="宋体" w:eastAsia="宋体"/>
      <w:kern w:val="2"/>
      <w:sz w:val="21"/>
      <w:szCs w:val="22"/>
    </w:rPr>
  </w:style>
  <w:style w:type="character" w:customStyle="1" w:styleId="33">
    <w:name w:val="标题 6 字符"/>
    <w:basedOn w:val="26"/>
    <w:link w:val="9"/>
    <w:qFormat/>
    <w:uiPriority w:val="9"/>
    <w:rPr>
      <w:rFonts w:ascii="宋体" w:hAnsi="宋体" w:eastAsia="宋体" w:cstheme="majorBidi"/>
      <w:b/>
      <w:bCs/>
      <w:kern w:val="2"/>
      <w:sz w:val="24"/>
      <w:szCs w:val="24"/>
    </w:rPr>
  </w:style>
  <w:style w:type="character" w:customStyle="1" w:styleId="34">
    <w:name w:val="标题 7 字符"/>
    <w:basedOn w:val="26"/>
    <w:link w:val="10"/>
    <w:qFormat/>
    <w:uiPriority w:val="0"/>
    <w:rPr>
      <w:rFonts w:ascii="宋体" w:hAnsi="宋体" w:eastAsia="宋体" w:cs="Times New Roman"/>
      <w:b/>
      <w:bCs/>
      <w:kern w:val="2"/>
      <w:sz w:val="24"/>
      <w:szCs w:val="24"/>
    </w:rPr>
  </w:style>
  <w:style w:type="character" w:customStyle="1" w:styleId="35">
    <w:name w:val="标题 2 字符"/>
    <w:basedOn w:val="26"/>
    <w:link w:val="4"/>
    <w:qFormat/>
    <w:uiPriority w:val="9"/>
    <w:rPr>
      <w:rFonts w:ascii="宋体" w:hAnsi="宋体" w:eastAsia="宋体" w:cstheme="majorBidi"/>
      <w:b/>
      <w:bCs/>
      <w:kern w:val="2"/>
      <w:sz w:val="30"/>
      <w:szCs w:val="32"/>
    </w:rPr>
  </w:style>
  <w:style w:type="character" w:customStyle="1" w:styleId="36">
    <w:name w:val="标题 1 字符"/>
    <w:basedOn w:val="26"/>
    <w:link w:val="3"/>
    <w:qFormat/>
    <w:uiPriority w:val="9"/>
    <w:rPr>
      <w:rFonts w:ascii="宋体" w:hAnsi="宋体" w:eastAsia="宋体" w:cs="Times New Roman"/>
      <w:b/>
      <w:bCs/>
      <w:kern w:val="44"/>
      <w:sz w:val="32"/>
      <w:szCs w:val="44"/>
    </w:rPr>
  </w:style>
  <w:style w:type="character" w:customStyle="1" w:styleId="37">
    <w:name w:val="标题 3 字符"/>
    <w:basedOn w:val="26"/>
    <w:link w:val="6"/>
    <w:qFormat/>
    <w:uiPriority w:val="9"/>
    <w:rPr>
      <w:rFonts w:ascii="宋体" w:hAnsi="宋体" w:eastAsia="宋体" w:cs="Times New Roman"/>
      <w:b/>
      <w:bCs/>
      <w:kern w:val="2"/>
      <w:sz w:val="28"/>
      <w:szCs w:val="32"/>
    </w:rPr>
  </w:style>
  <w:style w:type="character" w:customStyle="1" w:styleId="38">
    <w:name w:val="标题 4 字符"/>
    <w:basedOn w:val="26"/>
    <w:link w:val="7"/>
    <w:qFormat/>
    <w:uiPriority w:val="9"/>
    <w:rPr>
      <w:rFonts w:ascii="宋体" w:hAnsi="宋体" w:eastAsia="宋体" w:cstheme="majorBidi"/>
      <w:b/>
      <w:bCs/>
      <w:kern w:val="2"/>
      <w:sz w:val="24"/>
      <w:szCs w:val="28"/>
    </w:rPr>
  </w:style>
  <w:style w:type="character" w:customStyle="1" w:styleId="39">
    <w:name w:val="标题 5 字符"/>
    <w:basedOn w:val="26"/>
    <w:link w:val="8"/>
    <w:qFormat/>
    <w:uiPriority w:val="9"/>
    <w:rPr>
      <w:rFonts w:ascii="宋体" w:hAnsi="宋体" w:eastAsia="宋体" w:cs="Times New Roman"/>
      <w:b/>
      <w:bCs/>
      <w:kern w:val="2"/>
      <w:sz w:val="24"/>
      <w:szCs w:val="28"/>
    </w:rPr>
  </w:style>
  <w:style w:type="character" w:customStyle="1" w:styleId="40">
    <w:name w:val="标题 8 字符"/>
    <w:basedOn w:val="26"/>
    <w:link w:val="11"/>
    <w:qFormat/>
    <w:uiPriority w:val="9"/>
    <w:rPr>
      <w:rFonts w:asciiTheme="majorHAnsi" w:hAnsiTheme="majorHAnsi" w:eastAsiaTheme="majorEastAsia" w:cstheme="majorBidi"/>
      <w:kern w:val="2"/>
      <w:sz w:val="24"/>
      <w:szCs w:val="24"/>
    </w:rPr>
  </w:style>
  <w:style w:type="character" w:customStyle="1" w:styleId="41">
    <w:name w:val="标题 9 字符"/>
    <w:basedOn w:val="26"/>
    <w:link w:val="12"/>
    <w:qFormat/>
    <w:uiPriority w:val="9"/>
    <w:rPr>
      <w:rFonts w:asciiTheme="majorHAnsi" w:hAnsiTheme="majorHAnsi" w:eastAsiaTheme="majorEastAsia" w:cstheme="majorBidi"/>
      <w:kern w:val="2"/>
      <w:sz w:val="21"/>
      <w:szCs w:val="21"/>
    </w:rPr>
  </w:style>
  <w:style w:type="character" w:customStyle="1" w:styleId="42">
    <w:name w:val="标题 字符"/>
    <w:basedOn w:val="26"/>
    <w:link w:val="22"/>
    <w:qFormat/>
    <w:uiPriority w:val="10"/>
    <w:rPr>
      <w:rFonts w:eastAsia="宋体" w:asciiTheme="majorHAnsi" w:hAnsiTheme="majorHAnsi" w:cstheme="majorBidi"/>
      <w:b/>
      <w:bCs/>
      <w:kern w:val="2"/>
      <w:sz w:val="32"/>
      <w:szCs w:val="32"/>
    </w:rPr>
  </w:style>
  <w:style w:type="character" w:customStyle="1" w:styleId="43">
    <w:name w:val="不明显强调1"/>
    <w:basedOn w:val="26"/>
    <w:qFormat/>
    <w:uiPriority w:val="19"/>
    <w:rPr>
      <w:i/>
      <w:iCs/>
      <w:color w:val="404040" w:themeColor="text1" w:themeTint="BF"/>
      <w14:textFill>
        <w14:solidFill>
          <w14:schemeClr w14:val="tx1">
            <w14:lumMod w14:val="75000"/>
            <w14:lumOff w14:val="25000"/>
          </w14:schemeClr>
        </w14:solidFill>
      </w14:textFill>
    </w:rPr>
  </w:style>
  <w:style w:type="character" w:customStyle="1" w:styleId="44">
    <w:name w:val="副标题 字符"/>
    <w:basedOn w:val="26"/>
    <w:link w:val="21"/>
    <w:qFormat/>
    <w:uiPriority w:val="11"/>
    <w:rPr>
      <w:rFonts w:ascii="宋体" w:hAnsi="宋体" w:cs="Times New Roman"/>
      <w:b/>
      <w:bCs/>
      <w:kern w:val="28"/>
      <w:sz w:val="32"/>
      <w:szCs w:val="32"/>
    </w:rPr>
  </w:style>
  <w:style w:type="paragraph" w:customStyle="1" w:styleId="45">
    <w:name w:val="List Paragraph"/>
    <w:basedOn w:val="1"/>
    <w:qFormat/>
    <w:uiPriority w:val="34"/>
    <w:pPr>
      <w:ind w:firstLine="420"/>
    </w:pPr>
  </w:style>
  <w:style w:type="character" w:customStyle="1" w:styleId="46">
    <w:name w:val="批注框文本 字符"/>
    <w:basedOn w:val="26"/>
    <w:link w:val="18"/>
    <w:semiHidden/>
    <w:qFormat/>
    <w:uiPriority w:val="99"/>
    <w:rPr>
      <w:rFonts w:ascii="宋体" w:hAnsi="宋体" w:eastAsia="宋体" w:cs="Times New Roman"/>
      <w:kern w:val="2"/>
      <w:sz w:val="18"/>
      <w:szCs w:val="18"/>
    </w:rPr>
  </w:style>
  <w:style w:type="character" w:customStyle="1" w:styleId="47">
    <w:name w:val="日期 字符"/>
    <w:basedOn w:val="26"/>
    <w:link w:val="17"/>
    <w:qFormat/>
    <w:uiPriority w:val="99"/>
    <w:rPr>
      <w:rFonts w:ascii="宋体" w:hAnsi="宋体" w:eastAsia="宋体" w:cs="Times New Roman"/>
      <w:kern w:val="2"/>
      <w:sz w:val="24"/>
      <w:szCs w:val="24"/>
    </w:rPr>
  </w:style>
  <w:style w:type="paragraph" w:customStyle="1" w:styleId="48">
    <w:name w:val="图片居中"/>
    <w:basedOn w:val="30"/>
    <w:link w:val="49"/>
    <w:qFormat/>
    <w:uiPriority w:val="0"/>
    <w:pPr>
      <w:jc w:val="center"/>
    </w:pPr>
    <w:rPr>
      <w:sz w:val="24"/>
    </w:rPr>
  </w:style>
  <w:style w:type="character" w:customStyle="1" w:styleId="49">
    <w:name w:val="图片居中 字符"/>
    <w:basedOn w:val="32"/>
    <w:link w:val="48"/>
    <w:qFormat/>
    <w:uiPriority w:val="0"/>
    <w:rPr>
      <w:rFonts w:ascii="宋体" w:hAnsi="宋体" w:eastAsia="宋体"/>
      <w:kern w:val="2"/>
      <w:sz w:val="24"/>
      <w:szCs w:val="22"/>
    </w:rPr>
  </w:style>
  <w:style w:type="character" w:customStyle="1" w:styleId="50">
    <w:name w:val="页脚 字符"/>
    <w:basedOn w:val="26"/>
    <w:link w:val="19"/>
    <w:qFormat/>
    <w:uiPriority w:val="99"/>
    <w:rPr>
      <w:rFonts w:ascii="宋体" w:hAnsi="宋体" w:eastAsia="宋体" w:cs="Times New Roman"/>
      <w:kern w:val="2"/>
      <w:sz w:val="18"/>
      <w:szCs w:val="18"/>
    </w:rPr>
  </w:style>
  <w:style w:type="character" w:customStyle="1" w:styleId="51">
    <w:name w:val="页眉 字符"/>
    <w:basedOn w:val="26"/>
    <w:link w:val="20"/>
    <w:qFormat/>
    <w:uiPriority w:val="99"/>
    <w:rPr>
      <w:rFonts w:ascii="宋体" w:hAnsi="宋体" w:eastAsia="宋体" w:cs="Times New Roman"/>
      <w:kern w:val="2"/>
      <w:sz w:val="18"/>
      <w:szCs w:val="18"/>
    </w:rPr>
  </w:style>
  <w:style w:type="paragraph" w:customStyle="1" w:styleId="5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3">
    <w:name w:val="修订2"/>
    <w:hidden/>
    <w:semiHidden/>
    <w:qFormat/>
    <w:uiPriority w:val="99"/>
    <w:rPr>
      <w:rFonts w:ascii="Times New Roman" w:hAnsi="Times New Roman" w:eastAsia="宋体" w:cs="Times New Roman"/>
      <w:kern w:val="2"/>
      <w:sz w:val="21"/>
      <w:lang w:val="en-US" w:eastAsia="zh-CN" w:bidi="ar-SA"/>
    </w:rPr>
  </w:style>
  <w:style w:type="paragraph" w:customStyle="1" w:styleId="54">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4"/>
    <w:hidden/>
    <w:semiHidden/>
    <w:qFormat/>
    <w:uiPriority w:val="99"/>
    <w:rPr>
      <w:rFonts w:ascii="Times New Roman" w:hAnsi="Times New Roman" w:eastAsia="宋体" w:cs="Times New Roman"/>
      <w:kern w:val="2"/>
      <w:sz w:val="24"/>
      <w:szCs w:val="24"/>
      <w:lang w:val="en-US" w:eastAsia="zh-CN" w:bidi="ar-SA"/>
    </w:rPr>
  </w:style>
  <w:style w:type="paragraph" w:customStyle="1" w:styleId="56">
    <w:name w:val="修订5"/>
    <w:hidden/>
    <w:semiHidden/>
    <w:qFormat/>
    <w:uiPriority w:val="99"/>
    <w:rPr>
      <w:rFonts w:eastAsia="宋体" w:asciiTheme="minorHAnsi" w:hAnsiTheme="minorHAnsi" w:cstheme="minorBidi"/>
      <w:kern w:val="2"/>
      <w:sz w:val="24"/>
      <w:szCs w:val="22"/>
      <w:lang w:val="en-US" w:eastAsia="zh-CN" w:bidi="ar-SA"/>
    </w:rPr>
  </w:style>
  <w:style w:type="paragraph" w:customStyle="1" w:styleId="57">
    <w:name w:val="修订6"/>
    <w:hidden/>
    <w:semiHidden/>
    <w:qFormat/>
    <w:uiPriority w:val="99"/>
    <w:rPr>
      <w:rFonts w:eastAsia="宋体" w:asciiTheme="minorHAnsi" w:hAnsiTheme="minorHAnsi" w:cstheme="minorBidi"/>
      <w:kern w:val="2"/>
      <w:sz w:val="24"/>
      <w:szCs w:val="22"/>
      <w:lang w:val="en-US" w:eastAsia="zh-CN" w:bidi="ar-SA"/>
    </w:rPr>
  </w:style>
  <w:style w:type="character" w:customStyle="1" w:styleId="58">
    <w:name w:val="批注文字 字符"/>
    <w:basedOn w:val="26"/>
    <w:link w:val="14"/>
    <w:qFormat/>
    <w:uiPriority w:val="0"/>
    <w:rPr>
      <w:rFonts w:ascii="宋体" w:hAnsi="宋体" w:eastAsia="宋体" w:cs="Times New Roman"/>
      <w:kern w:val="2"/>
      <w:sz w:val="24"/>
      <w:szCs w:val="24"/>
    </w:rPr>
  </w:style>
  <w:style w:type="character" w:customStyle="1" w:styleId="59">
    <w:name w:val="批注主题 字符"/>
    <w:basedOn w:val="58"/>
    <w:link w:val="23"/>
    <w:semiHidden/>
    <w:qFormat/>
    <w:uiPriority w:val="0"/>
    <w:rPr>
      <w:rFonts w:ascii="宋体" w:hAnsi="宋体" w:eastAsia="宋体" w:cs="Times New Roman"/>
      <w:b/>
      <w:bCs/>
      <w:kern w:val="2"/>
      <w:sz w:val="24"/>
      <w:szCs w:val="24"/>
    </w:rPr>
  </w:style>
  <w:style w:type="character" w:customStyle="1" w:styleId="60">
    <w:name w:val="文档结构图 字符"/>
    <w:basedOn w:val="26"/>
    <w:qFormat/>
    <w:uiPriority w:val="0"/>
    <w:rPr>
      <w:rFonts w:ascii="Microsoft YaHei UI" w:hAnsi="宋体" w:eastAsia="Microsoft YaHei UI" w:cs="Times New Roman"/>
      <w:kern w:val="2"/>
      <w:sz w:val="18"/>
      <w:szCs w:val="18"/>
    </w:rPr>
  </w:style>
  <w:style w:type="character" w:customStyle="1" w:styleId="61">
    <w:name w:val="文档结构图 字符1"/>
    <w:link w:val="13"/>
    <w:qFormat/>
    <w:uiPriority w:val="0"/>
    <w:rPr>
      <w:rFonts w:ascii="Times New Roman" w:hAnsi="Times New Roman" w:eastAsia="宋体" w:cs="Times New Roman"/>
      <w:kern w:val="2"/>
      <w:sz w:val="21"/>
      <w:szCs w:val="24"/>
      <w:shd w:val="clear" w:color="auto" w:fill="000080"/>
    </w:rPr>
  </w:style>
  <w:style w:type="paragraph" w:customStyle="1" w:styleId="62">
    <w:name w:val="DG表格"/>
    <w:next w:val="1"/>
    <w:link w:val="63"/>
    <w:qFormat/>
    <w:uiPriority w:val="9"/>
    <w:pPr>
      <w:jc w:val="center"/>
    </w:pPr>
    <w:rPr>
      <w:rFonts w:ascii="宋体" w:hAnsi="宋体" w:eastAsia="宋体" w:cstheme="minorBidi"/>
      <w:kern w:val="2"/>
      <w:sz w:val="24"/>
      <w:szCs w:val="21"/>
      <w:lang w:val="en-US" w:eastAsia="zh-CN" w:bidi="ar-SA"/>
    </w:rPr>
  </w:style>
  <w:style w:type="character" w:customStyle="1" w:styleId="63">
    <w:name w:val="DG表格 字符"/>
    <w:basedOn w:val="26"/>
    <w:link w:val="62"/>
    <w:qFormat/>
    <w:uiPriority w:val="9"/>
    <w:rPr>
      <w:rFonts w:ascii="宋体" w:hAnsi="宋体" w:eastAsia="宋体"/>
      <w:kern w:val="2"/>
      <w:sz w:val="24"/>
      <w:szCs w:val="21"/>
    </w:rPr>
  </w:style>
  <w:style w:type="paragraph" w:customStyle="1" w:styleId="64">
    <w:name w:val="_正文"/>
    <w:basedOn w:val="1"/>
    <w:qFormat/>
    <w:uiPriority w:val="0"/>
    <w:pPr>
      <w:contextualSpacing/>
      <w:jc w:val="both"/>
    </w:pPr>
    <w:rPr>
      <w:bCs/>
      <w:szCs w:val="21"/>
    </w:rPr>
  </w:style>
  <w:style w:type="paragraph" w:customStyle="1" w:styleId="65">
    <w:name w:val="Table Paragraph"/>
    <w:basedOn w:val="1"/>
    <w:qFormat/>
    <w:uiPriority w:val="1"/>
    <w:rPr>
      <w:rFonts w:ascii="宋体" w:hAnsi="宋体" w:eastAsia="宋体" w:cs="宋体"/>
    </w:rPr>
  </w:style>
  <w:style w:type="paragraph" w:customStyle="1" w:styleId="66">
    <w:name w:val="【方案正文样式】 首行缩进:  2 字符 行距: 固定值 20 磅"/>
    <w:basedOn w:val="1"/>
    <w:qFormat/>
    <w:uiPriority w:val="0"/>
    <w:pPr>
      <w:spacing w:line="360" w:lineRule="auto"/>
      <w:ind w:firstLine="480"/>
    </w:pPr>
    <w:rPr>
      <w:rFonts w:ascii="Times New Roman" w:hAnsi="Times New Roman"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9444</Words>
  <Characters>9729</Characters>
  <Lines>148</Lines>
  <Paragraphs>41</Paragraphs>
  <TotalTime>8</TotalTime>
  <ScaleCrop>false</ScaleCrop>
  <LinksUpToDate>false</LinksUpToDate>
  <CharactersWithSpaces>9787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2020-12-01T18:59:00Z</dcterms:created>
  <dc:creator>沙丘淺海</dc:creator>
  <cp:lastModifiedBy>伍健锋</cp:lastModifiedBy>
  <cp:lastPrinted>2020-11-12T15:45:00Z</cp:lastPrinted>
  <dcterms:modified xsi:type="dcterms:W3CDTF">2022-08-03T03:47:03Z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78197ADAAA164CEFB6EB1BD6D6FC5943</vt:lpwstr>
  </property>
  <property fmtid="{D5CDD505-2E9C-101B-9397-08002B2CF9AE}" pid="4" name="commondata">
    <vt:lpwstr>eyJoZGlkIjoiODRmMDM2Njg1MmMxZDBkZGMzYTlhMjk0ZGM3MjQ3YzEifQ==</vt:lpwstr>
  </property>
</Properties>
</file>