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eastAsia="方正小标宋_GBK"/>
          <w:color w:val="000000"/>
          <w:sz w:val="36"/>
          <w:szCs w:val="36"/>
        </w:rPr>
      </w:pPr>
      <w:r>
        <w:rPr>
          <w:rFonts w:hint="eastAsia" w:eastAsia="方正小标宋简体"/>
          <w:color w:val="000000"/>
          <w:sz w:val="36"/>
          <w:szCs w:val="36"/>
        </w:rPr>
        <w:t>（二十一）卫生健康</w:t>
      </w:r>
      <w:r>
        <w:rPr>
          <w:rFonts w:eastAsia="方正小标宋简体"/>
          <w:color w:val="000000"/>
          <w:sz w:val="36"/>
          <w:szCs w:val="36"/>
        </w:rPr>
        <w:t>领域基层政务公开标准目录</w:t>
      </w:r>
    </w:p>
    <w:tbl>
      <w:tblPr>
        <w:tblStyle w:val="5"/>
        <w:tblW w:w="50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765"/>
        <w:gridCol w:w="1562"/>
        <w:gridCol w:w="3260"/>
        <w:gridCol w:w="1131"/>
        <w:gridCol w:w="1134"/>
        <w:gridCol w:w="852"/>
        <w:gridCol w:w="1629"/>
        <w:gridCol w:w="507"/>
        <w:gridCol w:w="529"/>
        <w:gridCol w:w="494"/>
        <w:gridCol w:w="529"/>
        <w:gridCol w:w="580"/>
        <w:gridCol w:w="494"/>
        <w:gridCol w:w="754"/>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95"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序号</w:t>
            </w:r>
          </w:p>
        </w:tc>
        <w:tc>
          <w:tcPr>
            <w:tcW w:w="734" w:type="pct"/>
            <w:gridSpan w:val="2"/>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公开事项</w:t>
            </w:r>
          </w:p>
        </w:tc>
        <w:tc>
          <w:tcPr>
            <w:tcW w:w="1029"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公开内容（要素）</w:t>
            </w:r>
          </w:p>
        </w:tc>
        <w:tc>
          <w:tcPr>
            <w:tcW w:w="357"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公开依据</w:t>
            </w:r>
          </w:p>
        </w:tc>
        <w:tc>
          <w:tcPr>
            <w:tcW w:w="358"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公开时限</w:t>
            </w:r>
          </w:p>
        </w:tc>
        <w:tc>
          <w:tcPr>
            <w:tcW w:w="269"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公开主体</w:t>
            </w:r>
          </w:p>
        </w:tc>
        <w:tc>
          <w:tcPr>
            <w:tcW w:w="514"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公开渠道和载体（网址）</w:t>
            </w:r>
          </w:p>
        </w:tc>
        <w:tc>
          <w:tcPr>
            <w:tcW w:w="327" w:type="pct"/>
            <w:gridSpan w:val="2"/>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公开对象</w:t>
            </w:r>
          </w:p>
        </w:tc>
        <w:tc>
          <w:tcPr>
            <w:tcW w:w="323" w:type="pct"/>
            <w:gridSpan w:val="2"/>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公开方式</w:t>
            </w:r>
          </w:p>
        </w:tc>
        <w:tc>
          <w:tcPr>
            <w:tcW w:w="577" w:type="pct"/>
            <w:gridSpan w:val="3"/>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公开层级</w:t>
            </w:r>
          </w:p>
        </w:tc>
        <w:tc>
          <w:tcPr>
            <w:tcW w:w="317"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95" w:type="pct"/>
            <w:vMerge w:val="continue"/>
            <w:vAlign w:val="center"/>
          </w:tcPr>
          <w:p>
            <w:pPr>
              <w:widowControl/>
              <w:spacing w:line="220" w:lineRule="exact"/>
              <w:jc w:val="left"/>
              <w:rPr>
                <w:rFonts w:ascii="黑体" w:hAnsi="黑体" w:eastAsia="黑体" w:cs="宋体"/>
                <w:color w:val="000000"/>
                <w:kern w:val="0"/>
                <w:sz w:val="18"/>
                <w:szCs w:val="18"/>
              </w:rPr>
            </w:pPr>
          </w:p>
        </w:tc>
        <w:tc>
          <w:tcPr>
            <w:tcW w:w="241" w:type="pct"/>
            <w:vAlign w:val="center"/>
          </w:tcPr>
          <w:p>
            <w:pPr>
              <w:widowControl/>
              <w:spacing w:line="220" w:lineRule="exact"/>
              <w:jc w:val="left"/>
              <w:rPr>
                <w:rFonts w:ascii="黑体" w:hAnsi="黑体" w:eastAsia="黑体" w:cs="宋体"/>
                <w:color w:val="000000"/>
                <w:kern w:val="0"/>
                <w:sz w:val="20"/>
                <w:szCs w:val="18"/>
              </w:rPr>
            </w:pPr>
            <w:r>
              <w:rPr>
                <w:rFonts w:hint="eastAsia" w:ascii="黑体" w:hAnsi="黑体" w:eastAsia="黑体" w:cs="宋体"/>
                <w:color w:val="000000"/>
                <w:kern w:val="0"/>
                <w:sz w:val="20"/>
                <w:szCs w:val="18"/>
              </w:rPr>
              <w:t>一级事项</w:t>
            </w:r>
          </w:p>
        </w:tc>
        <w:tc>
          <w:tcPr>
            <w:tcW w:w="493" w:type="pct"/>
            <w:vAlign w:val="center"/>
          </w:tcPr>
          <w:p>
            <w:pPr>
              <w:widowControl/>
              <w:spacing w:line="220" w:lineRule="exact"/>
              <w:jc w:val="left"/>
              <w:rPr>
                <w:rFonts w:ascii="黑体" w:hAnsi="黑体" w:eastAsia="黑体" w:cs="宋体"/>
                <w:color w:val="000000"/>
                <w:kern w:val="0"/>
                <w:sz w:val="20"/>
                <w:szCs w:val="18"/>
              </w:rPr>
            </w:pPr>
            <w:r>
              <w:rPr>
                <w:rFonts w:hint="eastAsia" w:ascii="黑体" w:hAnsi="黑体" w:eastAsia="黑体" w:cs="宋体"/>
                <w:color w:val="000000"/>
                <w:kern w:val="0"/>
                <w:sz w:val="20"/>
                <w:szCs w:val="18"/>
              </w:rPr>
              <w:t>二级事项</w:t>
            </w:r>
          </w:p>
        </w:tc>
        <w:tc>
          <w:tcPr>
            <w:tcW w:w="1029" w:type="pct"/>
            <w:vMerge w:val="continue"/>
            <w:vAlign w:val="center"/>
          </w:tcPr>
          <w:p>
            <w:pPr>
              <w:widowControl/>
              <w:spacing w:line="220" w:lineRule="exact"/>
              <w:jc w:val="left"/>
              <w:rPr>
                <w:rFonts w:ascii="黑体" w:hAnsi="黑体" w:eastAsia="黑体" w:cs="宋体"/>
                <w:color w:val="000000"/>
                <w:kern w:val="0"/>
                <w:sz w:val="18"/>
                <w:szCs w:val="18"/>
              </w:rPr>
            </w:pPr>
          </w:p>
        </w:tc>
        <w:tc>
          <w:tcPr>
            <w:tcW w:w="357" w:type="pct"/>
            <w:vMerge w:val="continue"/>
            <w:vAlign w:val="center"/>
          </w:tcPr>
          <w:p>
            <w:pPr>
              <w:widowControl/>
              <w:spacing w:line="220" w:lineRule="exact"/>
              <w:jc w:val="left"/>
              <w:rPr>
                <w:rFonts w:ascii="黑体" w:hAnsi="黑体" w:eastAsia="黑体" w:cs="宋体"/>
                <w:color w:val="000000"/>
                <w:kern w:val="0"/>
                <w:sz w:val="18"/>
                <w:szCs w:val="18"/>
              </w:rPr>
            </w:pPr>
          </w:p>
        </w:tc>
        <w:tc>
          <w:tcPr>
            <w:tcW w:w="358" w:type="pct"/>
            <w:vMerge w:val="continue"/>
            <w:vAlign w:val="center"/>
          </w:tcPr>
          <w:p>
            <w:pPr>
              <w:widowControl/>
              <w:spacing w:line="220" w:lineRule="exact"/>
              <w:jc w:val="left"/>
              <w:rPr>
                <w:rFonts w:ascii="黑体" w:hAnsi="黑体" w:eastAsia="黑体" w:cs="宋体"/>
                <w:color w:val="000000"/>
                <w:kern w:val="0"/>
                <w:sz w:val="18"/>
                <w:szCs w:val="18"/>
              </w:rPr>
            </w:pPr>
          </w:p>
        </w:tc>
        <w:tc>
          <w:tcPr>
            <w:tcW w:w="269" w:type="pct"/>
            <w:vMerge w:val="continue"/>
            <w:vAlign w:val="center"/>
          </w:tcPr>
          <w:p>
            <w:pPr>
              <w:widowControl/>
              <w:spacing w:line="220" w:lineRule="exact"/>
              <w:jc w:val="left"/>
              <w:rPr>
                <w:rFonts w:ascii="黑体" w:hAnsi="黑体" w:eastAsia="黑体" w:cs="宋体"/>
                <w:color w:val="000000"/>
                <w:kern w:val="0"/>
                <w:sz w:val="18"/>
                <w:szCs w:val="18"/>
              </w:rPr>
            </w:pPr>
          </w:p>
        </w:tc>
        <w:tc>
          <w:tcPr>
            <w:tcW w:w="514" w:type="pct"/>
            <w:vMerge w:val="continue"/>
            <w:vAlign w:val="center"/>
          </w:tcPr>
          <w:p>
            <w:pPr>
              <w:widowControl/>
              <w:spacing w:line="220" w:lineRule="exact"/>
              <w:jc w:val="left"/>
              <w:rPr>
                <w:rFonts w:ascii="黑体" w:hAnsi="黑体" w:eastAsia="黑体" w:cs="宋体"/>
                <w:color w:val="000000"/>
                <w:kern w:val="0"/>
                <w:sz w:val="18"/>
                <w:szCs w:val="18"/>
              </w:rPr>
            </w:pPr>
          </w:p>
        </w:tc>
        <w:tc>
          <w:tcPr>
            <w:tcW w:w="160"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全社会</w:t>
            </w:r>
          </w:p>
        </w:tc>
        <w:tc>
          <w:tcPr>
            <w:tcW w:w="167"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特定群众</w:t>
            </w:r>
          </w:p>
        </w:tc>
        <w:tc>
          <w:tcPr>
            <w:tcW w:w="156"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主动</w:t>
            </w:r>
          </w:p>
        </w:tc>
        <w:tc>
          <w:tcPr>
            <w:tcW w:w="167"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依申请公开</w:t>
            </w:r>
          </w:p>
        </w:tc>
        <w:tc>
          <w:tcPr>
            <w:tcW w:w="183"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县级</w:t>
            </w:r>
          </w:p>
        </w:tc>
        <w:tc>
          <w:tcPr>
            <w:tcW w:w="156"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镇街</w:t>
            </w:r>
          </w:p>
        </w:tc>
        <w:tc>
          <w:tcPr>
            <w:tcW w:w="238"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乡、村级</w:t>
            </w:r>
          </w:p>
        </w:tc>
        <w:tc>
          <w:tcPr>
            <w:tcW w:w="317" w:type="pct"/>
            <w:vMerge w:val="continue"/>
            <w:vAlign w:val="center"/>
          </w:tcPr>
          <w:p>
            <w:pPr>
              <w:widowControl/>
              <w:spacing w:line="220" w:lineRule="exact"/>
              <w:jc w:val="left"/>
              <w:rPr>
                <w:rFonts w:ascii="黑体" w:hAnsi="黑体" w:eastAsia="黑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对用人单位未按照规定实行有害作业与无害作业分开、工作场所与生活场所分开的；用人单位的主要负责人、职业卫生管理人员未接受职业卫生培训的违法行为的处罚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《工作场所职业卫生监督管理规定》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tcBorders>
              <w:bottom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bottom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bottom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bottom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对有关单位向用人单位提供可能产生职业病危害的设备、材料，未按照规定提供中文说明书或者设置警示标识和中文警示说明的行为的处罚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tcBorders>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tcBorders>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514"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对已经取得资质认可的职业卫生技术服务机构，不再符合《职业卫生技术服务机构监督管理暂行办法》规定的资质条件的违法行为的处罚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《职业卫生技术服务机构监督管理暂行办法》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tcBorders>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tcBorders>
              <w:top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top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top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对为安全生产工作提供服务的机构为生产经营单位提供检测、检验、认证、评价、教育培训、咨询等服务时弄虚作假的行为的处罚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《安全评价检测检验机构管理办法》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对用人单位有关事项发生重大变化，未按照《职业病危害项目申报办法》的规定申报变更职业病危害项目内容的违法行为的处罚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《职业病危害项目申报办法》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对职业卫生技术服务机构有《职业卫生技术服务机构监督管理暂行办法》第四十五条规定的违法行为的处罚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《职业卫生技术服务机构监督管理暂行办法》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对建设单位《建设项目职业病防护设施“三同时”监督管理办法》第四十一条规定的违法行为的处罚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《建设项目职业病防护设施“三同时”监督管理办法》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对建设单位《建设项目职业病防护设施“三同时”监督管理办法》第四十二条规定的违法行为的处罚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《建设项目职业病防护设施“三同时”监督管理办法》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对建设单位《建设项目职业病防护设施“三同时”监督管理办法》第四十条规定的违法行为的处罚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《建设项目职业病防护设施“三同时”监督管理办法》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对用人单位违反《职业病防治法》规定，已经对劳动者生命健康造成严重损害的行为的处罚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对建设单位有《职业病防治法》第六十九条第一、三、四、五、六款规定的违法行为的处罚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对技术服务机构未取得职业卫生技术服务资质认可擅自从事职业卫生技术服务的行为的处罚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对职业卫生专职技术人员同时在两个以上职业卫生技术服务机构从业的违法行为的处罚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《职业卫生技术服务机构监督管理暂行办法》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对用人单位有《工作场所职业卫生监督管理规定》第五十二条规定的违法行为的处罚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《工作场所职业卫生监督管理规定》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对用人单位有《工作场所职业卫生监督管理规定》第四十九条规定的违法行为的处罚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《工作场所职业卫生监督管理规定》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对用人单位未按照规定报告职业病、疑似职业病时弄虚作假的行为的处罚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对用人单位存在《职业病防治法》第七十二条规定的违法行为的处罚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对用人单位有《职业病防治法》第七十一条规定的违法行为的处罚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对用人单位有《职业病防治法》第七十条规定的违法行为的处罚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对用人单位未按照规定报告职业病、疑似职业病的行为的处罚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及其工作人员违反规定实施约束、隔离等保护性医疗措施的，强迫精神障碍患者劳动的，对精神障碍患者实施外科手术或者实验性临床医疗的，侵害精神障碍患者的通讯和会见探访者等权利的，违反精神障碍诊断标准，将非精神障碍患者诊断为精神障碍患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《中华人民共和国精神卫生法》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违反规定，护士的配备数量低于国务院卫生主管部门规定的护士配备标准的，允许未取得护士执业证书的人员或者允许未依照规定办理执业地点变更手续、延续执业注册有效期的护士在本机构从事诊疗技术规范规定的护理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乡村医生在执业活动中，执业活动超出规定的执业范围，或者未按照规定进行转诊的；违反规定使用乡村医生基本用药目录以外的处方药品的；违反规定出具医学证明，或者伪造卫生统计资料的；发现传染病疫情、中毒事件不按规定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《乡村医生从业管理条例》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血站、单采血浆站对采集的人体血液、血浆未进行艾滋病检测，或者发现艾滋病检测阳性的人体血液、血浆仍然采集的，将未经艾滋病检测的人体血液、血浆，或者艾滋病检测阳性的人体血液、血浆供应给医疗机构和血液制品生产单位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三级、四级实验室未依照《病原微生物实验室生物安全管理条例》的规定取得从事高致病性病原微生物实验活动的资格证书，或者已经取得相关资格证书但是未经批准从事某种高致病性病原微生物或者疑似高致病性病原微生物实验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心理咨询人员从事心理治疗或者精神障碍的诊断治疗、从事心理治疗的人员在医疗机构以外开展心理治疗活动、专门从事心理治疗的人员从事精神障碍的诊断、专门从事心理治疗的人员为精神障碍患者开具处方或者提供外科治疗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《精神卫生法》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按照规定承担本单位的传染病预防、控制工作、医院感染控制任务和责任区域内的传染病预防、未报告传染病疫情、泄露传染病病人、病原携带者、疑似传染病病人、密切接触者涉及个人隐私的有关信息、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《传染病防治法》、《艾滋病防治条例》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违反卫生行政规章制度或者技术操作规范，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不按照规定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《执业医师法》、《处方管理办法》、《台湾地区医师在大陆短期行医管理规定》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和医疗机构及其人员未依法履行疫情报告职责，隐瞒、缓报或者谎报的，拒绝服从卫生行政部门调遣的，未按照规定及时采取预防控制措施的，拒绝接诊病人或者疑似病人的，未按照规定履行监测职责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《传染性非典型肺炎防治管理办法》、《传染病防治法》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职业卫生技术服务的机构和承担职业健康检查、职业病诊断的医疗卫生机构超出资质认可或者批准范围从事职业卫生技术服务或者职业病诊断的，不按照本法规定履行法定职责的，出具虚假证明文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对餐具、饮具集中消毒服务单位违反《食品安全法》规定用水，使用洗涤剂、消毒剂，或者出厂的餐具、饮具未按规定检验合格并随附消毒合格证明，或者未按规定在独立包装上标注相关内容的行为的行政处罚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《食品安全法》、《餐具、饮具集中消毒服务单位卫生监督工作规范》</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对医疗机构未建立抗菌药物管理规章制度、抗菌药物临床应用管理混乱、未执行抗菌药物分级管理、医师抗菌药物处方权限管理、药师抗菌药物调剂资格管理或者未配备相关专业技术人员的行为的行政处罚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《抗菌药物临床应用管理办法》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对发生麻醉药品和精神药品被盗、被抢、丢失案件的单位 违反《麻醉药品和精神药品管理条例》的规定未采取必要的控制措施或者未依照《麻醉药品和精神药品管理条例》的规定报告的行为的行政处罚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对实施人体器官移植手术的医疗机构及其医务人员违反《人体器官移植条例》规定，未对人体器官捐献人进行医学检查或者未采取措施，导致接受人因人体器官移植手术感染疾病的行为的行政处罚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对医疗卫生机构、医疗废物集中处置单位未按照的规定对污水、传染病病人或者疑似传染病病人的排泄物，进行严格消毒，或者未达到国家规定的排放标准，排入污水处理系统的行为的行政处罚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对职业病诊断机构未建立职业病诊断管理制度、不按照规定向劳动者公开职业病诊断程序、泄露劳动者涉及个人隐私的有关信息、资料等违反《职业病诊断与鉴定管理办法》的行为的行政处罚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《职业病诊断与鉴定管理办法》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对医疗机构未取得放射诊疗许可从事放射诊疗工作的，未办理诊疗科目登记或者未按照规定进行校验的，未经批准擅自变更放射诊疗项目或者超出批准范围从事放射诊疗工作的行为的行政处罚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医疗机构未经批准，擅自对病因不明并具有传染病特征的病人尸体进行解剖查验；未按规定采取有效的消毒、防护、隔离等措施；查验机构及其工作人员出具虚假查验报告的行为的行政处罚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《传染病防治法》、《医疗机构管理条例》、《传染病病人或疑似传染病病人尸体解剖查验规定》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对医师未按照《抗菌药物临床应用管理办法》规定开具抗菌药物处方、使用未经国家药品监督管理部门批准的抗菌药物、使用本机构抗菌药物供应目录以外的品种、品规的行为的行政处罚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《抗菌药物临床应用管理办法》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对未经卫生调查进行施工或者未按照疾病预防控制机构的意见采取必要的传染病预防、控制措施在国家确认的自然疫源地兴建水利、交通、旅游、能源等大型建设项目的行为的行政处罚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对执业医师违反《麻醉药品和精神药品管理条例》的规定开具麻醉药品和第一类精神药品处方，或者未按照临床应用指导原则的要求使用麻醉药品和第一类精神药品的行为的行政处罚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对公共场所的经营者未查验服务人员的健康合格证明或者允许未取得健康合格证明的人员从事服务工作、未在确定的公共场所内放置安全套或者设置安全套发售设施的行为的行政处罚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对检疫传染病病人、疑似检疫传染病病人以及与其密切接触者隐瞒真实情况、逃避交通卫生检疫的，拒绝接受交通卫生检疫和必要的卫生处理对疾病预防控制机构的行为的行政处罚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《突发公共卫生事件交通应急规定》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对疾病预防控制机构未依法履行传染病监测职责、通报疫情、故意泄露传染病病人、病原携带者、疑似传染病病人、密切接触者涉及个人隐私的有关信息、资料的行为的行政处罚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接种单位接收或者购进疫苗时未依照规定索要温度监测记录，接收、购进不符合要求的疫苗，或者未依照规定报告的，未依照规定建立并保存真实、完整的疫苗接收或者购进记录的，未在其接种场所的显著位置公示第一类疫苗的品种和接种方法的，医疗卫生人员在接种前，未依照本条例规定告知、询问受种者或者其监护人有关情况的，实施预防接种的医疗卫生人员未依照规定填写并保存接种记录的，未依照规定对接种疫苗的情况进行登记并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对有关单位和人员对传染性非典型肺炎病原体污染的污水、污物、粪便不按规定进行消毒处理，生产、经营、使用消毒产品、隔离防护用品等不符合规定与标准的行为的行政处罚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《传染性非典型肺炎防治管理办法》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对未按照核准登记的医学检查科下设专业诊疗科目开展临床检验工作、未按照相关规定擅自新增医学检验科下设专业、超出已登记的专业范围开展临床检验工作的行为的行政处罚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《医疗机构临床实验室管理办法》（卫医发〔2006〕73号）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对医疗机构未建立传染病疫情报告制度、未指定相关部门和人员负责传染病疫情报告管理工作、瞒报、缓报、谎报发现的传染病病人、病原携带者、疑似病人的行为的行政处罚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《突发公共卫生事件与传染病疫情监测信息报告管理办法》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对医疗机构违反《放射诊疗管理规定》购置、使用不合格或国家有关部门规定淘汰的放射诊疗设备、未按照规定使用安全防护装置和个人防护用品违反《放射诊疗管理规定》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对拒绝接受卫生主管部门、兽医主管部门依法开展有关高致病性病原微生物扩散的调查取证、采集样品等活动或者依照本条例规定采取有关预防、控制措施的行为的行政处罚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对放射工作单位的工作场所职业病危害因素检测、评价结果、职业病防治管理措施、劳动者个人职业病防护、职业病危害有关的化学材料未按照规定执行的行为的行政处罚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对普通高等学校、中等专业学校、技工学校、农业中学、职业中学组织学生参加生产劳动接触有毒有害物质、未按要求提供保健待遇和定期进行体检的行为的行政处罚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对医疗卫生机构未按照本办法规定履行职责，导致托幼机构发生突发公共卫生事件的行为的行政处罚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《托儿所幼儿园卫生保健管理办法》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对采供血机构未按照规定报告传染病疫情，或者隐瞒、谎报、缓报传染病疫情，或者未执行国家有关规定，导致因输入血液引起经血液传播疾病发生的行为的行政处罚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对医疗机构使用未取得抗菌药物处方权的医师或者使用被取消抗菌药物处方权的医师开具抗菌药物处方、未对抗菌药物处方、医嘱实施适宜性审核的行为的行政处罚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《抗菌药物临床应用管理办法》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对医疗机构及其工作人员拒绝对送诊的疑似精神障碍患者作出诊断、对依法实施住院治疗的患者未及时进行检查评估或者未根据评估结果作出处理的行为的行政处罚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《中华人民共和国精神卫生法》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对疾病预防控制机构、医疗机构和从事病原微生物实验的单位，不符合国家规定的条件和技术标准，对传染病病原体样本未按照规定进行严格管理的行为的行政处罚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对医疗机构诊疗活动超出核准登记范围、未建立相应规章制度、未按要求书写并妥善保管病历资料等违反《广东省医疗纠纷预防与处理办法》的行为的行政处罚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对集中式供水单位安排未取得体检合格证的人员从事直接供、管水工作或安排患有有碍饮用水卫生疾病的或病原携带者从事直接供、管水工作的行为的行政处罚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《生活饮用水卫生监督管理办法》（2016年修正）</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对职业卫生技术服务机构超出资质认可或者批准范围从事职业卫生技术服务的；不按照《职业病防治法》规定履行法定职责的；出具虚假证明文件行为的处罚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对非法为他人施行计划生育手术、非医学需要的胎儿性别鉴定、选择性别的人工终止妊娠、进行假医学鉴定、出具假计划生育证明违法行为的行为的行政处罚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《广东省人口与计划生育条例》、《中华人民共和国人口与计划生育法》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对从事人体器官移植的医务人员违反《人体器官移植条例》规定，泄露人体器官捐献人、接受人或者申请人体器官移植手术患者个人资料的行为的行政处罚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对中医医疗机构不符合中医医疗机构设置标准、获得城镇职工基本医疗保险定点医疗机构资格未按照规定向参保人员提供基本医疗服务的行为的行政处罚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《中华人民共和国中医药条例》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对医疗卫生机构的环境、物品、排放废弃的污水、污物、运送传染病病人及其污染物品的车辆、工具不符合国家有关规范、标准和规定的行为的行政处罚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对医疗机构使用未取得处方权的人员、被取消处方权的医师开具处方、使用未取得药学专业技术职务任职资格的人员从事处方调剂工作的行为的行政处罚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对医疗卫生机构、医疗废物集中处置单位未对从事医疗废物收集、运送、贮存、处置等工作的人员和管理人员采取职业卫生防护措施的行为的行政处罚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对医疗卫生机构、医疗废物集中处置单位发生医疗废物流失、泄漏、扩散时，未采取紧急处理措施，或者未及时向卫生行政主管部门的行为的行政处罚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对医疗卫生机构、医疗废物集中处置单位对收治的传染病病人或者疑似传染病病人产生的生活垃圾，未按照医疗废物进行管理和处置的行为的行政处罚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对护士在性病诊疗活动中违反本办法规定泄露患者隐私或者发现医嘱违反法律、法规、规章、诊疗技术规范未按照规定提出或者报告的行为的行政处罚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对违反《广东省查处生产销售假冒伪劣商品违法行为条例》第二十条规定，擅自启封、转移、使用、改动、销毁、销售被查封物品的行为的行政处罚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对医疗机构的放射工作许可登记证件过期或者超许可登记范围使用、储存放射性同位素与射线装置造成放射事故，尚不构成犯罪的行为的行政处罚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《放射事故管理规定》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对医疗卫生机构、医疗废物集中处置单位未使用符合标准的专用车辆运送医疗废物或者使用运送医疗废物的车辆运送其他物品的行为的行政处罚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对托幼机构未按要求设立保健室、卫生室或者配备卫生保健人员、招收未经健康检查或健康检查不合格的儿童入托幼机构的的行为的行政处罚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《托儿所幼儿园卫生保健管理办法》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对经依法批准从事高致病性病原微生物相关实验活动的实验室的设立单位未建立健全安全保卫制度，或者未采取安全保卫措施的行为的行政处罚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对计划生育技术服务机构和从事计划生育技术服务的医疗、保健机构在开展计划生育技术服务时出具虚假证明文件、做假手术的行为的行政处罚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对饮用水供水单位供应的饮用水、涉及饮用水卫生安全的产品、用于传染病防治的消毒产品不符合国家卫生标准和卫生规范的行为的行政处罚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《生活饮用水卫生监督管理办法》、《消毒管理办法》、《中华人民共和国传染病防治法实施办法》、《中华人民共和国传染病防治法》)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对医疗机构将未达到国家规定标准的污水、传染病病人或者疑似传染病病人的排泄物排入城市排水管网的，造成传染病传播的行为的行政处罚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对生产经营无生产企业卫生许可证或新消毒产品卫生许可批准文件的、产品卫生安全评价不合格或产品卫生质量不符合要求的行为的行政处罚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对医疗机构违规摘取人体器官、摘取活体器官、对摘取器官完毕的尸体未进行符合伦理原则的医学处理，恢复尸体原貌的行为的行政处罚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对违反《病原微生物实验室生物安全管理条例》规定，在不符合相应生物安全要求的实验室从事病原微生物相关实验活动的行为的行政处罚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对医疗卫生机构、医疗废物集中处置单位未对有关人员进行相关法律和专业技术、安全防护以及紧急处理等知识的培训的行为的行政处罚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对医疗卫生机构、医疗废物集中处置单位对使用后的医疗废物运送工具或者运送车辆未在指定地点及时进行消毒和清洁的行为的行政处罚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对医疗机构或者其他有关机构承担尸检任务的机构没有正当理由，拒绝进行尸检的；涂改、伪造、隐匿、销毁病历资料的行为的行政处罚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《医疗事故处理条例》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对医疗卫生机构未按照医疗废物进行管理和处置医疗废物、污水、传染病病人和疑似传染病病人的排泄物、生活垃圾的行为的行政处罚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对医疗机构违反《人体器官移植技术临床应用管理暂行规定》第二章规定，未经诊疗科目登记擅自开展人体器官移植的行为的行政处罚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《卫生部关于印发&lt;人体器官移植技术临床应用管理暂行规定&gt;的通知》（医发〔2006〕94号）、《医疗机构管理条例》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对医疗废物集中处置单位未对从事医疗废物收集、运送、贮存、处置等工作的人员和管理人员采取职业卫生防护措施的行为的行政处罚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对疾病预防控制机构、接种单位以外的单位或者个人违反《疫苗流通和预防接种管理条例》规定进行群体性预防接种的行为的行政处罚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对医疗卫生机构未制定、实施本机构护士在职培训计划或者未保证护士接受培训的，未依照规定履行护士管理职责的行为的行政处罚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对学校教室建筑、环境噪声、室内微小气候、采光、照明等环境质量以及黑板、课桌椅的设置不符合国家有关标准的行为的行政处罚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对无资质从事婚前医学检查、遗传病诊断、产前诊断或者医学技术鉴定、施行终止妊娠手术、出具有关医学证明的行为的行政处罚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《中华人民共和国母婴保健法》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对疾病预防控制机构、接种单位、疫苗生产企业、接受委托配送疫苗的企业未在规定的冷藏条件下储存、运输疫苗的行为的行政处罚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对医疗卫生机构未依照《突发公共卫生事件应急条例》的规定履行职责、拒不服从突发事件应急处理指挥部调度的行为的行政处罚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《突发公共卫生事件应急条例》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对医疗机构、疾病预防控制机构发现急性血吸虫病疫情或者接到急性血吸虫病暴发、流行报告时未及时采取措施的行为的行政处罚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《血吸虫病防治条例》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对生产、销售《广东省查处生产销售假冒伪劣商品违法行为条例》第十条第一、二、三、四、五、六项所列商品的行为的行政处罚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对生产、销售《广东省查处生产销售假冒伪劣商品违法行为条例》第十条第八、九、十、十一、十二项所列商品的行为的行政处罚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对职业健康检查机构未指定主检医师或者指定的主检医师未取得职业病诊断资格的，未建立职业健康检查档案的行为的行政处罚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对医疗卫生机构、医疗废物集中处置单位在医疗废物管理中未将医疗废物按照类别分置于专用包装物或者容器的行为的行政处罚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对未取得职业卫生技术服务资质认可擅自从事职业卫生技术服务、医疗卫生机构未经批准擅自从事职业病诊断的行为的行政处罚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《中华人民共和国职业病防治法》、《职业病诊断与鉴定管理办法》、《职业健康检查管理办法》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p>
            <w:pPr>
              <w:widowControl/>
              <w:spacing w:line="220" w:lineRule="exact"/>
              <w:jc w:val="left"/>
              <w:rPr>
                <w:rFonts w:ascii="仿宋" w:hAnsi="仿宋" w:eastAsia="仿宋"/>
                <w:sz w:val="18"/>
                <w:szCs w:val="18"/>
              </w:rPr>
            </w:pP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对实验室负责人、实验室工作人员、负责实验室感染控制的专门机构或者人员未依照规定报告、采取控制措施的行为的行政处罚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对医疗机构未取得放射工作许可登记证件使用、储存放射性同位素与射线装置造成放射事故且尚不构成犯罪的行为的行政处罚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《放射事故管理规定》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对计划生育技术服务机构使用没有依法取得《计划生育技术服务人员合格证》的人员从事计划生育技术服务的行为的行政处罚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对放射工作单位未按照规定组织职业健康检查、未建立职业健康监护档案或者未将检查结果如实告知劳动者的行为的行政处罚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 、《放射工作人员职业健康管理办法》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对执业医师未按照临床应用指导原则的要求使用第二类精神药品 或者未使用专用处方开具第二类精神药品的行为的行政处罚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对医务人员违规摘取人体器官、摘取活体器官、对摘取器官完毕的尸体未进行符合伦理原则的医学处理的行为的行政处罚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对医疗卫生机构、医疗废物集中处置单位在医疗废物管理中贮存设施或者设备不符合环境保护、卫生要求的行为的行政处罚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对乡村医生在执业活动中，违反规定进行实验性临床医疗活动，或者重复使用一次性医疗器械和卫生材料的行为的行政处罚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《乡村医生从业管理条例》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对从事计划生育技术服务的人员擅自增加计划生育技术服务项目或在执业的机构外从事计划生育技术服务的行为的行政处罚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对药师未按照规定审核、调剂抗菌药物处方，情节严重的；未按照规定私自增加抗菌药物品种或者品规的行为的行政处罚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《抗菌药物临床应用管理办法》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对公共场所经营者对发生的危害健康事故未立即采取处置措施，导致危害扩大，或者隐瞒、缓报、谎报的行为的行政处罚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对餐具、饮具集中消毒服务单位拒绝、阻挠、干涉卫生计生行政部门及其工作人员依法开展监督检查的行为的行政处罚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《食品安全法》、《餐具、饮具集中消毒服务单位卫生监督工作规范》</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对用于传染病防治的消毒产品不符合国家卫生标准和卫生规范导致或者可能导致传染病传播、流行的行为的行政处罚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《传染病防治法》、《传染病防治法实施办法》、《消毒管理办法》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对医疗机构自行建有医疗废物处置设施但未定期对医疗废物处置设施的卫生学效果进行检测、评价的行为的行政处罚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对未取得麻醉药品和第一类精神药品处方资格的执业医师擅自开具麻醉药品和第一类精神药品处方的行为的行政处罚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对伪造、变造、买卖计划生育证明的；使用虚假计划生育证明的；以不正当手段取得计划生育证明的行为的行政处罚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对托幼机构未按照规定履行卫生保健工作职责，造成传染病流行、食物中毒等突发公共卫生事件的行为的行政处罚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《托儿所幼儿园卫生保健管理办法》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对从事计划生育技术服务的机构和人员未经批准擅自从事产前诊断和使用辅助生育技术治疗不育症的行为的行政处罚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《计划生育技术服务管理条例实施细则》、《计划生育技术服务管理条例》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对提供、使用未经出入境检验检疫机构检疫的进口人体血液、血浆、组织、器官、细胞、骨髓等的行为的行政处罚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对中外各方未经批准成立中外合资、合作医疗机构并开展医疗活动或以合同方式经营诊疗项目的行为的行政处罚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《中外合资、合作医疗机构管理暂行办法》、《医疗机构管理条例》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对医务人员未遵守诊疗护理规范、未履行如实告知义务、丢失、隐匿、伪造或者销毁病历资料的行为的行政处罚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《广东省医疗纠纷预防与处理办法》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对医疗卫生机构未为护士提供卫生防护用品，或者未采取有效的卫生防护措施、医疗保健措施的行为的行政处罚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对学校为学生设置厕所不符合国家规定，无洗手设施，寄宿学校无学生洗漱、洗澡等卫生设施的行为的行政处罚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对未取得产前诊断类母婴保健技术考核合格证书的个人，擅自从事产前诊断或超越许可范围的行为的行政处罚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《产前诊断技术管理办法》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对台湾医师未取得《台湾医师短期行医执业证书》行医或者未按照注册的有效期从事诊疗活动的行为的行政处罚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《台湾地区医师在大陆短期行医管理规定》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对计划生育技术服务机构或者医疗、保健机构以外的机构或者人员擅自从事计划生育技术服务的行为的行政处罚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对港澳医师未取得《港澳医师短期行医执业证书》行医或者未按照注册的有效期从事诊疗活动的行为的行政处罚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对未按照规定对公共场所进行卫生检测和未按照规定对顾客用品用具进行清洗、消毒、保洁的行为的行政处罚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对使用后的一次性医疗用品、一次性医疗器械、输液瓶、产妇胎盘不按规定进行收集、处理的行为的行政处罚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《广东省医疗废物管理条例》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对从事母婴保健技术服务的人员出具虚假医学证明文件的，给当事人身心健康造成严重后果的行为的行政处罚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《中华人民共和国母婴保健法》、《中华人民共和国母婴保健法实施办法》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对医疗卫生机构使用的进入人体组织或无菌器官以及医疗器械用品未达到灭菌和消毒要求的行为的行政处罚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对乡级医疗卫生机构未依照规定将第一类疫苗分发到承担预防接种工作的村医疗卫生机构的行为的行政处罚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对生产、销售《广东省查处生产销售假冒伪劣商品违法行为条例》第十条第七项所列商品的行为的行政处罚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对处方的调配人、核对人违反本条例的规定未对麻醉药品和第一类精神药品处方进行核对的行为的行政处罚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对准许或者纵容传染病人、病原携带者和疑似传染病病人，从事儿童看护、保教工作的行为的行政处罚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《广东省母婴保健管理条例》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对医疗卫生机构、医疗废物集中处置单位未对医疗废物进行登记或者未保存登记资料的行为的行政处罚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对医疗机构未按照规定保管麻醉药品和精神药品处方，或者未依照规定进行专册登记的行为的行政处罚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对职业病诊断鉴定委员会组成人员收受职业病诊断争议当事人的财物或者其他好处的行为的行政处罚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《中华人民共和国职业卫生防治法》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对医疗卫生机构、医疗废物集中处置单位阻碍卫生行政主管部门执法人员执行职务的行为的行政处罚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对逾期不校验计划生育技术服务执业许可证明文件经责令限期补办后仍拒不校验的行为的行政处罚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对有《广东省查处生产销售假冒伪劣商品违法行为条例》第十一条所列行为之一的行为的行政处罚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对有《广东省查处生产销售假冒伪劣商品违法行为条例》第十二条所列行为之一的行为的行政处罚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对医疗卫生机构发生感染性疾病暴发、流行时，未及时报告和采取有效消毒措施的行为的行政处罚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对医疗保健机构未取得产前诊断执业许可或超越许可范围，擅自从事产前诊断的行为的行政处罚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《产前诊断技术管理办法》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对医疗保健机构《母婴保健技术服务执业许可证》校验不合格且整改后仍不合格的行为的行政处罚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《广东省母婴保健技术服务项目审批管理办法》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对个体或私营医疗保健机构瞒报、缓报、谎报传染病疫情或突发性公共卫生事件的行为的行政处罚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《突发公共卫生事件与传染病疫情监测信息报告管理办法》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对大规模批量生产、销售假冒伪劣商品，以贿赂、回扣等方式推销假冒伪劣商品的行为的行政处罚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对医疗机构违反《职业病防治法》规定，已经对劳动者生命健康造成严重损害的行为的行政处罚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对违反《中外合资、合作医疗机构管理暂行办法》的中外合资、合作医疗机构的行为的行政处罚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《中外合资、合作医疗机构管理暂行办法》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对违反《疫苗流通和预防接种管理条例》规定发布接种第二类疫苗的建议信息的行为的行政处罚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对托幼机构未取得《医疗机构执业许可证》擅自设立卫生室，进行诊疗活动的行为的行政处罚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《托儿所幼儿园卫生保健管理办法》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对不具备集中处置医疗废物条件的农村医疗卫生机构未按照要求处置医疗废物的行为的行政处罚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对组织进行非医学需要的胚胎、胎儿性别鉴定或者选择性别的人工终止妊娠的行为的行政处罚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对暂缓校验的医疗机构违反规定擅自开展诊疗活动或发布医疗服务信息广告的行为的行政处罚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《医疗机构校验管理办法》(试行)（卫医政发[2009]57号）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对医疗机构违反《医师外出会诊管理暂行规定》第六条、第八条、第十五条的行为的行政处罚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《医师外出会诊管理暂行规定》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对取得印鉴卡的医疗机构未依照规定购买、储存、备案麻醉药品和精神药品的行为的行政处罚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对从事母婴保健工作的人员出具有关虚假医学证明或者进行胎儿性别鉴定的行为的行政处罚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《中华人民共和国母婴保健法》、《母婴保健法实施办法》、《广东省母婴保健管理条例》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对医师在性病诊疗活动中违反本办法规定，泄露患者隐私，造成严重后果的行为的行政处罚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《执业医师法》、《性病防治管理办法》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对医疗卫生机构发生医疗废物流失、泄漏、扩散时，未采取紧急处理措施的行为的行政处罚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对医疗卫生机构、医疗废物集中处置单位未建立、健全医疗废物管理制度的行为的行政处罚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对医疗气功人员在医疗气功活动中违反医学常规或医疗气功基本操作规范的行为的行政处罚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对买卖、出借、出租或者涂改、伪造计划生育技术服务执业许可证明文件的行为的行政处罚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对开展新生儿疾病筛查的医疗机构违反《新生儿疾病筛查技术规范》的的行为的行政处罚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《新生儿疾病筛查管理办法》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对护士执业注册申请人隐瞒有关情况或者提供虚假材料申请护士执业注册的行为的行政处罚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《护士执业注册管理办法》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对从事计划生育技术服务的机构未经批准擅自扩大计划生育技术服务项目的行为的行政处罚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对用人单位有《用人单位职业健康监护监督管理办法》第二十六条规定的违法行为的处罚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《用人单位职业健康监护监督管理办法》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对医师在性病诊疗活动中违反《性病防治管理办法》规定造成严重后果的行为的行政处罚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《执业医师法》、《性病防治管理办法》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对医疗卫生机构在运送过程中未按照医疗废物进行管理和处置医疗废物的行为的行政处罚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对医疗机构违反本办法规定，超出诊疗科目登记范围开展性病诊疗活动的行为的行政处罚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对违反《中华人民共和国职业病防治法第七十二条、放射人员职业健康的行为的行政处罚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对台湾医师未按照注册的执业地点、执业类别、执业范围从事诊疗活动的行为的行政处罚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《台湾地区医师在大陆短期行医管理规定》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对普通中小学校使学生接触有毒有害物质或者从事不安全工种的作业的行为的行政处罚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对盲人医疗按摩所及其工作人员违反《医疗机构管理条例》的有关规定的行为的行政处罚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《盲人医疗按摩管理办法》（卫医政发〔2009〕37号）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对供学生使用的文具、娱乐用品、保健用品达不到国家有关卫生标准的行为的行政处罚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对港澳医师未按照注册的执业地点、执业类别、执业范围从事诊疗活动的行为的行政处罚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对职业健康检查机构出租、出借《职业健康检查机构资质批准证书》的行为的行政处罚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对医师和药师未未按规定开具、使用、调剂麻醉药品和精神药品处方的行为的行政处罚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对医疗卫生机构医疗废物处置和使用的医疗废物运送工具不符合要求的行为的行政处罚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对医疗机构聘用未经内地短期行医执业注册的港澳医师从事诊疗活动的行为的行政处罚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对医疗机构聘用未经大陆短期行医执业注册的台湾医师从事诊疗活动的行为的行政处罚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《台湾地区医师在大陆短期行医管理规定》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对外国医师来华短期行医未经注册领取《外国医生短期行医许可证》的行为的行政处罚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《外国医师来华短期行医暂行管理办法》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对临床用血的包装、储存、运输，不符合国家规定的卫生标准和要求的行为的行政处罚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对疾病预防控制机构未按规定调查上报疫情或报告突发公共卫生事件的行为的行政处罚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《突发公共卫生事件与传染病疫情监测信息报告管理办法》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对医疗卫生机构未及时对使用后的一次性医疗用品进行无害化处理的行为的行政处罚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对医疗机构未经批准擅自开展新生儿遗传代谢病筛查实验室检测的行为进行行政处罚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《新生儿疾病筛查管理办法》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对医疗机构未建立或者未落实医院感染管理的规章制度、工作规范的行为的行政处罚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《医院感染管理办法》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对消毒产品的命名、标签（含说明书）和宣传内容不符合有关规定的行为的行政处罚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对乡村医生变更执业的村医疗卫生机构，未办理变更执业注册手续的行为的行政处罚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《乡村医生从业管理条例》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对生产或者销售无卫生许可批准文件的涉及饮用水卫生安全的产品的行为的行政处罚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《生活饮用水卫生监督管理办法》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对疾病预防控制机构违反《结核病防治管理办法》第三十五条规定的行为的行政处罚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《结核病防治管理办法》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对疾病预防控制机构违反《结核病防治管理办法》第三十六条规定的行为的行政处罚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《结核病防治管理办法》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对放射工作单位未给从事放射工作的人员办理《放射工作人员证》的行为的行政处罚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对医疗机构逾期不校验《医疗机构执业许可证》仍从事诊疗活动的行为的行政处罚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对未经批准擅自从事产前诊断和使用辅助生育技术治疗不育症的行为进行行政处罚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《计划生育技术服务管理条例实施细则》、《计划生育技术服务管理条例》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对违反《病原微生物实验室生物安全管理条例》第六十三条规定的行为的行政处罚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对违反《病原微生物实验室生物安全管理条例》第六十二条规定的行为的行政处罚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对从事人体器官移植的医务人员参与尸体器官捐献人的死亡判定的行为的行政处罚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对承担单采血浆站技术评价、检测的技术机构出具虚假证明文件的行为的行政处罚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对不符合本法规定条件的医疗机构擅自从事精神障碍诊断、治疗的行为的行政处罚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《精神卫生法》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对医疗卫生机构购进消毒产品未建立并执行进货检查验收制度的行为的行政处罚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对医疗机构违反有关规定发布涉及性病诊断治疗内容医疗广告的行为的行政处罚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对学校未给参加劳动的学生提供必要的安全和卫生防护措施的行为的行政处罚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对违反有关规定采集或者使用人体组织、器官、细胞、骨髓等的行为的行政处罚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对违反《病原微生物实验室生物安全管理条例》第六十条规定的行为的行政处罚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对非医疗机构未经批准擅自设置人类精子库，采集、提供精子的行为的行政处罚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《人类精子库管理办法》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对医疗机构未经批准擅自设置人类精子库，采集、提供精子的行为的行政处罚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《医疗机构管理条例》、《医疗机构管理条例实施细则》、《人类精子库管理办法》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对执行职务的医疗卫生人员瞒报、缓报、谎报传染病疫情的行为的行政处罚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《突发公共卫生事件与传染病疫情监测信息报告管理办法》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对医疗卫生机构工作人员未按规定严格执行消毒隔离制度的行为的行政处罚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对医疗机构未取得《医疗机构执业许可证》发布医疗广告的行为的行政处罚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《医疗广告管理办法》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对医疗机构使用未经卫生行政部门指定的血站供应的血液的行为的行政处罚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《医疗机构临床用血管理办法》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对医疗机构使用不具备相应资质的人员从事放射诊疗工作的行为的行政处罚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对未取得《医疗机构执业许可证》擅自开展性病诊疗活动的行为的行政处罚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对盲人医疗按摩所聘用非盲人开展医疗、预防、保健活动的行为的行政处罚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《盲人医疗按摩管理办法》卫医政发〔2009〕37号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对有关单位及个人有《职业病防治法》第七十五条规定的违法行为的处罚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对医师未取得处方权或者被取消处方权后开具药品处方的行为的行政处罚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对医疗机构未执行有关的药品质量管理规范和规章制度的行为的行政处罚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《医疗机构药事管理规定》（卫医政发〔2011〕 11号）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对医疗机构违反建设项目卫生审查、竣工验收有关规定的行为的行政处罚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对医疗机构出卖、转让、出借《医疗机构执业许可证》的行为的行政处罚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对卫生质量、卫生服务、卫生管理制度不符合规定要求的行为的行政处罚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对明知血浆检测结果为阳性仍向血液制品生产单位供应的行为的行政处罚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《血液制品管理条例》、《单采血浆站管理办法》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对医疗卫生机构未定期开展消毒与灭菌效果检测工作的行为的行政处罚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对医疗卫生机构未按照规定报告职业病、疑似职业病的行为的行政处罚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《职业健康检查管理办法》、《中华人民共和国职业病防治法》、《职业病诊断与鉴定管理办法》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对医疗机构违反《医疗广告管理办法》发布医疗广告的行为的行政处罚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《医疗广告管理办法》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对无《医疗机构执业许可证》擅自开展职业健康检查的行为的行政处罚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对买卖人体器官或者从事与买卖人体器官有关活动的行为的行政处罚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对非医疗保健机构未经批准擅自开展产前诊断技术的行为的行政处罚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《产前诊断技术管理办法》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对学校未为学生提供充足的符合卫生标准的饮用水的行为的行政处罚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对未经批准擅自开办医疗机构行医或者非医师行医的行为的行政处罚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《中华人民共和国执业医师法》、《台湾地区医师在大陆短期行医管理规定》、《香港、澳门特别行政区医师在内地短期行医管理规定》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对台湾医师在大陆短期行医期间发生医疗事故争议的行为的行政处罚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《医疗事故处理条例》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对拒绝或者妨碍学校卫生监督员实施学校卫生监督的行为的行政处罚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对港澳医师在内地短期行医期间发生医疗事故争议的行为的行政处罚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《医疗事故处理条例》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对非法从事组织、采集、供应、倒卖原料血浆活动的行为的行政处罚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《血液制品管理条例》《单采血浆站管理办法》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对政府有关部门采取的预防、控制措施不予配合的行为的行政处罚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《血吸虫病防治条例》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对医疗机构因违反国家有关规定而发生放射事故的行为的行政处罚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《放射事故管理规定》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对医疗机构未经批准擅自开展人类辅助生殖技术的行为的行政处罚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《医疗机构管理条例实施细则》、《医疗机构管理条例》、《人类辅助生殖技术管理办法》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对医疗机构发生放射事故隐瞒不报或者弄虚作假的行为的行政处罚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《放射事故管理规定》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对未经卫生主管部门依法指定擅自从事接种工作的行为的行政处罚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对为申请参加实践技能考试的执业医师出具伪证的行为的行政处罚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《医师资格考试暂行办法》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对医师外出会诊违反《执业医师法》有关规定的行为的行政处罚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《医疗机构管理条例》、《医疗机构管理条例实施细则》、《医师外出会诊管理暂行规定》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对医疗机构违反本办法关于应急用血采血规定的行为的行政处罚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《医疗机构临床用血管理办法》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对医疗机构提供性病诊疗服务时违反诊疗规范的行为的行政处罚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对医疗机构放射性职业病危害控制不符合规定的行为的行政处罚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对学校体育场地和器材不符合卫生和安全要求的行为的行政处罚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对消毒服务机构消毒后的物品未达到卫生标准和要求的行政处罚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对未取得执业许可擅自从事计划生育技术服务的行为的行政处罚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《计划生育技术服务管理条例》《计划生育技术服务管理条例实施细则》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对使用非卫生技术人员从事医疗卫生技术工作的行为的行政处罚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《医疗机构管理条例》、《台湾地区医师在大陆短期行医管理规定》、《香港、澳门特别行政区医师在内地短期行医管理规定》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对健康体检超出备案的《健康体检项目目录》的行为的行政处罚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《健康体检管理暂行规定》（卫医政发[2009]77号）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履行艾滋病监测职责；未按照规定免费提供咨询和初筛检测的，对临时应急采集的血液未进行艾滋病检测，对临床用血艾滋病检测结果未进行核查，或者将艾滋病检测阳性的血液用于临床的，未遵守原则，或者未执行操作规程和消毒管理制度，发生艾滋病医院感染或者医源性感染的，未采取有效的卫生防护措施和医疗保健措施的，推诿、拒绝治疗艾滋病病毒感染者或者艾滋病病人的其他疾病，或者对艾滋病病毒感染者、艾滋病病人未提供咨询、诊断和治疗服务的，未对艾滋病病毒感染者或者艾滋病病人进行医学随访的，未按照规定对感染艾滋病病毒的孕产妇及其婴儿提供预防艾滋病母婴传播技术指导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对医疗机构未经批准擅自开展医疗气功活动的行为的行政处罚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《医疗机构管理条例实施细则》、《医疗气功管理暂行规定》、《医疗机构管理条例》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对无《医疗机构执业许可证》开展健康体检的行为的行政处罚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对未取得《医疗机构执业许可证》擅自执业的行为的行政处罚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对未经注册在村医疗卫生机构从事医疗活动的行为的行政处罚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《乡村医生从业管理条例》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对违反《单采血浆站管理办法》第六十二条的行为的行政处罚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对使用非医疗气功人员开展医疗气功活动的行为的行政处罚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对自报新生儿死亡但不能提供合法证明的行为的行政处罚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对医师以不正当手段取得医师执业证书的行为的行政处罚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对非法采集血液或者组织他人出卖血液的行为的行政处罚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对违反《血站管理办法》第六十一条的行为的行政处罚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对不符合规定影响饮用水水源、水质的行为的行政处罚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《生活饮用水卫生监督管理办法》、《中华人民共和国传染病防治法》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对医疗机构诊疗活动超出登记范围的行为的行政处罚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对医疗机构未经许可开展健康体检的行为的行政处罚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《健康体检管理暂行规定》卫医政发[2009]77号、《医疗机构管理条例》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对医疗机构未建立用血、献血制度的行为的行政处罚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《医疗机构临床用血管理办法》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对涂改、伪造、转让《供血浆证》的行为的行政处罚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《血液制品管理条例》、《单采血浆站管理办法》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对采集血浆、血浆使用不符合规定的行为的行政处罚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《血液制品管理条例》、《单采血浆站管理办法》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对非医疗机构开展医疗气功活动的行为的行政处罚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对非医师开展医疗气功活动的行为的行政处罚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对医疗机构发生医疗事故的行为的行政处罚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《医疗事故处理条例》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对非法采集、出售血液的行为的行政处罚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《中华人民共和国献血法》《血站管理办法》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对出具虚假证明文件的行为的行政处罚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接种单位违反《疫苗流通和预防接种管理条例》规定，未通过省级公共资源交易平台采购疫苗的，违反《疫苗流通和预防接种管理条例》规定，从疫苗生产企业、县级疾病预防控制机构以外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未依照规定对包装无法识别、超过有效期、脱离冷链、经检验不符合标准、来源不明的疫苗进行登记、报告，或者未依照规定记录销毁情况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未按照使用计划将第一类疫苗分发到下级疾病预防控制机构、接种单位、乡级医疗卫生机构的，未依照规定建立并保存疫苗购进、储存、分发、供应记录的，接收或者购进疫苗时未依照规定索要温度监测记录，接收、购进不符合要求的疫苗，或者未依照规定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护士在执业活动中发现患者病情危急未立即通知医师的，发现医嘱违反法律、法规、规章或者诊疗技术规范的规定，未依照本条例第十七条的规定提出或者报告的，泄露患者隐私的，发生自然灾害、公共卫生事件等严重威胁公众生命健康的突发事件，不服从安排参加医疗救护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行政给付</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预防接种异常反应补偿</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对医疗卫生机构实施国家免疫规划的情况进行监督检查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对职业卫生技术服务机构和专职技术人员的监督检查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《职业卫生技术服务机构监督管理暂行办法》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对用人单位职业病防治工作的监督检查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对消毒工作进行监督检查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after="240"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急救网络医院检查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《院前医疗急救管理办法》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的医院感染管理规章制度及落实情况；对医疗机构针对医院感染危险因素的各项工作和控制措施；对医疗机构的消毒灭菌与隔离、医疗废物管理及医务人员职业卫生防护工作状况；对医疗机构的医院感染病例和医院感染暴发监测工作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《医院感染管理办法》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学校卫生监督检查：对学校卫生日常卫生监督、学生使用的用品日常卫生监督、学校校舍预防性卫生监督</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生活饮用水（包括集中式供水、二次供水单位和涉及饮用水卫生安全的产品）卫生监督检查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《中华人民共和国传染病防治法》、《生活饮用水卫生监督管理办法》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对医疗卫生机构的放射工作人员职业健康管理进行监督检查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人间传染的病原微生物菌（毒）种保藏机构监督检查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《传染病防治卫生监督工作规范》、《人间传染的病原微生物菌（毒）种保藏机构管理办法》、《病原微生物实验室生物安全管理条例》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对本行政区域内的血吸虫病防治工作进行监督管理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《血吸虫病防治条例》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对开展放射诊疗活动的医疗机构进行监督检查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《中华人民共和国职业病防治法》、《放射性同位素与射线装置安全和防护条例》、《放射诊疗管理规定》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学校校舍新、改、扩建的竣工验收</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餐饮具集中消毒单位卫生监督检查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《中华人民共和国食品安全法》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医疗废物集中处置单位监督检查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对职业健康检查机构的监督检查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对职业病诊断机构进行监督检查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《职业病诊断与鉴定管理办法》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消毒产品生产企业监督检查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消毒产品经营单位监督检查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《消毒管理办法》、《卫生部关于卫生监督体系建设的若干规定》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第二十二条第二项第二目 设区的市、县级卫生监督机构负责辖区内日常卫生监督工作，主要职责为：（二）公共卫生监督　　2、对化妆品、消毒产品、生活饮用水、涉及饮用水卫生安全产品及其他健康相关产品的卫生及其生产经营活动进行卫生监督检查，查处违法行为；</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疾病预防控制机构监督检查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《医疗卫生机构医疗废物管理办法》、《疫苗流通和预防接种管理条例》、《传染病防治卫生监督工作规范》、《关于卫生监督体系建设的若干规定》、 《突发公共卫生事件与传染病疫情监测信息报告管理办法》、《性病防治管理办法》、 《消毒管理办法》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公共场所卫生监督抽检</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《公共场所卫生管理条例》、《公共场所卫生管理条例实施细则》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采供血机构监督检查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《单采血浆站管理办法》、《医疗机构管理条例》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预防接种监督检查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《传染病防治卫生监督工作规范》、《疫苗流通和预防接种管理条例》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实验室监督检查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行政奖励</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对开展爱国卫生工作成绩显著的单位和个人的奖励</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《全国爱卫会关于组织开展创建卫生先进单位和卫生村活动的通知》《广东省爱国卫生工作条例》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行政奖励</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计划生育荣誉证书审核、发放</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《关于颁发计划生育工作者荣誉证书的通知》（国计生人字〔1989〕63号）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行政奖励</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“两非”案件举报奖励</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《禁止非医学需要的胎儿性别鉴定和选择性别人工终止妊娠的规定》国家卫生和计划生育委员会令第9号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行政奖励</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护士表彰</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子项包括护士表彰（优秀护理集体）、护士表彰（优秀护士）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发生放射性职业病危害事故或者有证据证明危害状态可能导致职业病危害事故发生时（一）责令暂停导致职业病危害事故的作业；（二）封存造成职业病危害事故或者可能导致职业病危害事故发生的材料和设备；（三）组织控制职业病危害事故现场。</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w:t>
            </w:r>
          </w:p>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发生职业病危害事故或者有证据证明危害状态可能导致职业病危害事故发生时，卫生行政部门可以采取封存造成职业病危害事故或者可能导致职业病危害事故发生的材料和设备的临时控制措施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w:t>
            </w:r>
          </w:p>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封闭公共饮用水源、封存食品以及相关物品或者暂停销售的临时控制措施，并予以检验或者进行消毒的采取临时控制措施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对病人、相关人员、染疫或者疑似染疫的动物采取封闭、隔离治疗、医学检查、现场消毒，隔离、扑杀等措施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w:t>
            </w:r>
          </w:p>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对被传染病病原体污染的公共饮用水源、食品以及相关物品采取封闭、封存、暂停销售，检验、消毒等措施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使用单位的麻醉药品和精神药品有证据证明可能流入非法渠道的采取查封、扣押的行政强制措施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对涉嫌违反《医疗废物管理条例》规定的场所、设备、运输工具和物品进行查封或者暂扣</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对传统医学师承和确有专长人员申请参加医师资格考试的资格认定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《中华人民共和国执业医师法》、《传统医学师承和确有专长人员医师资格考核考试办法》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子项包括对传统医学师承和确有专长人员申请参加医师资格考试的资格认定、传统医学师承出师证书核发、传统医学医术确有专长证书核发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放射工作人员证</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对传染病病人尸体或者疑似传染病病人的尸体进行解剖查验的批准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《中华人民共和国传染病防治法实施办法》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子项包括对传染病病人尸体或者疑似传染病病人的尸体进行解剖查验的批准（新增）、对传染病病人尸体或者疑似传染病病人的尸体进行解剖查验的批准（注销）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病媒生物预防控制有偿服务机构公示</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《广东省病媒生物预防控制管理规定》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戒毒药物维持治疗机构批准工作</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《戒毒药物维持治疗工作管理办法》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艾滋病检测筛查实验室的验收</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《全国艾滋病检测工作管理办法》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计划生育手术并发症鉴定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《计划生育技术服务管理条例》、《计划生育手术并发症鉴定管理办法（试行）》</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母婴保健医学技术鉴定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《广东省母婴保健管理条例》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职业病诊断鉴定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《职业病诊断与鉴定管理办法》、</w:t>
            </w:r>
            <w:bookmarkStart w:id="0" w:name="_GoBack"/>
            <w:bookmarkEnd w:id="0"/>
            <w:r>
              <w:rPr>
                <w:rFonts w:hint="eastAsia" w:ascii="仿宋" w:hAnsi="仿宋" w:eastAsia="仿宋" w:cs="宋体"/>
                <w:color w:val="000000"/>
                <w:kern w:val="0"/>
                <w:sz w:val="18"/>
                <w:szCs w:val="18"/>
                <w:lang w:eastAsia="zh-CN"/>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病残儿医学鉴定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《广东省人口与计划生育条例》、《计划生育技术服务管理条例》、《病残儿医学鉴定管理办法》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中医医院评审</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《医疗机构管理条例》、《中医医院评审暂行办法》（医政函〔2012〕96号）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医疗机构评审</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《医疗机构管理条例》、《妇幼保健机构管理机构管理办法》、《中医医院评审暂行办法》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海外留学回国服务人员执业医师资格认定（含中医医师）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《中华人民共和国执业医师法》、《卫生部关于妥善解决医师资格认定工作有关问题的通知》（卫人发〔2003〕316号）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医疗广告审查证明（不含中医医疗广告）核发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《广告管理条例》、《中华人民共和国广告法》、《广东省人民政府关于将一批省级行政职权事项调整由各地级以上市实施的决定》、《医疗广告管理办法》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麻醉药品、第一类精神药品购用印鉴卡审批</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《麻醉药品、第一类精神药品购用印鉴卡管理规定》《麻醉药品和精神药品管理条例》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麻醉药品、第一类精神药品购用印鉴卡审批（核发）、麻醉药品、第一类精神药品购用印鉴卡审批（换卡）、麻醉药品、第一类精神药品购用印鉴卡审批（变更）、麻醉药品、第一类精神药品购用印鉴卡审批（补办）、麻醉药品、第一类精神药品购用印鉴卡审批（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中医医疗机构的设置审批及执业许可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国务院关于取消和下放50项行政审批项目等事项的决定》、《中外合资、合作医疗机构管理暂行办法》、《广东省卫生计生委关于进一步规范医疗机构审批管理的通知》、《卫生部关于医疗机构审批管理的若干规定》、《关于进一步改革完善医疗机构、医师审批工作的通知》、《广东省人民政府关于将一批省级行政职权事项调整由各地级以上市实施的决定》《关于进一步鼓励和引导社会资本举办医疗机构意见的通知》、《医疗机构管理条例实施细则》、 《医疗机构管理条例》、 《医疗机构校验管理办法（试行）》</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子项包括中医医疗机构设置审批、中医医疗机构校验、中医医疗机构注销登记、中医医疗机构变更登记、中医医疗机构执业登记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医疗广告（中医类）审查证明核发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《中华人民共和国广告法》、《广东省人民政府关于将一批省级行政职权事项调整由各地级以上市实施的决定》、《医疗广告管理办法》、《广告管理条例》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涉及饮用水卫生安全产品卫生许可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人民政府关于将一批省级行政职权事项调整由各地级以上市实施的决定》、《生活饮用水卫生监督管理办法》、《国务院关于取消和下放50项行政审批项目等事项的决定》、《广东省人民政府第四轮行政审批事项调整目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涉及饮用水卫生安全产品卫生许可（新证）、涉及饮用水卫生安全产品卫生许可（延续）、涉及饮用水卫生安全产品卫生许可（变更）、涉及饮用水卫生安全产品卫生许可（补办）、涉及饮用水卫生安全产品卫生许可（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母婴保健技术服务执业许可证核发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《广东省母婴保健管理条例》、《中华人民共和国母婴保健法》、《中华人民共和国母婴保健法实施办法》、《广东省人民政府关于将一批省级行政职权事项调整由各地级以上市实施的决定》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tabs>
                <w:tab w:val="left" w:pos="284"/>
                <w:tab w:val="center" w:pos="469"/>
              </w:tabs>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遗传病诊断、产前诊断等方面的母婴保健技术服务执业许可证核发（新证）、遗传病诊断、产前诊断等方面的母婴保健技术服务执业许可证核发（变更）、遗传病诊断、产前诊断等方面的母婴保健技术服务执业许可证核发（校验）、遗传病诊断、遗传病诊断、产前诊断等方面的母婴保健技术服务执业许可证核发（遗失补办）、遗传病诊断、产前诊断等方面的母婴保健技术服务执业许可证核发（注销）、婚前医学检查母婴保健技术服务执业许可证核发（新证）、婚前医学检查母婴保健技术服务执业许可证核发（变更）、婚前医学检查母婴保健技术服务执业许可证核发（校验）、婚前医学检查母婴保健技术服务执业许可证核发（补办）、婚前医学检查母婴保健技术服务执业许可证核发（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中医医疗机构执业医师注册发证</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《医师执业注册管理办法》、《广东省人民政府关于将一批省级行政职权事项调整由各地级以上市实施的决定》、《中华人民共和国执业医师法》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子项包括中医医疗机构医师注销注册、中医医疗机构医师执业注册、中医医疗机构医师变更注册、中医医疗机构医师备案、中医医疗机构医师《医师执业证书》遗失补办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母婴保健技术考核合格证书核发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《中华人民共和国母婴保健法》、《中华人民共和国母婴保健法实施办法》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婚前医学检查母婴保健技术考核合格证书核发（新申请）、婚前医学检查母婴保健技术考核合格证书核发（补办）、婚前医学检查母婴保健技术考核合格证书核发（注销）、遗传病诊断、产前诊断的母婴保健技术考核合格证书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港澳台医师来内地短期行医核准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《台湾地区医师在大陆短期行医管理规定》、《香港、澳门特别行政区医师在内地短期行医管理规定》、《广东省人民政府2012年行政审批制度改革事项目录（第一批）》（2012年粤府令第169号）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放射卫生技术服务机构资质认定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国家卫生和计划生育委员会公告2015年第3号》、《放射卫生技术服务机构管理办法》、《国务院关于取消和调整一批行政审批项目等事项的决定》、中华人民共和国职业病防治法、《广东省人民政府关于将一批省级行政职权事项继续委托各地级以上市实施的决定》（粤府〔2019〕16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放射卫生技术服务机构资质认定（新证）、放射卫生技术服务机构资质认定（延续）、放射卫生技术服务机构资质认定（变更）、放射卫生技术服务机构资质认定（补办）、放射卫生技术服务机构资质认定（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医疗机构设置审批和执业许可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《关于进一步鼓励和引导社会资本举办医疗机构意见的通知》、《医疗机构校验管理办法（试行）》、 《卫生部关于医疗机构审批管理的若干规定》、 《医疗机构管理条例》、《中外合资、合作医疗机构管理暂行办法》、《广东省卫生计生委关于进一步规范医疗机构审批管理的通知》、 《广东省人民政府关于将一批省级行政职权事项调整由各地级以上市实施的决定》、 《医疗机构管理条例实施细则》、《国务院关于取消和下放50项行政审批项目等事项的决定》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子项包括医疗机构设置审批、医疗机构执业许可（执业登记）、医疗机构执业许可（变更登记）、医疗机构执业许可（校验）、医疗机构执业许可（注销）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消毒产品生产企业卫生许可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《广东省人民政府关于将一批省级行政职权事项调整由各地级以上市实施的决定》、《消毒管理办法》、《广东省人民政府第四轮行政审批事项调整目录》、《中华人民共和国传染病防治法》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消毒产品生产企业（一次性使用医疗用品的生产企业除外）卫生许可（新证）、消毒产品生产企业（一次性使用医疗用品的生产企业除外）卫生许可（延续）、消毒产品生产企业（一次性使用医疗用品的生产企业除外）卫生许可（变更）、消毒产品生产企业（一次性使用医疗用品的生产企业除外）卫生许可（补办）、消毒产品生产企业（一次性使用医疗用品的生产企业除外）卫生许可（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外籍医师来华短期行医核准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《广东省人民政府2012年行政审批制度改革事项目录（第一批）》、《国务院对确需保留的行政审批项目设定行政许可的决定》《外国医师来华短期行医暂行管理办法》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医师执业证书核发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《医师执业注册管理办法》、《中华人民共和国执业医师法》（1998年）、 《广东省人民政府关于将一批省级行政职权事项调整由各地级以上市实施的决定》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子项包括医师执业证书（注册）、医师执业证书（变更）、医师执业证书（注销）、医师执业证书核发（补办）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戒毒医疗服务许可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《中华人民共和国禁毒法》、《戒毒医疗服务管理暂行办法》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护士执业证书核发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《护士执业注册管理办法》、《 护士条例》、《国务院关于取消和下放一批行政许可事项的决定》、《护士执业注册管理办法》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子项包括护士执业证书核发（首次注册） 、护士执业证书核发（延续注册）、护士执业证书核发（变更注册）、护士执业证书核发（注销注册）、护士执业证书核发（重新注册）、护士执业证书遗失补办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卫生部关于印发放射诊疗许可发放管理程序的通知》、《广东省人民政府关于将一批省级行政职权事项继续委托各地级以上市实施的决定》（粤府〔2019〕16号）、中华人民共和国职业病防治法、《放射性同位素与射线装置安全和防护条例》、《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子项包括放射诊疗许可（新证）、放射诊疗许可（校验）、放射诊疗许可（变更）、放射诊疗许可（补办）、放射诊疗许可（注销）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对开设病媒生物预防控制或者增加此类经营项目、以及开展异地病媒生物预防控制的有偿服务机构进行备案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《广东省病媒生物预防控制管理规定》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新建、扩建、改建放射诊疗建设项目卫生审查(预评价审核）</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《中华人民共和国职业病防治法》、《放射诊疗管理规定》、卫生部《关于印发〈放射卫生技术服务机构管理办法〉等文件的通知》</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新建、扩建、改建放射诊疗建设项目竣工验收</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《放射诊疗管理规定》、《中华人民共和国职业病防治法》、卫生部《关于印发〈放射卫生技术服务机构管理办法〉等文件的通知》</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医疗卫生机构伦理委员会备案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《涉及人的生物医学研究伦理审查办法》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食品安全企业标准备案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食品安全法》、《广东省人民政府关于将一批省级行政职权事项继续委托各地级以上市实施的决定》、《广东省卫生健康委关于食品安全企业标准的备案办法》、《国家卫生计生委办公厅关于进一步加强食品安全标准管理工作的通知》、《广东省卫生计生委办公室关于做好食品安全企业标准备案委托实施工作的通知》、《中华人民共和国食品安全法实施条例》、《广东省卫生计生委 广东省中医药局关于将一批省级行政职权事项调整由各地级以上市实施的公告》、《广东省人民政府关于将一批省级行政职权事项调整由各地级以上市实施的决定》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医疗机构停业批准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消毒产品备案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《国家卫生计生委关于印发消毒产品卫生安全评价规定的通知》</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政务服务</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生育指导和宣传服务</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《中华人民共和国政府信息公开条例》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政务服务</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一、二级病原微生物实验室和实验活动备案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《病原微生物实验室生物安全管理条例》、《广东省卫生厅关于一、二级病原微生物实验室生物安全的管理规定》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政务服务</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医师、助理医师资格考试的报名资格审核</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《广东省卫生健康委关于印发（广东省医师资格、护士执业资格和卫生专业技术资格考试收费标准）的通知》</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政务服务</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作业场所职业危害项目申报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《职业病危害项目申报办法》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bl>
    <w:p>
      <w:pPr>
        <w:snapToGrid w:val="0"/>
        <w:spacing w:line="220" w:lineRule="exact"/>
        <w:jc w:val="left"/>
        <w:rPr>
          <w:rFonts w:eastAsia="方正小标宋_GBK"/>
          <w:color w:val="000000"/>
          <w:sz w:val="18"/>
          <w:szCs w:val="18"/>
        </w:rPr>
      </w:pPr>
    </w:p>
    <w:sectPr>
      <w:pgSz w:w="16839" w:h="11907" w:orient="landscape"/>
      <w:pgMar w:top="964" w:right="720" w:bottom="964" w:left="720" w:header="851" w:footer="992" w:gutter="0"/>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hideSpellingErrors/>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iOWZiZmI0OWE5OTYxZmZkOGJlNTE0Y2E3ZDRlNmUifQ=="/>
  </w:docVars>
  <w:rsids>
    <w:rsidRoot w:val="001029DD"/>
    <w:rsid w:val="00001AA6"/>
    <w:rsid w:val="00002398"/>
    <w:rsid w:val="000131EA"/>
    <w:rsid w:val="00025B05"/>
    <w:rsid w:val="00027917"/>
    <w:rsid w:val="00030443"/>
    <w:rsid w:val="00036066"/>
    <w:rsid w:val="0004081C"/>
    <w:rsid w:val="00041B02"/>
    <w:rsid w:val="00042A96"/>
    <w:rsid w:val="00047289"/>
    <w:rsid w:val="000522BF"/>
    <w:rsid w:val="000527FB"/>
    <w:rsid w:val="000547CB"/>
    <w:rsid w:val="000616E2"/>
    <w:rsid w:val="00064F54"/>
    <w:rsid w:val="000724DD"/>
    <w:rsid w:val="0007475F"/>
    <w:rsid w:val="00080D20"/>
    <w:rsid w:val="00092E5F"/>
    <w:rsid w:val="00097F1F"/>
    <w:rsid w:val="000B6711"/>
    <w:rsid w:val="000B792B"/>
    <w:rsid w:val="000B7FD9"/>
    <w:rsid w:val="000C1C87"/>
    <w:rsid w:val="000C3F18"/>
    <w:rsid w:val="000C7AAD"/>
    <w:rsid w:val="000D6C93"/>
    <w:rsid w:val="000E3FD0"/>
    <w:rsid w:val="000E4E57"/>
    <w:rsid w:val="000E56DD"/>
    <w:rsid w:val="000F205B"/>
    <w:rsid w:val="000F557E"/>
    <w:rsid w:val="001029DD"/>
    <w:rsid w:val="00112B01"/>
    <w:rsid w:val="00120D03"/>
    <w:rsid w:val="00124DC3"/>
    <w:rsid w:val="0013221D"/>
    <w:rsid w:val="001445BD"/>
    <w:rsid w:val="001474DA"/>
    <w:rsid w:val="00152868"/>
    <w:rsid w:val="00152A97"/>
    <w:rsid w:val="001573A1"/>
    <w:rsid w:val="00160463"/>
    <w:rsid w:val="00176DB8"/>
    <w:rsid w:val="001837DB"/>
    <w:rsid w:val="00195523"/>
    <w:rsid w:val="001B16B1"/>
    <w:rsid w:val="001C0387"/>
    <w:rsid w:val="001D0FBD"/>
    <w:rsid w:val="001D1519"/>
    <w:rsid w:val="001D3F82"/>
    <w:rsid w:val="001E1B94"/>
    <w:rsid w:val="001E5D63"/>
    <w:rsid w:val="001E6232"/>
    <w:rsid w:val="001E7188"/>
    <w:rsid w:val="001F10F5"/>
    <w:rsid w:val="001F52CB"/>
    <w:rsid w:val="00200493"/>
    <w:rsid w:val="00204B64"/>
    <w:rsid w:val="0020736A"/>
    <w:rsid w:val="00214D02"/>
    <w:rsid w:val="002342DA"/>
    <w:rsid w:val="00243BC5"/>
    <w:rsid w:val="002442FD"/>
    <w:rsid w:val="00246CAB"/>
    <w:rsid w:val="002525B1"/>
    <w:rsid w:val="002566C5"/>
    <w:rsid w:val="00256955"/>
    <w:rsid w:val="00276623"/>
    <w:rsid w:val="00277CC5"/>
    <w:rsid w:val="00287FE1"/>
    <w:rsid w:val="002C49FE"/>
    <w:rsid w:val="002E1F43"/>
    <w:rsid w:val="002E7DD0"/>
    <w:rsid w:val="002F3681"/>
    <w:rsid w:val="002F51B8"/>
    <w:rsid w:val="002F625D"/>
    <w:rsid w:val="00305862"/>
    <w:rsid w:val="00310382"/>
    <w:rsid w:val="0031796B"/>
    <w:rsid w:val="00331EFB"/>
    <w:rsid w:val="003342E3"/>
    <w:rsid w:val="00342B43"/>
    <w:rsid w:val="00363644"/>
    <w:rsid w:val="003638F6"/>
    <w:rsid w:val="0037416A"/>
    <w:rsid w:val="00390C44"/>
    <w:rsid w:val="003964C6"/>
    <w:rsid w:val="003B2769"/>
    <w:rsid w:val="003B6A69"/>
    <w:rsid w:val="003C479A"/>
    <w:rsid w:val="003D37FA"/>
    <w:rsid w:val="003E348E"/>
    <w:rsid w:val="003E38C9"/>
    <w:rsid w:val="003E49C9"/>
    <w:rsid w:val="004004C6"/>
    <w:rsid w:val="00401091"/>
    <w:rsid w:val="004018BA"/>
    <w:rsid w:val="00406D83"/>
    <w:rsid w:val="004102D8"/>
    <w:rsid w:val="00413659"/>
    <w:rsid w:val="00415EDD"/>
    <w:rsid w:val="004201A9"/>
    <w:rsid w:val="00420303"/>
    <w:rsid w:val="00426A41"/>
    <w:rsid w:val="00430319"/>
    <w:rsid w:val="0043102D"/>
    <w:rsid w:val="004375AD"/>
    <w:rsid w:val="0044691D"/>
    <w:rsid w:val="00461954"/>
    <w:rsid w:val="0046367F"/>
    <w:rsid w:val="0047464B"/>
    <w:rsid w:val="0048443B"/>
    <w:rsid w:val="004861CD"/>
    <w:rsid w:val="00496188"/>
    <w:rsid w:val="004967CC"/>
    <w:rsid w:val="004B2316"/>
    <w:rsid w:val="004C4E43"/>
    <w:rsid w:val="004C5EB3"/>
    <w:rsid w:val="004E79B0"/>
    <w:rsid w:val="004F0D35"/>
    <w:rsid w:val="004F603A"/>
    <w:rsid w:val="004F74DC"/>
    <w:rsid w:val="00503F9B"/>
    <w:rsid w:val="005139B9"/>
    <w:rsid w:val="00522FFB"/>
    <w:rsid w:val="00524532"/>
    <w:rsid w:val="005301B1"/>
    <w:rsid w:val="00531221"/>
    <w:rsid w:val="00533B16"/>
    <w:rsid w:val="0053740D"/>
    <w:rsid w:val="00541A55"/>
    <w:rsid w:val="0054461D"/>
    <w:rsid w:val="00552C1A"/>
    <w:rsid w:val="00553E43"/>
    <w:rsid w:val="00562A6A"/>
    <w:rsid w:val="00562D5E"/>
    <w:rsid w:val="00570124"/>
    <w:rsid w:val="005753B9"/>
    <w:rsid w:val="00577A89"/>
    <w:rsid w:val="00586E25"/>
    <w:rsid w:val="005974BA"/>
    <w:rsid w:val="00597791"/>
    <w:rsid w:val="005B1C6C"/>
    <w:rsid w:val="005B4105"/>
    <w:rsid w:val="005C0E93"/>
    <w:rsid w:val="005C3F7A"/>
    <w:rsid w:val="005D1E73"/>
    <w:rsid w:val="005D43A6"/>
    <w:rsid w:val="005D5B5A"/>
    <w:rsid w:val="005D5EB2"/>
    <w:rsid w:val="0061353E"/>
    <w:rsid w:val="006145F1"/>
    <w:rsid w:val="00615120"/>
    <w:rsid w:val="00620B68"/>
    <w:rsid w:val="006218C8"/>
    <w:rsid w:val="00634B1F"/>
    <w:rsid w:val="00636670"/>
    <w:rsid w:val="00653413"/>
    <w:rsid w:val="006625CB"/>
    <w:rsid w:val="00667432"/>
    <w:rsid w:val="00676A5F"/>
    <w:rsid w:val="0068335A"/>
    <w:rsid w:val="0068428D"/>
    <w:rsid w:val="006875D7"/>
    <w:rsid w:val="0069200A"/>
    <w:rsid w:val="006A2EFF"/>
    <w:rsid w:val="006A7458"/>
    <w:rsid w:val="006A780E"/>
    <w:rsid w:val="006B2987"/>
    <w:rsid w:val="006C07D2"/>
    <w:rsid w:val="006C1E6E"/>
    <w:rsid w:val="006C502D"/>
    <w:rsid w:val="006D4777"/>
    <w:rsid w:val="006D54FD"/>
    <w:rsid w:val="006D7D70"/>
    <w:rsid w:val="006E0EA1"/>
    <w:rsid w:val="006E3C70"/>
    <w:rsid w:val="00702387"/>
    <w:rsid w:val="00707146"/>
    <w:rsid w:val="00713549"/>
    <w:rsid w:val="00714EF5"/>
    <w:rsid w:val="00722659"/>
    <w:rsid w:val="00730AEC"/>
    <w:rsid w:val="00733F70"/>
    <w:rsid w:val="00734BE1"/>
    <w:rsid w:val="00741DFE"/>
    <w:rsid w:val="007523FE"/>
    <w:rsid w:val="00765140"/>
    <w:rsid w:val="00765F12"/>
    <w:rsid w:val="0077159B"/>
    <w:rsid w:val="00797EE6"/>
    <w:rsid w:val="007A0F1C"/>
    <w:rsid w:val="007A2BAA"/>
    <w:rsid w:val="007A2FC4"/>
    <w:rsid w:val="007D03C5"/>
    <w:rsid w:val="007D5054"/>
    <w:rsid w:val="007E207F"/>
    <w:rsid w:val="007E3A76"/>
    <w:rsid w:val="007E4B0A"/>
    <w:rsid w:val="007E56BE"/>
    <w:rsid w:val="007F2CC2"/>
    <w:rsid w:val="008021D9"/>
    <w:rsid w:val="00802687"/>
    <w:rsid w:val="008058AE"/>
    <w:rsid w:val="0081670C"/>
    <w:rsid w:val="0081744F"/>
    <w:rsid w:val="00821FF6"/>
    <w:rsid w:val="00824913"/>
    <w:rsid w:val="00832ADC"/>
    <w:rsid w:val="00843F30"/>
    <w:rsid w:val="008623E4"/>
    <w:rsid w:val="00864126"/>
    <w:rsid w:val="00873F00"/>
    <w:rsid w:val="00875520"/>
    <w:rsid w:val="00887F7E"/>
    <w:rsid w:val="008960A3"/>
    <w:rsid w:val="008964C9"/>
    <w:rsid w:val="008A2B19"/>
    <w:rsid w:val="008B02E8"/>
    <w:rsid w:val="008C2854"/>
    <w:rsid w:val="008E1271"/>
    <w:rsid w:val="008E4207"/>
    <w:rsid w:val="008E509B"/>
    <w:rsid w:val="008E7298"/>
    <w:rsid w:val="008F2292"/>
    <w:rsid w:val="008F64A2"/>
    <w:rsid w:val="00900121"/>
    <w:rsid w:val="00901A4A"/>
    <w:rsid w:val="00904A4F"/>
    <w:rsid w:val="00911E74"/>
    <w:rsid w:val="00912CB9"/>
    <w:rsid w:val="00913D74"/>
    <w:rsid w:val="0093084E"/>
    <w:rsid w:val="009319CD"/>
    <w:rsid w:val="00935C43"/>
    <w:rsid w:val="00940995"/>
    <w:rsid w:val="00941AEC"/>
    <w:rsid w:val="00943840"/>
    <w:rsid w:val="00975406"/>
    <w:rsid w:val="00976281"/>
    <w:rsid w:val="00981EE8"/>
    <w:rsid w:val="0098374F"/>
    <w:rsid w:val="009851B4"/>
    <w:rsid w:val="00994FF0"/>
    <w:rsid w:val="009966F6"/>
    <w:rsid w:val="009978A3"/>
    <w:rsid w:val="009A0931"/>
    <w:rsid w:val="009A2A84"/>
    <w:rsid w:val="009B0AF5"/>
    <w:rsid w:val="009B113C"/>
    <w:rsid w:val="009B126D"/>
    <w:rsid w:val="009B3A63"/>
    <w:rsid w:val="009C3B7E"/>
    <w:rsid w:val="009E3E2E"/>
    <w:rsid w:val="009F4D41"/>
    <w:rsid w:val="00A01B8E"/>
    <w:rsid w:val="00A07342"/>
    <w:rsid w:val="00A10922"/>
    <w:rsid w:val="00A12289"/>
    <w:rsid w:val="00A12443"/>
    <w:rsid w:val="00A17D66"/>
    <w:rsid w:val="00A34C94"/>
    <w:rsid w:val="00A46DAD"/>
    <w:rsid w:val="00A515D8"/>
    <w:rsid w:val="00A63F2F"/>
    <w:rsid w:val="00A64ABC"/>
    <w:rsid w:val="00A72F3E"/>
    <w:rsid w:val="00A823B6"/>
    <w:rsid w:val="00A85301"/>
    <w:rsid w:val="00AA078E"/>
    <w:rsid w:val="00AA3270"/>
    <w:rsid w:val="00AB6949"/>
    <w:rsid w:val="00AB701E"/>
    <w:rsid w:val="00AC04B0"/>
    <w:rsid w:val="00AC0E0D"/>
    <w:rsid w:val="00AC30F4"/>
    <w:rsid w:val="00AC557E"/>
    <w:rsid w:val="00AD2954"/>
    <w:rsid w:val="00AF0044"/>
    <w:rsid w:val="00AF3285"/>
    <w:rsid w:val="00B0463E"/>
    <w:rsid w:val="00B07002"/>
    <w:rsid w:val="00B07F19"/>
    <w:rsid w:val="00B33B7B"/>
    <w:rsid w:val="00B346F4"/>
    <w:rsid w:val="00B371DE"/>
    <w:rsid w:val="00B40AE1"/>
    <w:rsid w:val="00B44B40"/>
    <w:rsid w:val="00B5222B"/>
    <w:rsid w:val="00B64BD7"/>
    <w:rsid w:val="00B75C3A"/>
    <w:rsid w:val="00B9544F"/>
    <w:rsid w:val="00BA1EDF"/>
    <w:rsid w:val="00BA522B"/>
    <w:rsid w:val="00BB033A"/>
    <w:rsid w:val="00BB400B"/>
    <w:rsid w:val="00BD0D80"/>
    <w:rsid w:val="00BD52E6"/>
    <w:rsid w:val="00BF7551"/>
    <w:rsid w:val="00C0337F"/>
    <w:rsid w:val="00C15EF3"/>
    <w:rsid w:val="00C16A14"/>
    <w:rsid w:val="00C267CA"/>
    <w:rsid w:val="00C34D0D"/>
    <w:rsid w:val="00C365B4"/>
    <w:rsid w:val="00C41ED1"/>
    <w:rsid w:val="00C42D9C"/>
    <w:rsid w:val="00C4399C"/>
    <w:rsid w:val="00C4562C"/>
    <w:rsid w:val="00C46337"/>
    <w:rsid w:val="00C51CEA"/>
    <w:rsid w:val="00C532D4"/>
    <w:rsid w:val="00C72DC7"/>
    <w:rsid w:val="00C845B5"/>
    <w:rsid w:val="00C8589D"/>
    <w:rsid w:val="00C90DC3"/>
    <w:rsid w:val="00C91416"/>
    <w:rsid w:val="00C937E0"/>
    <w:rsid w:val="00CA37BB"/>
    <w:rsid w:val="00CA5464"/>
    <w:rsid w:val="00CA65C9"/>
    <w:rsid w:val="00CB0E47"/>
    <w:rsid w:val="00CB1B70"/>
    <w:rsid w:val="00CB21AB"/>
    <w:rsid w:val="00CB7702"/>
    <w:rsid w:val="00CC2E55"/>
    <w:rsid w:val="00CC402F"/>
    <w:rsid w:val="00CC44DA"/>
    <w:rsid w:val="00CC6A8C"/>
    <w:rsid w:val="00CD0557"/>
    <w:rsid w:val="00CE1894"/>
    <w:rsid w:val="00CE58FF"/>
    <w:rsid w:val="00D0148D"/>
    <w:rsid w:val="00D02E1E"/>
    <w:rsid w:val="00D05E73"/>
    <w:rsid w:val="00D07E2B"/>
    <w:rsid w:val="00D14DD6"/>
    <w:rsid w:val="00D20161"/>
    <w:rsid w:val="00D26563"/>
    <w:rsid w:val="00D34012"/>
    <w:rsid w:val="00D45952"/>
    <w:rsid w:val="00D45F50"/>
    <w:rsid w:val="00D512A7"/>
    <w:rsid w:val="00D56CF0"/>
    <w:rsid w:val="00D714F3"/>
    <w:rsid w:val="00D733D9"/>
    <w:rsid w:val="00D754F6"/>
    <w:rsid w:val="00D75726"/>
    <w:rsid w:val="00D85A9C"/>
    <w:rsid w:val="00D91329"/>
    <w:rsid w:val="00DA60EA"/>
    <w:rsid w:val="00DB19C1"/>
    <w:rsid w:val="00DC6DFE"/>
    <w:rsid w:val="00DD78C7"/>
    <w:rsid w:val="00DD7AE7"/>
    <w:rsid w:val="00DE3082"/>
    <w:rsid w:val="00DE7D13"/>
    <w:rsid w:val="00E12E04"/>
    <w:rsid w:val="00E12E41"/>
    <w:rsid w:val="00E13B82"/>
    <w:rsid w:val="00E164CF"/>
    <w:rsid w:val="00E23CD7"/>
    <w:rsid w:val="00E254B5"/>
    <w:rsid w:val="00E41EB9"/>
    <w:rsid w:val="00E4310B"/>
    <w:rsid w:val="00E5621C"/>
    <w:rsid w:val="00E56CDE"/>
    <w:rsid w:val="00E665D6"/>
    <w:rsid w:val="00E935B5"/>
    <w:rsid w:val="00E95058"/>
    <w:rsid w:val="00EA3F82"/>
    <w:rsid w:val="00EB072B"/>
    <w:rsid w:val="00EC4B72"/>
    <w:rsid w:val="00ED2E96"/>
    <w:rsid w:val="00ED3D42"/>
    <w:rsid w:val="00ED535F"/>
    <w:rsid w:val="00EE03EF"/>
    <w:rsid w:val="00EE436E"/>
    <w:rsid w:val="00EE4E05"/>
    <w:rsid w:val="00EE6A12"/>
    <w:rsid w:val="00EE6D26"/>
    <w:rsid w:val="00EE6FE0"/>
    <w:rsid w:val="00EF495A"/>
    <w:rsid w:val="00EF5B8D"/>
    <w:rsid w:val="00F014F8"/>
    <w:rsid w:val="00F21110"/>
    <w:rsid w:val="00F23AA0"/>
    <w:rsid w:val="00F363F0"/>
    <w:rsid w:val="00F37D9C"/>
    <w:rsid w:val="00F42201"/>
    <w:rsid w:val="00F45A90"/>
    <w:rsid w:val="00F475CE"/>
    <w:rsid w:val="00F55F90"/>
    <w:rsid w:val="00F60769"/>
    <w:rsid w:val="00F734F1"/>
    <w:rsid w:val="00F7493A"/>
    <w:rsid w:val="00F8700D"/>
    <w:rsid w:val="00F87137"/>
    <w:rsid w:val="00F908EA"/>
    <w:rsid w:val="00FA05C7"/>
    <w:rsid w:val="00FA1E59"/>
    <w:rsid w:val="00FD393D"/>
    <w:rsid w:val="00FD4B30"/>
    <w:rsid w:val="00FF4718"/>
    <w:rsid w:val="00FF7F6B"/>
    <w:rsid w:val="01551E15"/>
    <w:rsid w:val="15252633"/>
    <w:rsid w:val="28213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31"/>
    <w:semiHidden/>
    <w:unhideWhenUsed/>
    <w:qFormat/>
    <w:uiPriority w:val="99"/>
    <w:rPr>
      <w:sz w:val="18"/>
      <w:szCs w:val="18"/>
    </w:rPr>
  </w:style>
  <w:style w:type="paragraph" w:styleId="3">
    <w:name w:val="footer"/>
    <w:basedOn w:val="1"/>
    <w:link w:val="11"/>
    <w:unhideWhenUsed/>
    <w:uiPriority w:val="0"/>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ascii="Verdana" w:hAnsi="Verdana"/>
      <w:kern w:val="0"/>
      <w:sz w:val="24"/>
      <w:szCs w:val="20"/>
      <w:lang w:eastAsia="en-US"/>
    </w:r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页眉 Char"/>
    <w:link w:val="4"/>
    <w:uiPriority w:val="99"/>
    <w:rPr>
      <w:rFonts w:ascii="Times New Roman" w:hAnsi="Times New Roman" w:eastAsia="仿宋_GB2312"/>
      <w:kern w:val="2"/>
      <w:sz w:val="18"/>
      <w:szCs w:val="18"/>
    </w:rPr>
  </w:style>
  <w:style w:type="character" w:customStyle="1" w:styleId="11">
    <w:name w:val="页脚 Char"/>
    <w:link w:val="3"/>
    <w:qFormat/>
    <w:uiPriority w:val="0"/>
    <w:rPr>
      <w:rFonts w:ascii="Times New Roman" w:hAnsi="Times New Roman" w:eastAsia="仿宋_GB2312"/>
      <w:kern w:val="2"/>
      <w:sz w:val="18"/>
      <w:szCs w:val="18"/>
    </w:rPr>
  </w:style>
  <w:style w:type="paragraph" w:customStyle="1" w:styleId="12">
    <w:name w:val="xl74"/>
    <w:basedOn w:val="1"/>
    <w:uiPriority w:val="0"/>
    <w:pPr>
      <w:widowControl/>
      <w:spacing w:before="100" w:beforeAutospacing="1" w:after="100" w:afterAutospacing="1"/>
      <w:jc w:val="center"/>
    </w:pPr>
    <w:rPr>
      <w:rFonts w:ascii="宋体" w:hAnsi="宋体" w:eastAsia="宋体" w:cs="宋体"/>
      <w:kern w:val="0"/>
      <w:sz w:val="24"/>
    </w:rPr>
  </w:style>
  <w:style w:type="paragraph" w:customStyle="1" w:styleId="13">
    <w:name w:val="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5">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6">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rPr>
  </w:style>
  <w:style w:type="paragraph" w:customStyle="1" w:styleId="17">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styleId="18">
    <w:name w:val="List Paragraph"/>
    <w:basedOn w:val="1"/>
    <w:qFormat/>
    <w:uiPriority w:val="34"/>
    <w:pPr>
      <w:ind w:firstLine="420" w:firstLineChars="200"/>
    </w:pPr>
  </w:style>
  <w:style w:type="paragraph" w:customStyle="1" w:styleId="19">
    <w:name w:val="xl67"/>
    <w:basedOn w:val="1"/>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21">
    <w:name w:val="列出段落1"/>
    <w:basedOn w:val="1"/>
    <w:uiPriority w:val="0"/>
    <w:pPr>
      <w:ind w:firstLine="420" w:firstLineChars="200"/>
    </w:pPr>
    <w:rPr>
      <w:rFonts w:eastAsia="宋体"/>
    </w:rPr>
  </w:style>
  <w:style w:type="paragraph" w:customStyle="1" w:styleId="22">
    <w:name w:val="xl68"/>
    <w:basedOn w:val="1"/>
    <w:uiPriority w:val="0"/>
    <w:pPr>
      <w:widowControl/>
      <w:spacing w:before="100" w:beforeAutospacing="1" w:after="100" w:afterAutospacing="1"/>
      <w:jc w:val="left"/>
      <w:textAlignment w:val="bottom"/>
    </w:pPr>
    <w:rPr>
      <w:rFonts w:ascii="宋体" w:hAnsi="宋体" w:eastAsia="宋体" w:cs="宋体"/>
      <w:kern w:val="0"/>
      <w:sz w:val="24"/>
    </w:rPr>
  </w:style>
  <w:style w:type="paragraph" w:customStyle="1" w:styleId="23">
    <w:name w:val="xl76"/>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24">
    <w:name w:val="xl71"/>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25">
    <w:name w:val="xl78"/>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2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color w:val="000000"/>
      <w:kern w:val="0"/>
      <w:sz w:val="24"/>
    </w:rPr>
  </w:style>
  <w:style w:type="paragraph" w:customStyle="1" w:styleId="27">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8">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4"/>
    </w:rPr>
  </w:style>
  <w:style w:type="paragraph" w:customStyle="1" w:styleId="29">
    <w:name w:val="xl77"/>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30">
    <w:name w:val="xl72"/>
    <w:basedOn w:val="1"/>
    <w:uiPriority w:val="0"/>
    <w:pPr>
      <w:widowControl/>
      <w:spacing w:before="100" w:beforeAutospacing="1" w:after="100" w:afterAutospacing="1"/>
      <w:jc w:val="center"/>
    </w:pPr>
    <w:rPr>
      <w:rFonts w:ascii="宋体" w:hAnsi="宋体" w:eastAsia="宋体" w:cs="宋体"/>
      <w:kern w:val="0"/>
      <w:sz w:val="24"/>
    </w:rPr>
  </w:style>
  <w:style w:type="character" w:customStyle="1" w:styleId="31">
    <w:name w:val="批注框文本 Char"/>
    <w:link w:val="2"/>
    <w:semiHidden/>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C0AAC-3385-4CC0-B78F-093F82F421F5}">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106</Pages>
  <Words>93258</Words>
  <Characters>93949</Characters>
  <Lines>761</Lines>
  <Paragraphs>214</Paragraphs>
  <TotalTime>5</TotalTime>
  <ScaleCrop>false</ScaleCrop>
  <LinksUpToDate>false</LinksUpToDate>
  <CharactersWithSpaces>94013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2020-11-23T08:00:00Z</dcterms:created>
  <dc:creator>印发</dc:creator>
  <cp:lastModifiedBy>梁锦豪</cp:lastModifiedBy>
  <dcterms:modified xsi:type="dcterms:W3CDTF">2022-11-10T05:33:51Z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9E27785B90A74CB3AAF881360D92B043</vt:lpwstr>
  </property>
</Properties>
</file>