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rPr>
      </w:pPr>
    </w:p>
    <w:tbl>
      <w:tblPr>
        <w:tblStyle w:val="4"/>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649"/>
        <w:gridCol w:w="1395"/>
        <w:gridCol w:w="1913"/>
        <w:gridCol w:w="1484"/>
        <w:gridCol w:w="1282"/>
        <w:gridCol w:w="1156"/>
        <w:gridCol w:w="2684"/>
        <w:gridCol w:w="629"/>
        <w:gridCol w:w="629"/>
        <w:gridCol w:w="629"/>
        <w:gridCol w:w="629"/>
        <w:gridCol w:w="629"/>
        <w:gridCol w:w="629"/>
        <w:gridCol w:w="629"/>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5516" w:type="dxa"/>
            <w:gridSpan w:val="15"/>
            <w:tcBorders>
              <w:top w:val="nil"/>
              <w:left w:val="nil"/>
              <w:bottom w:val="single" w:color="auto" w:sz="4" w:space="0"/>
              <w:right w:val="nil"/>
            </w:tcBorders>
            <w:shd w:val="clear" w:color="auto" w:fill="auto"/>
            <w:noWrap/>
            <w:vAlign w:val="center"/>
          </w:tcPr>
          <w:p>
            <w:pPr>
              <w:widowControl/>
              <w:jc w:val="center"/>
              <w:rPr>
                <w:rFonts w:ascii="方正小标宋简体" w:hAnsi="仿宋" w:eastAsia="方正小标宋简体" w:cs="宋体"/>
                <w:color w:val="000000"/>
                <w:kern w:val="0"/>
                <w:sz w:val="36"/>
                <w:szCs w:val="28"/>
              </w:rPr>
            </w:pPr>
            <w:r>
              <w:rPr>
                <w:rFonts w:hint="eastAsia" w:ascii="方正小标宋简体" w:hAnsi="仿宋" w:eastAsia="方正小标宋简体" w:cs="宋体"/>
                <w:color w:val="000000"/>
                <w:kern w:val="0"/>
                <w:sz w:val="36"/>
                <w:szCs w:val="28"/>
                <w:lang w:eastAsia="zh-CN"/>
              </w:rPr>
              <w:t>（十八）</w:t>
            </w:r>
            <w:r>
              <w:rPr>
                <w:rFonts w:hint="eastAsia" w:ascii="方正小标宋简体" w:hAnsi="仿宋" w:eastAsia="方正小标宋简体" w:cs="宋体"/>
                <w:color w:val="000000"/>
                <w:kern w:val="0"/>
                <w:sz w:val="36"/>
                <w:szCs w:val="28"/>
              </w:rPr>
              <w:t>江门市城市综合执法领域基层政务公开标准目录</w:t>
            </w:r>
            <w:bookmarkStart w:id="0" w:name="_GoBack"/>
            <w:bookmarkEnd w:id="0"/>
          </w:p>
        </w:tc>
        <w:tc>
          <w:tcPr>
            <w:tcW w:w="478" w:type="dxa"/>
            <w:tcBorders>
              <w:top w:val="nil"/>
              <w:left w:val="nil"/>
              <w:bottom w:val="single" w:color="auto" w:sz="4" w:space="0"/>
              <w:right w:val="nil"/>
            </w:tcBorders>
          </w:tcPr>
          <w:p>
            <w:pPr>
              <w:widowControl/>
              <w:jc w:val="center"/>
              <w:rPr>
                <w:rFonts w:ascii="仿宋" w:hAnsi="仿宋" w:eastAsia="仿宋"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55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2044"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1913"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1484"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282"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时限</w:t>
            </w:r>
          </w:p>
        </w:tc>
        <w:tc>
          <w:tcPr>
            <w:tcW w:w="1156"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主体</w:t>
            </w:r>
          </w:p>
        </w:tc>
        <w:tc>
          <w:tcPr>
            <w:tcW w:w="2684"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 xml:space="preserve">        公开渠道和载体                      （“■”表示必选项，“□”表示可选项）</w:t>
            </w:r>
          </w:p>
        </w:tc>
        <w:tc>
          <w:tcPr>
            <w:tcW w:w="125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125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2365" w:type="dxa"/>
            <w:gridSpan w:val="4"/>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50" w:type="dxa"/>
            <w:vMerge w:val="continue"/>
            <w:vAlign w:val="center"/>
          </w:tcPr>
          <w:p>
            <w:pPr>
              <w:widowControl/>
              <w:jc w:val="left"/>
              <w:rPr>
                <w:rFonts w:ascii="黑体" w:hAnsi="黑体" w:eastAsia="黑体" w:cs="宋体"/>
                <w:bCs/>
                <w:color w:val="000000"/>
                <w:kern w:val="0"/>
                <w:sz w:val="18"/>
                <w:szCs w:val="18"/>
              </w:rPr>
            </w:pPr>
          </w:p>
        </w:tc>
        <w:tc>
          <w:tcPr>
            <w:tcW w:w="64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1395"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1913" w:type="dxa"/>
            <w:vMerge w:val="continue"/>
            <w:vAlign w:val="center"/>
          </w:tcPr>
          <w:p>
            <w:pPr>
              <w:widowControl/>
              <w:jc w:val="left"/>
              <w:rPr>
                <w:rFonts w:ascii="黑体" w:hAnsi="黑体" w:eastAsia="黑体" w:cs="宋体"/>
                <w:bCs/>
                <w:color w:val="000000"/>
                <w:kern w:val="0"/>
                <w:sz w:val="18"/>
                <w:szCs w:val="18"/>
              </w:rPr>
            </w:pPr>
          </w:p>
        </w:tc>
        <w:tc>
          <w:tcPr>
            <w:tcW w:w="1484" w:type="dxa"/>
            <w:vMerge w:val="continue"/>
            <w:vAlign w:val="center"/>
          </w:tcPr>
          <w:p>
            <w:pPr>
              <w:widowControl/>
              <w:jc w:val="left"/>
              <w:rPr>
                <w:rFonts w:ascii="黑体" w:hAnsi="黑体" w:eastAsia="黑体" w:cs="宋体"/>
                <w:bCs/>
                <w:color w:val="000000"/>
                <w:kern w:val="0"/>
                <w:sz w:val="18"/>
                <w:szCs w:val="18"/>
              </w:rPr>
            </w:pPr>
          </w:p>
        </w:tc>
        <w:tc>
          <w:tcPr>
            <w:tcW w:w="1282" w:type="dxa"/>
            <w:vMerge w:val="continue"/>
            <w:vAlign w:val="center"/>
          </w:tcPr>
          <w:p>
            <w:pPr>
              <w:widowControl/>
              <w:jc w:val="left"/>
              <w:rPr>
                <w:rFonts w:ascii="黑体" w:hAnsi="黑体" w:eastAsia="黑体" w:cs="宋体"/>
                <w:bCs/>
                <w:color w:val="000000"/>
                <w:kern w:val="0"/>
                <w:sz w:val="18"/>
                <w:szCs w:val="18"/>
              </w:rPr>
            </w:pPr>
          </w:p>
        </w:tc>
        <w:tc>
          <w:tcPr>
            <w:tcW w:w="1156" w:type="dxa"/>
            <w:vMerge w:val="continue"/>
            <w:vAlign w:val="center"/>
          </w:tcPr>
          <w:p>
            <w:pPr>
              <w:widowControl/>
              <w:jc w:val="left"/>
              <w:rPr>
                <w:rFonts w:ascii="黑体" w:hAnsi="黑体" w:eastAsia="黑体" w:cs="宋体"/>
                <w:bCs/>
                <w:color w:val="000000"/>
                <w:kern w:val="0"/>
                <w:sz w:val="18"/>
                <w:szCs w:val="18"/>
              </w:rPr>
            </w:pPr>
          </w:p>
        </w:tc>
        <w:tc>
          <w:tcPr>
            <w:tcW w:w="2684" w:type="dxa"/>
            <w:vMerge w:val="continue"/>
            <w:vAlign w:val="center"/>
          </w:tcPr>
          <w:p>
            <w:pPr>
              <w:widowControl/>
              <w:jc w:val="left"/>
              <w:rPr>
                <w:rFonts w:ascii="黑体" w:hAnsi="黑体" w:eastAsia="黑体" w:cs="宋体"/>
                <w:bCs/>
                <w:color w:val="000000"/>
                <w:kern w:val="0"/>
                <w:sz w:val="18"/>
                <w:szCs w:val="18"/>
              </w:rPr>
            </w:pP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629" w:type="dxa"/>
            <w:shd w:val="clear" w:color="auto" w:fill="auto"/>
            <w:vAlign w:val="center"/>
          </w:tcPr>
          <w:p>
            <w:pPr>
              <w:widowControl/>
              <w:jc w:val="center"/>
              <w:rPr>
                <w:rFonts w:ascii="黑体" w:hAnsi="黑体" w:eastAsia="黑体" w:cs="宋体"/>
                <w:bCs/>
                <w:kern w:val="0"/>
                <w:sz w:val="18"/>
                <w:szCs w:val="18"/>
              </w:rPr>
            </w:pPr>
            <w:r>
              <w:rPr>
                <w:rFonts w:hint="eastAsia" w:ascii="黑体" w:hAnsi="黑体" w:eastAsia="黑体" w:cs="宋体"/>
                <w:bCs/>
                <w:kern w:val="0"/>
                <w:sz w:val="18"/>
                <w:szCs w:val="18"/>
              </w:rPr>
              <w:t>市级</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629" w:type="dxa"/>
            <w:shd w:val="clear" w:color="auto" w:fill="auto"/>
            <w:vAlign w:val="center"/>
          </w:tcPr>
          <w:p>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镇级</w:t>
            </w:r>
          </w:p>
        </w:tc>
        <w:tc>
          <w:tcPr>
            <w:tcW w:w="478" w:type="dxa"/>
            <w:vAlign w:val="center"/>
          </w:tcPr>
          <w:p>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不符合预售条件预售商品房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《城市房地产管理法》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未取得资质等级证书或者超越资质等级从事房地产开发经营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《城市房地产开发经营管理条例》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《城市房地产开发经营管理条例》                                                                                                                                      《商品房销售管理办法》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房产测绘单位在房产面积测算中不执行国家标准、规范和规定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房产测绘单位在房产面积测算中弄虚作假、欺骗房屋权利人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房产测绘单位房产面积测算失误，造成重大损失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房地产经纪人员以个人名义承接房地产经纪业务和收取费用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房地产经纪机构提供代办贷款、代办房地产登记等其他服务，未向委托人说明服务内容、收费标准等情况，并未经委托人同意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房地产经纪服务合同未由从事该业务的一名房地产经纪人或者两名房地产经纪人协理签名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房地产经纪机构签订房地产经纪服务合同前，不向交易当事人说明和书面告知规定事项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房地产经纪机构未按照规定如实记录业务情况或者保存房地产经纪服务合同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房地产经纪机构擅自对外发布房源信息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房地产经纪机构擅自划转客户交易结算资金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房地产经纪机构和房地产经纪人员以隐瞒、欺诈、胁迫、贿赂等不正当手段招揽业务，诱骗消费者交易或者强制交易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房地产经纪机构和房地产经纪人员泄露或者不当使用委托人的个人信息或者商业秘密，谋取不正当利益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为交易当事人规避房屋交易税费等非法目的，房地产经纪机构和房地产经纪人员就同一房屋签订不同交易价款的合同提供便利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房地产经纪机构和房地产经纪人员改变房屋内部结构分割出租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房地产经纪机构和房地产经纪人员侵占、挪用房地产交易资金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房地产经纪机构和房地产经纪人员承购、承租自己提供经纪服务的房屋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房地产经纪机构和房地产经纪人员为不符合交易条件的保障性住房和禁止交易的房屋提供经纪服务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房地产经纪机构和房地产经纪人员做出法律、法规禁止的其他行为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申请人隐瞒有关情况或者提供虚假材料申请房地产估价机构资质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以欺骗、贿赂等不正当手段取得房地产估价机构资质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未取得房地产估价机构资质从事房地产估价活动或者超越资质等级承揽估价业务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一级资质房地产估价机构不按规定设立分支机构，或二、三级资质房地产估价机构设立分支机构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房地产估价机构不按照规定条件设立分支机构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房地产估计机构新设立的分支机构不备案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房地产估价机构不按规定承揽业务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房地产估价机构不按规定出具估价报告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房地产估价机构及其估价人员应当回避未回避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房地产估价机构涂改、倒卖、出租、出借或者以其他形式非法转让资质证书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房地产估价机构超越资质等级业务范围承接房地产估价业务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房地产估价机构以迎合高估或者低估要求、给予回扣、恶意压低收费等方式进行不正当竞争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房地产估价机构违反房地产估价规范和标准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房地产估价机构出具有虚假记载、误导性陈述或者重大遗漏的估价报告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房地产估价机构擅自设立分支机构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房地产估价机构未经委托人书面同意，擅自转让受托的估价业务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房地产估价机构有法律、法规禁止的其他行为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公共租赁住房的所有权人及其委托的运营单位向不符合条件的对象出租公共租赁住房的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公共租赁住房的所有权人及其委托的运营单位未履行公共租赁住房及其配套设施维修养护义务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公共租赁住房的所有权人及其委托的运营单位改变公共租赁住房的保障性住房性质、用途，以及配套设施的规划用途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申请人以欺骗等不正手段，登记为轮候对象或者承租公共租赁住房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承租人转借、转租或者擅自调换所承租公共租赁住房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承租人改变所承租公共租赁住房用途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承租人破坏或者擅自装修所承租公共租赁住房，拒不恢复原状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承租人在公共租赁住房内从事违法活动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承租人无正当理由连续6个月以上闲置公共租赁住房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房地产经纪机构及其经纪人员提供公共租赁住房出租、转租、出售等经纪业务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出租属于违法建筑的房屋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出租不符合安全、防灾等工程建设强制性标准的房屋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出租违反规定改变房屋使用性质的房屋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出租法律、法规规定禁止出租的房屋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未以原设计的房间为最小出租单位，或人均租住建筑面积低于当地人民政府规定的最低标准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出租厨房、卫生间、阳台和地下储藏室供人员居住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房屋租赁合同订立后三十日内，房屋租赁当事人未按规定办理房屋租赁登记备案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房屋租赁登记备案内容发生变化、续租或者租赁终止后三十日内，当事人未按规定办理房屋租赁登记备案的变更、延续或者注销手续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公有住房售房单位未按规定交存首期住宅专项维修资金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未按规定交存首期住宅专项维修资金，公有住房售房单位将房屋交付买受人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公有住房售房单位未按规定分摊维修、更新、改造费用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未按规定交存首期住宅专项维修资金，开发建设单位将房屋交付买受人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开发建设单位未按规定分摊维修、更新和改造费用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挪用住宅专项维修资金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城市低收入住房困难家庭隐瞒有关情况或者提供虚假材料申请廉租住房保障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《廉租住房保障办法》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对以欺骗等不正当手段，取得审核同意或者获得廉租住房保障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《廉租住房保障办法》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隐瞒有关情况或者提供虚假材料申请房地产估价师注册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注册房地产估价师聘用单位为申请人提供虚假注册材料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未经注册，擅自以注册房地产估价师名义从事房地产估价活动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注册房地产估价师未办理变更注册仍执业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注册房地产估价师不履行注册房地产估价师义务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注册房地产估价师在执业过程中，索贿、受贿或者谋取合同约定费用外的其他利益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注册房地产估价师签署有虚假记载、误导性陈述或者重大遗漏的估价报告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注册房地产估价师在估价报告中隐瞒或者歪曲事实</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注册房地产估价师允许他人以自己的名义从事房地产估价业务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注册房地产估价师同时在2个或者2个以上房地产估价机构执业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注册房地产估价师以个人名义承揽房地产估价业务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注册房地产估价师涂改、出租、出借或者以其他形式非法转让注册证书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注册房地产估价师超出聘用单位业务范围从事房地产估价活动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注册房地产估价师严重损害他人利益、名誉的行为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注册房地产估价师有法律、法规禁止的其他行为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注册房地产估价师或者其聘用单位未按照要求提供房地产估价师信用档案信息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开发企业未取得《商品房预售许可证》预售商品房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《城市房地产开发经营管理条例》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开发企业不按规定使用商品房预售款项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开发企业隐瞒有关情况、提供虚假材料，或者采用欺骗、贿赂等不正当手段取得商品房预售许可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不具备条件的单位从事白蚁防治业务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白蚁防治单位未建立健全白蚁防治质量保证体系，未严格按照国家和地方有关城市房屋白蚁防治的施工技术规范和操作程序进行防治</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白蚁防治单位违反规定，使用不合格药物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装修人未申报登记进行住宅室内装饰装修活动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装修人将住宅室内装饰装修工程委托给不具有相应资质等级企业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将没有防水要求的房间或者阳台改为卫生间、厨房间的，或者拆除连接阳台的砖、混凝土墙体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损坏房屋原有节能设施或者降低节能效果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擅自拆改供暖、燃气管道和设施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未经原设计单位或者具有相应资质等级的设计单位提出设计方案，擅自超过设计标准或者规范增加楼面荷载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物业管理单位发现装修人或者装饰装修企业有违反规定的行为不及时向有关部门报告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将安装有淘汰便器水箱和配件的新建房屋验收交付使用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未按更新改造计划更换淘汰便器水箱和配件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在限定的期限内未更换淘汰便器水箱和配件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对漏水严重的房屋便器水箱和配件未按期进行维修或者更新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在利用房地产权属档案的过程中，损毁、丢失、涂改、伪造房地产权属档案或者擅自提供、抄录、公布、销毁房地产权属档案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《城市房地产权属档案管理办法》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企事业组织或者个人擅自出卖或者转让房地产权属档案的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《城市房地产权属档案管理办法》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未取得房地产开发企业资质证书，擅自销售商品房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在未解除商品房买卖合同前，将作为合同标的物的商品房再行销售给他人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房地产开发企业将未组织竣工验收、验收不合格或者对不合格按合格验收的商品房擅自交付使用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房地产开发企业未按规定将测绘成果或者需要由其提供的办理房屋权属登记的资料报送房地产行政主管部门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房地产开发企业在销售商品房中未按照规定的现售条件现售商品房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房地产开发企业在销售商品房中未按照规定在商品房现售前将房地产开发项目手册及符合商品房现售条件的有关证明文件报送房地产开发主管部门备案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房地产开发企业在销售商品房中返本销售或者变相返本销售商品房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房地产开发企业在销售商品房中在销售商品房中采取售后包租或者变相售后包租方式销售未竣工商品房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房地产开发企业在销售商品房中分割拆零销售商品住宅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房地产开发企业在销售商品房中不符合商品房销售条件，向买受人收取预订款性质费用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房地产开发企业在销售商品房中未按照规定向买受人明示《商品房销售管理办法》、《商品房买卖合同示范文本》、《城市商品房预售管理办法》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房地产开发企业在销售商品房中委托没有资格的机构代理销售商品房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房地产中介服务机构代理销售不符合销售条件的商品房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企业未取得资质证书从事房地产开发经营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企业超越资质等级从事房地产开发经营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企业隐瞒真实情况、弄虚作假骗取资质证书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企业涂改、出租、出借、转让、出卖资质证书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企业开发建设的项目工程质量低劣，发生重大工程质量事故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开发企业在商品住宅销售中不按照规定发放《住宅质量保证书》和《住宅使用说明书》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企业不按照规定办理变更手续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将不准上市出售的已购公有住房和经济适用住房上市出售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《已购公有住房和经济适用住房上市出售管理暂行办法》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将已购公有住房和经济适用住房上市出售后，该户家庭又以非法手段按照成本价（或者标准价）购买公有住房或者政府提供优惠政策建设的住房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《已购公有住房和经济适用住房上市出售管理暂行办法》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未取得施工许可证或者开工报告未经批准擅自施工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发包单位将工程发包给不具有相应资质条件的承包单位的，或者违反本法规定将建筑工程肢解发包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超越本单位资质等级承揽工程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未取得资质证书承揽工程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以欺骗手段取得资质证书承揽工程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建筑施工企业转让、出借资质证书或者以其他方式允许他人以本企业的名义承揽工程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承包单位将承包的工程转包，或者违法分包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在工程发包与承包中索贿、受贿、行贿，且不构成犯罪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工程监理单位与建设单位或者建筑施工企业串通，弄虚作假、降低工程质量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工程监理单位转让监理业务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涉及建筑主体或者承重结构变动的装修工程擅自施工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建筑施工企业对建筑安全事故隐患不采取措施予以消除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建设单位要求建筑设计单位或者建筑施工企业违反建筑工程质量、安全标准，降低工程质量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建筑设计单位不按照建筑工程质量、安全标准进行设计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建筑施工企业在施工中偷工减料，使用不合格的建筑材料、建筑构配件和设备，或者有其他不按照工程设计图纸或者施工技术标准施工的行为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建筑施工企业不履行保修义务或者拖延履行保修义务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建设单位违反建筑节能标准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设计单位、施工单位、监理单位违反建筑节能标准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房地产开发企业在销售房屋时未向购买人明示所售房屋的节能措施、保温工程保修期等信息；或对以上信息作虚假宣传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建设单位将建设工程发包给不具有相应资质等级的勘察、设计、施工单位或者委托给不具有相应资质等级的工程监理单位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将建筑工程肢解发包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建设单位迫使承包方以低于成本的价格竞标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建设单位任意压缩合理工期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建设单位明示或者暗示设计单位或者施工单位违反工程建设强制性标准，降低工程质量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《实施工程建设强制性标准监督规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定》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建设单位施工图设计文件未经审查或者审查不合格，擅自施工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建设项目必须实行工程监理而未实行工程监理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建设单位未按照国家规定办理工程质量监督手续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建设单位明示或者暗示施工单位使用不合格的建筑材料、建筑构配件和设备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《实施工程建设强制性标准监督规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建设单位未按照国家规定将竣工验收报告、有关认可文件或者准许使用文件报送备案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未组织竣工验收，建设单位擅自交付使用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验收不合格，建设单位擅自交付使用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建设单位对不合格的建设工程按照合格工程验收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建设工程竣工验收后，建设单位未向建设行政主管部门或者其他有关部门移交建设项目档案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勘察、设计、施工、工程监理单位允许其他单位或者个人以本单位名义承揽工程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工程监理单位转让工程监理业务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勘察单位未按照工程建设强制性标准进行勘察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设计单位未根据勘察成果文件进行工程设计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设计单位指定建筑材料、建筑构配件的生产厂、供应商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设计单位未按照工程建设强制性标准进行设计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施工单位在施工中偷工减料；使用不合格的建筑材料、建筑构配件和设备；或者有不按照工程设计图纸或者施工技术标准施工的其他行为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施工单位未对建筑材料、建筑构配件、设备和商品混凝土进行检验，或者未对涉及结构安全的试块、试件以及有关材料取样检测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工程监理单位与建设单位或者施工单位串通，弄虚作假、降低工程质量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工程监理单位将不合格的工程、建筑材料、构配件和设备按照合格签字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工程监理单位与被监理工程的施工承包单位以及建筑材料、建筑构配件和设备供应单位有隶属关系或者其他利害关系承担该项建设工程的监理业务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涉及建筑主体或者承重结构变动的装修工程，没有设计方案擅自施工；房屋建筑使用者在装修过程中擅自变动房屋建筑主体和承重结构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注册建筑师、注册结构工程师、监理工程师等注册执业人员因过错造成质量事故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建设单位未提供建设工程安全生产作业环境及安全施工措施所需费用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建设单位未将保证安全施工的措施或者拆除工程的有关资料报送有关部门备案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建设单位对勘察、设计、施工、工程监理等单位提出不符合安全生产法律、法规和强制性标准规定要求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建设单位要求施工单位压缩合同约定的工期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建设单位将拆除工程发包给不具有相应资质等级的施工单位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勘察单位、设计单位未按照法律、法规和工程建设强制性标准进行勘察、设计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采用新结构、新材料、新工艺的建设工程和特殊结构的建设工程，设计单位未在设计中提出保障施工作业人员安全和预防生产安全事故的措施建议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工程监理单位未对施工组织设计中的安全技术措施或者专项施工方案进行审查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工程监理单位发现安全事故隐患未及时要求施工单位整改或者暂时停止施工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施工单位拒不整改或者不停止施工，工程监理单位未及时向有关主管部门报告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工程监理单位未依照法律、法规和工程建设强制性标准实施监理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注册执业人员未执行法律、法规和工程建设强制性标准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为建设工程提供机械设备和配件的单位，未按照安全施工的要求配备齐全有效的保险、限位等安全设施和装置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出租单位出租未经安全性能检测或者经检测不合格的机械设备和施工机具及配件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施工起重机械和整体提升脚手架、模板等自升式架设设施安装、拆卸单位未编制拆装方案、制定安全施工措施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施工起重机械和整体提升脚手架、模板等自升式架设设施安装、拆卸单位未由专业技术人员现场监督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施工起重机械和整体提升脚手架、模板等自升式架设设施安装、拆卸单位未出具自检合格证明或者出具虚假证明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施工起重机械和整体提升脚手架、模板等自升式架设设施安装、拆卸单位未向施工单位进行安全使用说明，办理移交手续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施工单位未设立安全生产管理机构、配备专职安全生产管理人员或者分部分项工程施工时无专职安全生产管理人员现场监督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施工单位的主要负责人、项目负责人、专职安全生产管理人员、作业人员或者特种作业人员，未经安全教育培训或者经考核不合格即从事相关工作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施工单位未在施工现场的危险部位设置明显的安全警示标志，或者未按照国家有关规定在施工现场设置消防通道、消防水源、配备消防设施和灭火器材</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施工单位未向作业人员提供安全防护用具和安全防护服装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施工单位未按照规定在施工起重机械和整体提升脚手架、模板等自升式架设设施验收合格后登记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施工单位使用国家明令淘汰、禁止使用的危及施工安全的工艺、设备、材料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施工单位挪用列入建设工程概算的安全生产作业环境及安全施工措施所需费用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施工单位施工前未对有关安全施工的技术要求作出详细说明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施工单位未根据不同施工阶段和周围环境及季节、气候的变化，在施工现场采取相应的安全施工措施，或者在城市市区内的建设工程的施工现场未实行封闭围挡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施工单位在尚未竣工的建筑物内设置员工集体宿舍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施工现场临时搭建的建筑物不符合安全使用要求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施工单位未对因建设工程施工可能造成损害的毗邻建筑物、构筑物和地下管线等采取专项防护措施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安全防护用具、机械设备、施工机具及配件在进入施工现场前未经查验或者查验不合格施工单位即投入使用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施工单位使用未经验收或者验收不合格的施工起重机械和整体提升脚手架、模板等自升式架设设施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施工单位委托不具有相应资质的单位承担施工现场安装、拆卸施工起重机械和整体提升脚手架、模板等自升式架设设施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施工单位在施工组织设计中未编制安全技术措施、施工现场临时用电方案或者专项施工方案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施工单位的主要负责人、项目负责人未履行安全生产管理职责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不服管理、违反规章制度和操作规程冒险作业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施工单位取得资质证书后，降低安全生产条件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未经注册，擅自以注册建设工程勘察、设计人员的名义从事建设工程勘察、设计活动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发包方将建设工程勘察、设计业务发包给不具有相应资质等级的建设工程勘察、设计单位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建设工程勘察、设计单位将所承揽的建设工程勘察、设计转包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勘察、设计单位未依据项目批准文件，城乡规划及专业规划，国家规定的建设工程勘察、设计深度要求编制建设工程勘察、设计文件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建设单位明示或者暗示设计单位、施工单位违反民用建筑节能强制性标准进行设计、施工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建设单位明示或者暗示施工单位使用不符合施工图设计文件要求的墙体材料、保温材料、门窗、采暖制冷系统和照明设备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建设单位采购不符合施工图设计文件要求的墙体材料、保温材料、门窗、采暖制冷系统和照明设备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建设单位对不符合民用建筑节能强制性标准的民用建筑项目出具竣工验收合格报告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设计单位未按照民用建筑节能强制性标准进行设计，或者使用列入禁止使用目录的技术、工艺、材料和设备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施工单位未按照民用建筑节能强制性标准进行施工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施工单位未对进入施工现场的墙体材料、保温材料、门窗、采暖制冷系统和照明设备进行查验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工程监理单位未按照民用建筑节能强制性标准实施监理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墙体、屋面的保温工程施工时，工程监理单位未采取旁站、巡视和平行检验等形式实施监理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对不符合施工图设计文件要求的墙体材料、保温材料、门窗、采暖制冷系统和照明设备，工程监理单位按照符合施工图设计文件要求签字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注册执业人员未执行民用建筑节能强制性标准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以不正当手段取得注册建筑师考试合格资格或者注册建筑师证书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未经注册擅自以注册建筑师名义从事注册建筑师业务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注册建筑师以个人名义承接注册建筑师业务、收取费用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注册建筑师同时受聘于二个以上建筑设计单位执行业务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注册建筑师在建筑设计或者相关业务中侵犯他人合法权益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注册建筑师准许他人以本人名义执行业务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二级注册建筑师以一级注册建筑师的名义执行业务或者超越国家规定的执业范围执行业务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注册建筑师因建筑设计质量不合格发生重大责任事故，造成重大损失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房地产价格评估机构或者房地产估价师出具虚假或者有重大差错的评估报告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《国有土地上房屋征收与补偿条例》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在村庄、集镇规划区内，未按规划审批程序批准或者违反规划的规定进行建设，严重影响村庄、集镇规划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未取得设计资质证书，承担建筑跨度、跨径和高度超出规定范围的工程以及2层以上住宅的设计任务或者未按设计资质证书规定的经营范围，承担设计任务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未取得施工资质等级证书或者资质审查证书或者未按规定的经营范围，承担施工任务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不按有关技术规定施工或者使用不符合工程质量要求的建筑材料和建筑构件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未按设计图纸施工或者擅自修改设计图纸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取得设计或者施工资质证书的勘察设计、施工单位，为无证单位提供资质证书，超过规定的经营范围，承担设计、施工任务或者设计、施工的质量不符合要求，情节严重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建设单位未按照本规定提供工程周边环境等资料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建设单位未按照本规定在招标文件中列出危大工程清单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建设单位未按照施工合同约定及时支付危大工程施工技术措施费或者相应的安全防护文明施工措施费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建设单位未按照本规定委托具有相应勘察资质的单位进行第三方监测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建设单位未对第三方监测单位报告的异常情况组织采取处置措施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勘察单位未在勘察文件中说明地质条件可能造成的工程风险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设计单位未在设计文件中注明涉及危大工程的重点部位和环节，未提出保障工程周边环境安全和工程施工安全的意见的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施工单位未按照本规定编制并审核危大工程专项施工方案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施工单位未对超过一定规模的危大工程专项施工方案进行专家论证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施工单位未根据专家论证报告对超过一定规模的危大工程专项施工方案进行修改，或者未按照本规定重新组织专家论证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施工单位未严格按照专项施工方案组织施工，或者擅自修改专项施工方案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施工单位项目负责人未按照本规定现场履职或者组织限期整改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施工单位未按照本规定进行施工监测和安全巡视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施工单位未按照本规定组织危大工程验收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发生险情或者事故时，施工单位未采取应急处置措施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施工单位未按照本规定建立危大工程安全管理档案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监理单位的总监理工程师未按照本规定审查危大工程专项施工方案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发现施工单位未按照专项施工方案实施，监理单位未要求其整改或者停工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施工单位拒不整改或者不停止施工时，监理单位未向建设单位和工程所在地住房城乡建设主管部门报告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监理单位未按规定编制监理实施细则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监理单位未对危大工程施工实施专项巡视检查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监理单位未按规定参与组织危大工程验收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监理单位未按规定建立危大工程安全管理档案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监测单位未取得相应勘察资质从事第三方监测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监测单位未按规定编制监测方案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监测单位未按照监测方案开展监测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监测单位发现异常未及时报告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申请企业隐瞒有关真实情况或者提供虚假材料申请建筑业企业资质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企业以欺骗、贿赂等不正当手段取得建筑业企业资质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企业申请建筑业企业资质升级、资质增项，在申请之日起前一年至资质许可决定作出前，与建设单位或企业之间相互串通投标，或以行贿等不正当手段谋取中标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企业申请建筑业企业资质升级、资质增项，在申请之日起前一年至资质许可决定作出前，未取得施工许可证擅自施工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企业申请建筑业企业资质升级、资质增项，在申请之日起前一年至资质许可决定作出前，将承包的工程转包或违法分包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企业申请建筑业企业资质升级、资质增项，在申请之日起前一年至资质许可决定作出前，违反国家工程建设强制性标准施工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企业申请建筑业企业资质升级、资质增项，在申请之日起前一年至资质许可决定作出前，恶意拖欠分包企业工程款或者劳务人员工资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企业申请建筑业企业资质升级、资质增项，在申请之日起前一年至资质许可决定作出前，隐瞒或谎报、拖延报告工程质量安全事故，破坏事故现场、阻碍对事故调查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企业申请建筑业企业资质升级、资质增项，在申请之日起前一年至资质许可决定作出前，未依法履行工程质量保修义务或拖延履行保修义务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企业申请建筑业企业资质升级、资质增项，在申请之日起前一年至资质许可决定作出前，伪造、变造、倒卖、出租、出借或者以其他形式非法转让建筑业企业资质证书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企业申请建筑业企业资质升级、资质增项，在申请之日起前一年至资质许可决定作出前，发生过较大以上质量安全事故或者发生过两起以上一般质量安全事故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企业申请建筑业企业资质升级、资质增项，在申请之日起前一年至资质许可决定作出前，有其它违反法律、法规的行为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企业未按照规定及时办理建筑业企业资质证书变更手续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企业在接受监督检查时，不如实提供有关材料，或者拒绝、阻碍监督检查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企业未按照规定要求提供企业信用档案信息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未取得建筑业企业资质承接分包工程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《房屋建筑和市政基础设施工程施工分包管理办法》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未取得施工许可证或者为规避办理施工许可证将工程项目分解后擅自施工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建设单位采用欺骗、贿赂等不正当手段取得施工许可证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建设单位隐瞒有关情况或者提供虚假材料申请施工许可证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建设单位伪造或者涂改施工许可证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“安管人员”隐瞒有关情况或者提供虚假材料申请安全生产考核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“安管人员”以欺骗、贿赂等不正当手段取得安全生产考核合格证书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“安管人员”涂改、倒卖、出租、出借或者以其他形式非法转让安全生产考核合格证书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建筑施工企业未按规定开展“安管人员”安全生产教育培训考核，或者未按规定如实将考核情况记入安全生产教育培训档案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建筑施工企业未按规定设立安全生产管理机构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建筑施工企业未按规定配备专职安全生产管理人员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危险性较大的分部分项工程施工时建筑施工企业未安排专职安全生产管理人员现场监督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“安管人员”未取得安全生产考核合格证书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“安管人员”未按规定办理证书变更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主要负责人、项目负责人未按规定履行安全生产管理职责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专职安全生产管理人员未按规定履行安全生产管理职责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工程造价咨询企业在建筑工程计价活动中，出具有虚假记载、误导性陈述的工程造价成果文件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《建筑工程施工发包与承包计价管理办法》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审查机构列入名录后不再符合规定条件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审查机构超出范围从事施工图审查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审查机构使用不符合条件审查人员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审查机构未按规定的内容进行审查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审查机构未按规定上报审查过程中发现的违法违规行为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审查机构未按规定填写审查意见告知书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审查机构未按规定在审查合格书和施工图上签字盖章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审查机构已出具审查合格书的施工图，仍有违反法律、法规和工程建设强制性标准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审查机构出具虚假审查合格书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审查人员在虚假审查合格书上签字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建设单位压缩合理审查周期的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建设单位提供不真实送审资料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建设单位对审查机构提出不符合法律、法规和工程建设强制性标准要求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建设单位在工程竣工验收合格之日起15日内未办理工程竣工验收备案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建设单位将备案机关决定重新组织竣工验收的工程，在重新组织竣工验收前，擅自使用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建设单位采用虚假证明文件办理工程竣工验收备案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《中华人民共和国注册建筑师条例实施细则》、《注册建造师管理规定》、《注册监理工程师管理规定》、《勘察设计注册工程师管理规定》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以欺骗、贿赂等不正当手段取得注册证书和执业印章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《中华人民共和国注册建筑师条例实施细则》</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出租单位、自购建筑起重机械的使用单位未按照规定办理备案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出租单位、自购建筑起重机械的使用单位未按照规定办理注销手续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出租单位、自购建筑起重机械的使用单位未按照规定建立建筑起重机械安全技术档案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安装单位未按照安全技术标准及安装使用说明书等检查建筑起重机械及现场施工条件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安装单位未制定建筑起重机械安装、拆卸工程生产安全事故应急救援预案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安装单位未按照规定建立建筑起重机械安装、拆卸工程档案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安装单位未按照建筑起重机械安装、拆卸工程专项施工方案及安全操作规程组织安装、拆卸作业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使用单位未根据不同施工阶段、周围环境以及季节、气候的变化，对建筑起重机械采取相应的安全防护措施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使用单位未制定建筑起重机械生产安全事故应急救援预案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使用单位未设置相应的设备管理机构或者配备专职的设备管理人员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建筑起重机械出现故障或者发生异常情况时，使用单位未立即停止使用，或未待消除故障和事故隐患后，再重新投入使用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使用单位未指定专职设备管理人员进行现场监督检查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使用单位擅自在建筑起重机械上安装非原制造厂制造的标准节和附着装置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施工总承包单位未向安装单位提供拟安装设备位置的基础施工资料，确保建筑起重机械进场安装、拆卸所需的施工条件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施工总承包单位未审核安装单位、使用单位的资质证书、安全生产许可证和特种作业人员的特种作业操作资格证书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施工总承包单位未审核安装单位制定的建筑起重机械安装、拆卸工程专项施工方案和生产安全事故应急救援预案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施工总承包单位未审核使用单位制定的建筑起重机械生产安全事故应急救援预案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施工现场有多台塔式起重机作业时，施工单位未组织制定并实施防止塔式起重机相互碰撞的安全措施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监理单位未审核建筑起重机械特种设备制造许可证、产品合格证、制造监督检验证明、备案证明等文件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监理单位未审核建筑起重机械安装单位、使用单位的资质证书、安全生产许可证和特种作业人员的特种作业操作资格证书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监理单位未监督安装单位执行建筑起重机械安装、拆卸工程专项施工方案情况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监理单位未监督检查建筑起重机械的使用情况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建设单位未按照规定协调组织制定防止多台塔式起重机相互碰撞的安全措施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接到监理单位报告后，建设单位未责令安装单位、使用单位立即停工整改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建设单位未为勘察工作提供必要的现场工作条件或者未提供真实、可靠原始资料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工程勘察企业未按照工程建设强制性标准进行勘察、弄虚作假、提供虚假成果资料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工程勘察企业勘察文件没有责任人签字或者签字不全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工程勘察企业原始记录不按照规定记录或者记录不完整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工程勘察企业不参加施工验槽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项目完成后，工程勘察企业勘察文件不归档保存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企业隐瞒有关情况或者提供虚假材料申请资质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企业以欺骗、贿赂等不正当手段取得资质证书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企业未按照规定提供信用档案信息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企业涂改、倒卖、出租、出借或者以其他形式非法转让资质证书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申请人隐瞒有关情况或者提供虚假材料申请工程监理企业资质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工程监理企业以欺骗、贿赂等不正当手段取得工程监理企业资质证书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工程监理企业在监理过程中实施商业贿赂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工程监理企业涂改、伪造、出借、转让工程监理企业资质证书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工程监理企业未按照要求提供工程监理企业信用档案信息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未取得注册证书和执业印章，担任大中型建设工程项目施工单位项目负责人，或者以注册建造师的名义从事相关活动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注册建造师、注册造价工程师、注册监理工程师未办理变更注册而继续执业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注册建造师在执业活动中不履行注册建造师义务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注册建造师在执业活动中签署有虚假记载等不合格的文件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注册建造师在执业活动中允许他人以自己的名义从事执业活动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注册建造师在执业活动中同时在两个或者两个以上单位受聘或者执业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注册建造师在执业活动中涂改、倒卖、出租、出借或以其他形式非法转让资格证书、注册证书和执业印章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注册建造师在执业活动中超出执业范围和聘用单位业务范围内从事执业活动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注册建造师在执业活动中法律、法规、规章禁止的其他行为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注册建造师或者其聘用单位未按照要求提供注册建造师信用档案信息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聘用单位为申请人提供虚假注册材料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隐瞒有关情况或者提供虚假材料申请造价工程师注册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以欺骗、贿赂等不正当手段取得造价工程师注册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未经注册而以注册造价工程师的名义从事工程造价活动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注册造价工程师不履行注册造价工程师义务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注册造价工程师在执业过程中，索贿、受贿或者谋取合同约定费用外的其他利益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注册造价工程师签署有虚假记载、误导性陈述的工程造价成果文件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注册造价工程师以个人名义承接工程造价业务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注册造价工程师允许他人以自己名义从事工程造价业务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注册造价工程师同时在两个或者两个以上单位执业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注册造价工程师涂改、倒卖、出租、出借或者以其他形式非法转让注册证书或者执业印章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注册造价工程师有法律、法规、规章禁止的其他行为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注册造价工程师或者其聘用单位未按照要求提供造价工程师信用档案信息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申请人隐瞒有关情况或者提供虚假材料申请工程造价咨询企业资质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以欺骗、贿赂等不正当手段取得工程造价咨询企业资质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未取得工程造价咨询企业资质从事工程造价咨询活动或者超越资质等级承接工程造价咨询业务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工程造价咨询企业新设立分支机构不备案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工程造价咨询企业跨省、自治区、直辖市承接业务不备案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工程造价咨询企业涂改、倒卖、出租、出借资质证书，或者以其他形式非法转让资质证书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工程造价咨询企业超越资质等级业务范围承接工程造价咨询业务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工程造价咨询企业同时接受招标人和投标人或两个以上投标人对同一工程项目的工程造价咨询业务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工程造价咨询企业以给予回扣、恶意压低收费等方式进行不正当竞争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工程造价咨询企业转包承接的工程造价咨询业务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擅自使用没有国家技术标准又未经审定的新技术、新材料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擅自变动或者破坏房屋建筑抗震构件、隔震装置、减震部件或者地震反应观测系统等抗震设施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未对抗震能力受损、荷载增加或者需提高抗震设防类别的房屋建筑工程，进行抗震验算、修复和加固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鉴定需抗震加固的房屋建筑工程在进行装修改造时未进行抗震加固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未经注册，擅自以注册监理工程师的名义从事工程监理及相关业务活动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注册监理工程师在执业活动中以个人名义承接业务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注册监理工程师在执业活动中涂改、倒卖、出租、出借或者以其他形式非法转让注册证书或者执业印章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注册监理工程师在执业活动中泄露执业中应当保守的秘密并造成严重后果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注册监理工程师在执业活动中超出规定执业范围或者聘用单位业务范围从事执业活动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注册监理工程师在执业活动中弄虚作假提供执业活动成果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注册监理工程师在执业活动中同时受聘于两个或者两个以上的单位，从事执业活动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注册监理工程师在执业活动中有其它违反法律、法规、规章的行为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建设单位未按照建筑节能强制性标准委托设计，擅自修改节能设计文件，明示或暗示设计单位、施工单位违反建筑节能设计强制性标准，降低工程建设质量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设计单位未按照建筑节能强制性标准进行设计,且未进行修改；两年内，累计三项工程未按照建筑节能强制性标准设计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施工单位未按照节能设计进行施工；两年内，累计三项工程未按照符合节能标准要求的设计进行施工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未取得相应的资质，擅自承担本办法规定的检测业务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检测机构隐瞒有关情况或者提供虚假材料申请资质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检测机构超出资质范围从事检测活动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检测机构涂改、倒卖、出租、出借、转让资质证书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检测机构使用不符合条件的检测人员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检测机构未按规定上报发现的违法违规行为和检测不合格事项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检测机构未按规定在检测报告上签字盖章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检测机构未按照国家有关工程建设强制性标准进行检测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检测机构档案资料管理混乱，造成检测数据无法追溯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检测机构转包检测业务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检测机构伪造检测数据，出具虚假检测报告或鉴定结论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委托方委托未取得相应资质的检测机构进行检测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委托方明示或暗示检测机构出具虚假检测报告，篡改或伪造检测报告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委托方弄虚作假送检试样</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注册工程师在执业活动中以个人名义承接业务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注册工程师在执业活动中涂改、出租、出借或者以形式非法转让注册证书或者执业印章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注册工程师在执业活动中泄露执业中应当保守的秘密并造成严重后果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注册工程师在执业活动中超出本专业规定范围或者聘用单位业务范围从事执业活动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注册工程师在执业活动中弄虚作假提供执业活动成果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注册工程师在执业活动中有其它违反法律、法规、规章的行为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取得安全生产许可证的建筑施工企业，发生重大安全事故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建筑施工企业未取得安全生产许可证擅自从事建筑施工活动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安全生产许可证有效期满未办理延期手续，继续从事建筑施工活动；逾期仍不办理延期手续，继续从事建筑施工活动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建筑施工企业转让安全生产许可证；接受转让安全生产许可证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建筑施工企业冒用安全生产许可证或使用伪造的安全生产许可证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建筑施工企业隐瞒有关情况或者提供虚假材料申请安全生产许可证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建筑施工企业以欺骗、贿赂等不正当手段取得安全生产许可证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外资建筑业企业超越资质许可的业务范围承包工程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《外商投资建筑业企业管理规定》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施工图设计文件未经审查或者审查不合格，建设单位擅自施工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《超限高层建筑工程抗震设防管理规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勘察、设计单位未按照抗震设防专项审查意见进行超限高层建筑工程勘察、设计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《超限高层建筑工程抗震设防管理规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招标人不具备自行办理施工招标事宜条件而自行招标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勘察、设计单位违反工程建设强制性标准进行勘察、设计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施工单位违反工程建设强制性标准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工程监理单位违反强制性标准规定，将不合格的建设工程以及建筑材料、建筑构配件和设备按照合格签字的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施工单位在工程竣工验收后，不向建设单位出具质量保修书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施工单位关于质量保修的内容、期限违反规定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施工单位不履行保修义务或者拖延履行保修义务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未按有关规范、标准、规定进行设计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擅自改动设计文件中安全防范设施内容的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使用未经鉴定和鉴定不合格的产品、材料、设备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安全防范设施未经验收或验收不合格而交付使用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施工工地未设置硬质密闭围挡，或者未采取覆盖、分段作业、择时施工、洒水抑尘、冲洗地面和车辆等有效防尘降尘措施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建筑土方、工程渣土、建筑垃圾未及时清运，或者未采用密闭式防尘网遮盖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随意倾倒、抛撒或者堆放生活垃圾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擅自关闭、闲置或者拆除生活垃圾处置设施、场所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工程施工单位不及时清运施工过程中产生的固体废物，造成环境污染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工程施工单位不按照环境卫生行政主管部门的规定对施工过程中产生的固体废物进行利用或者处置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必须进行招标的项目不招标；将必须进行招标的项目化整为零或者以其他任何方式规避招标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招标代理机构泄露应当保密的与招标投标活动有关的情况和资料；或者与招标人、投标人串通损害国家利益、社会公共利益或者他人合法权益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招标人以不合理的条件限制或者排斥潜在投标人；对潜在投标人实行歧视待遇；强制要求投标人组成联合体共同投标；或者限制投标人之间竞争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依法必须进行招标的项目的招标人向他人透露已获取招标文件的潜在投标人的名称、数量或者可能影响公平竞争的有关招标投标的其他情况；或者泄露标底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投标人相互串通投标或者与招标人串通投标；投标人以向招标人或者评标委员会成员行贿的手段谋取中标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投标人以他人名义投标或者以其他方式弄虚作假，骗取中标，且尚未构成犯罪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依法必须进行招标的项目，招标人与投标人就投标价格、投标方案等实质性内容进行谈判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招标人在评标委员会依法推荐的中标候选人以外确定中标人；依法必须进行招标的项目在所有投标被评标委员会否决后自行确定中标人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招标人与中标人不按照招标文件和中标人的投标文件订立合同，或者招标人、中标人订立背离合同实质性内容的协议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中标人不按照与招标人订立的合同履行义务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依法应当公开招标的项目招标人不按照规定在指定媒介发布资格预审公告或者招标公告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招标人在不同媒介发布的同一招标项目的资格预审公告或者招标公告的内容不一致，影响潜在投标人申请资格预审或者投标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依法必须进行招标的项目的招标人不按照规定发布资格预审公告或者招标公告，构成规避招标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依法应当公开招标而招标人采用邀请招标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招标文件、资格预审文件的发售、澄清、修改的时限，或者确定的提交资格预审申请文件、投标文件的时限不符合招标投标法和本条例规定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招标人接受未通过资格预审的单位或者个人参加投标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招标人接受应当拒收的投标文件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                                                                       《工程建设项目施工招标投标办法》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招标人超过规定的比例收取投标保证金、履约保证金或者不按照规定退还投标保证金及银行同期存款利息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出让或者出租资格、资质证书供他人投标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依法必须进行招标的项目的招标人不按照规定组建评标委员会，或者确定、更换评标委员会成员违反招标投标法和招标投标法实施条例规定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评标委员会成员应当回避而不回避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评标委员会成员擅离职守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评标委员会成员不按照招标文件规定的评标标准和方法评标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评标委员会成员私下接触投标人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评标委员会成员向招标人征询确定中标人的意向或者接受任何单位或者个人明示或者暗示提出的倾向或者排斥特定投标人的要求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评标委员会成员对依法应当否决的投标不提出否决意见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评标委员会成员暗示或者诱导投标人作出澄清、说明或者接受投标人主动提出的澄清、说明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评标委员会成员有其他不客观、不公正履行职务的行为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评标委员会成员收受投标人的财物或者其他好处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依法必须进行招标的项目的招标人无正当理由不发出中标通知书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依法必须进行招标的项目的招标人中标通知书发出后无正当理由改变中标结果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依法必须进行招标的项目的招标人无正当理由不与中标人订立合同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依法必须进行招标的项目的招标人在订立合同时向中标人提出附加条件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中标人无正当理由不与招标人订立合同，在签订合同时向招标人提出附加条件，或者不按照招标文件要求提交履约保证金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招标人不按照规定对异议作出答复，继续进行招标投标活动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招标人澄清、修改招标文件的时限，或者确定的提交投标文件的时限不符合规定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招标人不按照规定组建评标委员会，或者评标委员会成员的确定违反规定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招标人无正当理由未按规定发出中标通知书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中标通知书发出后招标人无正当理由改变中标结果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招标人无正当理由未按规定与中标人订立合同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招标人在订立合同时向中标人提出附加条件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投标人以他人名义投标或者以其他方式弄虚作假，骗取中标，且尚未构成犯罪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评标委员会成员违反规定，对应当否决的投标不提出否决意见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依法必须公开招标的项目招标人不按照规定在指定媒介发布资格预审公告或者招标公告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招标文件、资格预审文件的发售、澄清、修改的时限，或者确定的提交资格预审申请文件、投标文件的时限不符合招标投标法和招标投标法实施条例规定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招标人在不同媒介发布的同一招标项目的资格预审公告或者招标公告内容不一致，影响潜在投标人申请资格预审或者投标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招标人无正当理由不发出中标通知书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招标人无正当理由不与中标人订立合同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在订立合同时招标人向中标人提出附加条件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依法必须进行招标的项目而不招标的，将必须进行招标的项目化整为零或者以其他任何方式规避招标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招标代理机构违法泄露应当保密的与招标投标活动有关的情况和资料，或者与招标人、投标人串通损害国家利益、社会公共利益或者他人合法权益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招标人以不合理的条件限制或者排斥潜在投标人，对潜在投标人实行歧视待遇，强制要求投标人组成联合体共同投标，或者限制投标人之间竞争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依法必须进行招标项目的招标人向他人透露已获取招标文件的潜在投标人的名称、数量或者可能影响公平竞争的有关招标投标的其他情况，或者泄露标底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招标人依法应当公开招标而采用邀请招标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投标人相互串通投标或者与招标人串通投标，投标人以向招标人或者评标委员会成员行贿的手段谋取中标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投标人以他人名义投标或者以其他方式弄虚作假，骗取中标的，尚未构成犯罪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依法必须进行招标的项目，招标人违法与投标人就投标价格、投标方案等实质性内容进行谈判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中标人将中标项目转让给他人，将中标项目肢解后分别转让给他人，违法将中标项目的部分主体、关键性工作分包给他人，或者分包人再次分包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中标人不按照与招标人订立的合同履行义务，情节严重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开山、采石、开矿等破坏传统格局和历史风貌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占用保护规划确定保留的园林绿地、河湖水系、道路等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修建生产、储存爆炸性、易燃性、放射性、毒害性、腐蚀性物品的工厂、仓库等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在历史建筑上刻划、涂污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在改变园林绿地、河湖水系等自然状态的活动中，对传统格局、历史风貌或者历史建筑构成破坏性影响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在核心保护范围内进行影视摄制、举办大型群众性活动中，对传统格局、历史风貌或者历史建筑构成破坏性影响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在其他影响传统格局、历史风貌或者历史建筑的活动中，构成破坏性影响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损坏或者擅自迁移、拆除历史建筑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擅自设置、移动、涂改或者损毁历史文化街区、名镇、名村标志牌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损坏或者擅自迁移、拆除历史建筑，逾期不恢复原状或者不采取其他补救措施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损坏城市树木花草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擅自砍伐城市树木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砍伐、擅自迁移古树名木或者因养护不善致使古树名木受到损伤或者死亡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损坏城市绿化设施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未经同意擅自占用城市绿化用地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不服从公共绿地管理单位管理的商业、服务摊点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在城市绿地范围内进行拦河截溪、取土采石、设置垃圾堆场、排放污水以及其他对城市生态环境造成破坏活动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随地吐痰、便溺，乱扔果皮、纸屑和烟头等废弃物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在城市建筑物、设施以及树木上涂写、刻画或者未经批准张挂、张贴宣传品等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在城市人民政府规定的街道的临街建筑物的阳台和窗外，堆放、吊挂有碍市容的物品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不按规定的时间、地点、方式，倾倒垃圾、粪便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不履行卫生责任区清扫保洁义务或者不按规定清运、处理垃圾和粪便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运输液体、散装货物不作密封、包扎、覆盖，造成泄漏、遗撒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临街工地不设置护栏或者不作遮挡、停工场地不及时整理并作必要覆盖或者竣工后不及时清理和平整场地，影响市容和环境卫生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饲养家畜家禽影响市容和环境卫生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未经城市人民政府市容环境卫生行政主管部门同意，擅自设置大型户外广告，影响市容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未经城市人民政府市容环境卫生行政主管部门批准，擅自在街道两侧和公共场地堆放物料，搭建建筑物、构筑物或者其他设施，影响市容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未经批准擅自拆除环境卫生设施或者未按批准的拆迁方案进行拆迁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不符合城市容貌标准、环境卫生标准的建筑物或者设施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损坏各类环境卫生设施及其附属设施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单位和个人未按规定缴纳城市生活垃圾处理费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未按照城市生活垃圾治理规划和环境卫生设施标准配套建设城市生活垃圾收集设施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城市生活垃圾处置设施未经验收或者验收不合格投入使用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未经批准擅自关闭、闲置或者拆除城市生活垃圾处置设施、场所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随意倾倒、抛洒、堆放城市生活垃圾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未经批准从事城市生活垃圾经营性清扫、收集、运输或者处置活动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从事城市生活垃圾经营性清扫、收集、运输的企业在运输过程中沿途丢弃、遗撒生活垃圾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从事生活垃圾经营性清扫、收集、运输的企业不按照环境卫生作业标准和作业规范，在规定的时间内及时清扫、收运城市生活垃圾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从事生活垃圾经营性清扫、收集、运输的企业未将收集的城市生活垃圾运到直辖市、市、县人民政府建设（环境卫生）主管部门认可的处置场所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从事生活垃圾经营性清扫、收集、运输的企业用于收集、运输城市生活垃圾的车辆、船舶未做到密闭、完好和整洁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从事生活垃圾经营性清扫、收集、运输的企业未严格按照国家有关规定和技术标准，处置城市生活垃圾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从事生活垃圾经营性清扫、收集、运输的企业未按照规定处理处置过程中产生的污水、废气、废渣、粉尘等，防止二次污染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从事生活垃圾经营性清扫、收集、运输的企业未按照所在地建设（环境卫生）主管部门规定的时间和要求接收生活垃圾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从事生活垃圾经营性清扫、收集、运输的企业未按照要求配备城市生活垃圾处置设备、设施，保证设施、设备运行良好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从事生活垃圾经营性清扫、收集、运输的企业未保证城市生活垃圾处置站、场（厂）环境整洁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从事生活垃圾经营性清扫、收集、运输的企业未按照要求配备合格的管理人员及操作人员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从事生活垃圾经营性清扫、收集、运输的企业未对每日收运、进出场站、处置的生活垃圾进行计量，或未按照要求将统计数据和报表报送所在地建设（环境卫生）主管部门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从事城市生活垃圾经营性清扫、收集、运输的企业，未经批准擅自停业、歇业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从事城市生活垃圾经营性处置的企业，未经批准擅自停业、歇业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将建筑垃圾混入生活垃圾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将危险废物混入建筑垃圾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擅自设立弃置场受纳建筑垃圾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建筑垃圾储运消纳场受纳工业垃圾、生活垃圾和有毒有害垃圾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施工单位未及时清运工程施工过程中产生的建筑垃圾，造成环境污染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施工单位将建筑垃圾交给个人或者未经核准从事建筑垃圾运输的单位处置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处置建筑垃圾的单位在运输建筑垃圾过程中沿途丢弃、遗撒建筑垃圾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涂改、倒卖、出租、出借或者以其他形式非法转让城市建筑垃圾处置核准文件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未经核准擅自处置建筑垃圾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处置超出核准范围的建筑垃圾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任何单位和个人随意倾倒、抛撒或者堆放建筑垃圾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擅自在动物园内摆摊设点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《城市动物园管理规定》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擅自占用城市公厕规划用地或者改变其性质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建设单位经批准使用的土地含有城市公厕规划用地的，建设单位未按照城市公厕规划和城市人民政府环境卫生行政主管部门的要求修建公厕，并向社会开放使用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未按分工负责城市公厕的建设和维修管理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影剧院、商店、饭店、车站等公共建筑没有附设公厕或者原有公厕及其卫生设施不足的，未按照城市人民政府环境卫生行政主管部门的要求进行新建、扩建或者改造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公共建筑附设的公厕及其卫生设施的设计和安装，不符合国家和地方的有关标准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对于损坏严重或者年久失修的公厕，有关单位未按照分工负责建设和维修管理，或在拆除重建时未先建临时公厕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独立设置的城市公厕竣工时，建设单位未通知城市人民政府环境卫生主管部门或者其指定的部门参加验收；将验收不合格的独立设置的城市公厕交付使用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在公厕内乱丢垃圾、污物，随地吐痰，乱涂乱画</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破坏公厕设施、设备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未经批准擅自占用或者改变公厕使用性质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在运输过程中沿途丢弃、遗撒生活垃圾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对涉嫌从事无照经营的场所，予以查封；对涉嫌用于无照经营的工具、设备、原材料、产品（商品）等物品，予以查封、扣押</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《无证无照经营查处办法》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主次干道两侧和临街的建筑物、构筑物容貌不符合城市容貌标准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利用公共设施、景观设施或者管线晾晒衣服、摆放物品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经营者擅自超出门、窗、外墙进行店外经营、作业或者摆设商品、桌椅、广告牌等物品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擅自占用城市道路、桥梁、地下通道、公共停车位、公共广场、公共绿地以及其他公共场所设摊经营、兜售物品或者进行文艺表演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擅自在城市建筑物、设施上张挂、张贴宣传品等，在建筑物、构筑物、城市道路、树木以及其他户外设施或者公共场所涂写、刻画，或者经批准设置临时宣传品到期后未及时清理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往他人交通工具上投放印刷品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随地吐痰、便溺，乱扔果皮、果核、纸屑、烟蒂、玻璃瓶、饮料罐、口香糖、包装袋或者乱倒垃圾、渣土、污水、污油、粪便等废弃物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乱扔动物尸体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从建筑物、机动车内向外抛掷垃圾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在城市道路或者公共场所从事车辆清洗活动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非因教学、科研等特殊需要，在城区内饲养鸡、鸭、鹅、兔、羊、猪等家禽家畜或者饲养信鸽影响周围市容和环境卫生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随意倾倒、抛撒、焚烧或者堆放生活垃圾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未将大件垃圾按照规定时间投放到指定场所，或者将大件垃圾投放到生活垃圾收集点或者收集容器内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未在显著位置公示配套建设的生活垃圾中转站、公共厕所等公共环境卫生设施，未将配套建设的公共环境卫生设施在规划总平面图、销售广告、建设项目沙盘等载体予以明确标示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损坏环境卫生设施、擅自拆除、迁移环境卫生设施，或者未按规定拆除、迁移环境卫生设施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未取得设计、施工资格或者未按照资质等级承担城市道路的设计、施工任务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未按照城市道路设计、施工技术规范设计、施工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未按照设计图纸施工或者擅自修改图纸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擅自使用未经验收或者验收不合格的城市道路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承担城市道路养护、维修的单位未定期对城市道路进行养护、维修或者未按照规定的期限修复竣工，并拒绝接受市政工程行政主管部门监督、检查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未对设在城市道路上的各种管线的检查井、箱盖或者城市道路附属设施的缺损及时补缺或者修复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未在城市道路施工现场设置明显标志和安全防围设施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占用城市道路期满或者挖掘城市道路后，不及时清理现场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依附于城市道路建设各种管线、杆线等设施，不按照规定办理批准手续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紧急抢修埋设在城市道路下的管线，不按照规定补办批准手续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未按照批准的位置、面积、期限占用或者挖掘城市道路，或者需要移动位置、扩大面积、延长时间，未提前办理变更审批手续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擅自占用或者挖掘城市道路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履带车、铁轮车或者超重、超高、超长车辆擅自在城市道路上行驶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机动车在桥梁或者非指定的城市道路上试刹车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擅自在城市道路上建设建筑物、构筑物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在桥梁上架设压力在4公斤/平方厘米（0.4兆帕）以上的煤气管道、10千伏以上的高压电力线和其他易燃易爆管线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擅自在桥梁或者路灯设施上设置广告牌或者其他挂浮物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其他损害、侵占城市道路的行为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未取得燃气经营许可证从事燃气经营活动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燃气经营者不按照燃气经营许可证的规定从事燃气经营活动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燃气经营者拒绝向市政燃气管网覆盖范围内符合用气条件的单位或者个人供气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燃气经营者倒卖、抵押、出租、出借、转让、涂改燃气经营许可证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燃气经营者未履行必要告知义务擅自停止供气、调整供气量，或者未经审批擅自停业或者歇业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燃气经营者向未取得燃气经营许可证的单位或者个人提供用于经营的燃气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燃气经营者在不具备安全条件的场所储存燃气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燃气经营者要求燃气用户购买其指定的产品或者接受其提供的服务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燃气经营者未向燃气用户持续、稳定、安全供应符合国家质量标准的燃气，或者未对燃气用户的燃气设施定期进行安全检查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擅自为非自有气瓶充装燃气或者销售未经许可的充装单位充装的瓶装燃气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销售充装单位擅自为非自有气瓶充装的瓶装燃气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冒用其他企业名称或者标识从事燃气经营、服务活动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燃气用户及相关单位和个人擅自操作公用燃气阀门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燃气用户及相关单位和个人将燃气管道作为负重支架或者接地引线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燃气用户及相关单位和个人安装、使用不符合气源要求的燃气燃烧器具</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燃气用户及相关单位和个人擅自安装、改装、拆除户内燃气设施和燃气计量装置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燃气用户及相关单位和个人在不具备安全条件的场所使用、储存燃气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燃气用户及相关单位和个人改变燃气用途或者转供燃气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未设立售后服务站点或者未配备经考核合格的燃气燃烧器具安装、维修人员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燃气燃烧器具的安装、维修不符合国家有关标准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在燃气设施保护范围内进行爆破、取土等作业或者动用明火</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在燃气设施保护范围内倾倒、排放腐蚀性物质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在燃气设施保护范围内放置易燃易爆物品或者种植深根植物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在燃气设施保护范围内未与燃气经营者共同制定燃气设施保护方案，采取相应的安全保护措施，从事敷设管道、打桩、顶进、挖掘、钻探等可能影响燃气设施安全活动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侵占、毁损、擅自拆除、移动燃气设施或者擅自改动市政燃气设施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毁损、覆盖、涂改、擅自拆除或者移动燃气设施安全警示标志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城市自来水供水企业或者自建设施对外供水的企业供水水质、水压不符合国家规定标准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城市自来水供水企业或者自建设施对外供水的企业擅自停止供水或者来履行停水通知义务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城市自来水供水企业或者自建设施对外供水的企业未按照规定检修供水设施或者在供水设施发生故障后未及时抢修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无证或者超越资质证书规定的经营范围进行城市供水工程的设计或者施工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未按国家规定的技术标准和规范进行城市供水工程的设计或者施工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违反城市供水发展规划及其年度建设计划兴建城市供水工程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未按规定缴纳水费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盗用或者转供城市公共供水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在规定的城市公共供水管道及其附属设施的安全保护范围内进行危害供水设施安全活动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擅自将自建设施供水管网系统与城市公共供水管网系统连接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产生或者使用有毒有害物质的单位将其生产用水管网系统与城市公共供水管网系统直接连接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在城市公共供水管道上直接装泵抽水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擅自拆除、改装或者迁移城市公共供水设施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在雨水、污水分流地区，建设单位、施工单位将雨水管网、污水管网相互混接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城镇排水与污水处理设施覆盖范围内的排水单位和个人，未按照国家有关规定将污水排入城镇排水设施，或者在雨水、污水分流地区将污水排入雨水管网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排水户未取得污水排入排水管网许可证向城镇排水设施排放污水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排水户不按照污水排入排水管网许可证的要求排放污水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城镇污水处理设施维护运营单位未按照国家有关规定检测进出水水质，或者未报送污水处理水质和水量、主要污染物削减量等信息和生产运营成本等信息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城镇污水处理设施维护运营单位擅自停运城镇污水处理设施，未按照规定事先报告或者采取应急处理措施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擅自倾倒、堆放、丢弃、遗撒污泥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排水单位或者个人不缴纳污水处理费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城镇排水与污水处理设施维护运营单位未按照国家有关规定履行日常巡查、维修和养护责任，保障设施安全运行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城镇排水与污水处理设施维护运营单位未及时采取防护措施、组织事故抢修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城镇排水与污水处理设施维护运营单位因巡查、维护不到位，导致窨井盖丢失、损毁，造成人员伤亡和财产损失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从事危及城镇排水与污水处理设施安全的活动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有关单位未与施工单位、设施维护运营单位等共同制定设施保护方案，并采取相应的安全防护措施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擅自拆除、改动城镇排水与污水处理设施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城市的新建、扩建和改建工程项目未按规定配套建设节约用水设施或者节约用水设施经验收不合格</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逾期不缴纳超计划用水加价水费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拒不安装生活用水分户计量水表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城镇污水集中处理设施的运营单位或者污泥处理处置单位，处理处置后的污泥不符合国家标准，或者对污泥去向等未进行记录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《中华人民共和国水污染防治法》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城市自来水供水企业和自建设施对外供水的企业新建、改建、扩建的饮用水供水工程项目未经建设行政主管部门设计审查和竣工验收而擅自建设并投入使用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《生活饮用水卫生监督管理办法》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城市自来水供水企业和自建设施对外供水的企业未按规定进行日常性水质检验工作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《生活饮用水卫生监督管理办法》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特许经营者违反法律、行政法规和国家强制性标准，严重危害公共利益，或者造成重大质量、安全事故或者突发环境事件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《基础设施和公用事业特许经营管理办法》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以欺骗、贿赂等不正当手段取得特许经营项目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《基础设施和公用事业特许经营管理办法》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在城镇排水与污水处理设施覆盖范围内，未按照国家有关规定将污水排入城镇排水设施，或者在雨水、污水分流地区将污水排入雨水管网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排水户未取得排水许可，向城镇排水设施排放污水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排水户未按照排水许可证的要求，向城镇排水设施排放污水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排水户名称、法定代表人等其他事项变更，未按规定及时向城镇排水主管部门申请办理变更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排水户以欺骗、贿赂等不正当手段取得排水许可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从事危及城镇排水设施安全的活动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排水户违反规定，拒不接受水质、水量监测或者妨碍、阻挠城镇排水主管部门依法监督检查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不具备相应资质的单位和不具备相应执业资格证书的专业技术人员从事城市照明工程勘察、设计、施工、监理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在城市景观照明中有过度照明等超能耗标准行为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在城市照明设施上刻划、涂污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在城市照明设施安全距离内，擅自植树、挖坑取土或者设置其他物体，或者倾倒含酸、碱、盐等腐蚀物或者具有腐蚀性的废渣、废液</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擅自在城市照明设施上张贴、悬挂、设置宣传品、广告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擅自在城市照明设施上架设线缆、安置其它设施或者接用电源</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擅自迁移、拆除、利用城市照明设施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其他可能影响城市照明设施正常运行的行为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擅自采用没有工程建设标准又未经核准的新技术、新材料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擅自变动或者破坏市政公用设施的防灾设施、抗震抗风构件、隔震或者振动控制装置、安全监测系统、健康监测系统、应急自动处置系统以及地震反应观测系统等设施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未对经鉴定不符合抗震要求的市政公用设施进行改造、改建或者抗震加固，又未限制使用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供水水质达不到国家有关标准规定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城市供水单位、二次供水管理单位未按规定进行水质检测或者委托检测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对于实施生产许可证管理的净水剂及与制水有关的材料等，选用未获证企业产品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城市供水单位使用未经检验或者检验不合格的净水剂及有关制水材料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城市供水单位使用未经检验或者检验不合格的城市供水设备、管网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二次供水管理单位，未按规定对各类储水设施进行清洗消毒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城市供水单位、二次供水管理单位隐瞒、缓报、谎报水质突发事件或者水质信息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有危害城市供水水质安全的其他行为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城市供水单位未制定城市供水水质突发事件应急预案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城市供水单位未按规定上报水质报表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建设单位未移交地下管线工程档案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《城市地下管线工程档案管理办法》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地下管线专业管理单位未移交地下管线工程档案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《城市地下管线工程档案管理办法》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获得特许经营权的企业擅自停业、歇业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以欺骗、贿赂等不正当手段获得特许经营权</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城市桥梁产权人或者委托管理人未按照规定编制城市桥梁养护维修的中长期规划和年度计划，或者未经批准即实施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城市桥梁产权人或者委托管理人未按照规定设置相应的标志，并保持其完好、清晰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城市桥梁产权人或者委托管理人未按照规定委托具有相应资格的机构对城市桥梁进行检测评估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城市桥梁产权人或者委托管理人未按照规定制定城市桥梁的安全抢险预备方案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城市桥梁产权人或者委托管理人未按照规定对城市桥梁进行养护维修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单位或者个人擅自在城市桥梁上架设各类管线、设置广告等辅助物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单位和个人擅自在城市桥梁施工控制范围内从事河道疏浚、挖掘、打桩、地下管道顶进、爆破等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经过检测评估，确定城市桥梁的承载能力下降，但尚未构成危桥的，城市桥梁产权人和委托管理人未及时设置警示标志，或未立即采取加固等安全措施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未取得建设工程规划许可证或者未按照建设工程规划许可证的规定进行建设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建设单位或者个人未经批准进行临时建设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建设单位或者个人未按照批准内容进行临时建设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临时建筑物、构筑物超过批准期限建设单位或者个人不拆除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城乡规划主管部门作出责令停止建设或者限期拆除的决定后，当事人不停止建设或者逾期不拆除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　</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凡不符合城市容貌标准、环境卫生标准的建筑物或者设施，逾期未改造或者未拆除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住宅物业的建设单位未通过招投标的方式选聘物业服务企业或者未经批准，擅自采用协议方式选聘物业服务企业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建设单位擅自处分属于业主的物业共用部位、共用设施设备的所有权或者使用权</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逾期仍不移交有关资料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物业服务企业将一个物业管理区域内的全部物业管理一并委托给他人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挪用专项维修资金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建设单位在物业管理区域内不按照规定配置必要的物业管理用房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未经业主大会同意，物业服务企业擅自改变物业管理用房的用途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擅自改变物业管理区域内按照规划建设的公共建筑和共用设施用途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擅自占用、挖掘物业管理区域内道路、场地，损害业主共同利益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擅自利用物业共用部位、共用设施设备进行经营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住房公积金管理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单位不办理住房公积金缴存登记或者不为本单位职工办理住房公积金账户设立手续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《住房公积金管理条例》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住房公积金管理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单位逾期不缴或者少缴住房公积金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《住房公积金管理条例》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建筑施工噪音污染。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《中华人民共和国环境噪声污染防治法》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经营中的文化娱乐场所边界噪声不超过国家规定的环境噪声排放标准；在商业经营活动中使用空调器、冷却塔等产生的边界噪声超过国家规定的环境噪声排放标准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《广东省实施&lt;中华人民共和国环境噪声污染防治法&gt;办法》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餐饮服务业油烟污染、露天烧烤污染。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城市焚烧沥青塑料垃圾等烟尘和恶臭污染、露天焚烧秸秆落叶等烟尘污染、燃放烟花爆竹污染。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在居民住宅楼、未配套设立专用烟道的商住综合楼以及商住综合楼内与居住层相邻的商业楼层内新建、改建、扩建产生油烟、异味、废气的餐饮服务项目。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封堵、改变专用烟道和向城市地下排水管道排放油烟。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《广东省大气污染防治条例》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贮存水泥、石灰、石膏、砂土等的场所未密闭水泥、石灰、石膏、砂土等易产生扬尘的物料的；或对不能密闭的易产生扬尘的物料，未设置不低于堆放物高度的严密围挡；填埋场和消纳场未采取有效措施防治扬尘污染；装卸物料未采取密闭或者喷淋等方式控制扬尘排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拒不执行停止工地土石方作业或者建筑物拆除施工等重污染天气应急措施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拒不配合负有扬尘污染防治监督管理职责的部门进行现场检查，或者在检查中弄虚作假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未经城市管理主管部门同意，擅自设置大型户外广告设施，影响市容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设置人未按照城市管理主管部门准予同意的书面决定的要求设置大型户外广告设施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设置人未在设置期限届满后十日内拆除大型户外广告设施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设置非大型户外广告设施不符合户外广告设施设置专项规划要求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未在设置期限届满后三日内拆除临时性户外广告设施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未按照招牌设置规范设置招牌的，经城市管理主管部门责令限期改正且逾期不改正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户外广告设施设置人未履行相关维护管理责任，经城市管理主管部门责令限期改正且逾期不改正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招牌设置人未履行相关维护管理责任，经城市管理主管部门责令限期改正且逾期不改正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bl>
    <w:p>
      <w:pPr>
        <w:rPr>
          <w:rFonts w:ascii="仿宋" w:hAnsi="仿宋" w:eastAsia="仿宋"/>
        </w:rPr>
      </w:pPr>
    </w:p>
    <w:sectPr>
      <w:pgSz w:w="16838" w:h="11906" w:orient="landscape"/>
      <w:pgMar w:top="851"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1C"/>
    <w:rsid w:val="0004607D"/>
    <w:rsid w:val="00065868"/>
    <w:rsid w:val="00072141"/>
    <w:rsid w:val="00132651"/>
    <w:rsid w:val="001B6B67"/>
    <w:rsid w:val="001D2F6C"/>
    <w:rsid w:val="002C48A1"/>
    <w:rsid w:val="002F31D3"/>
    <w:rsid w:val="0031144D"/>
    <w:rsid w:val="003B37A1"/>
    <w:rsid w:val="003C2011"/>
    <w:rsid w:val="0040249E"/>
    <w:rsid w:val="00423C92"/>
    <w:rsid w:val="004B0BF8"/>
    <w:rsid w:val="00524954"/>
    <w:rsid w:val="00536841"/>
    <w:rsid w:val="00574D12"/>
    <w:rsid w:val="00597441"/>
    <w:rsid w:val="005D2827"/>
    <w:rsid w:val="005E42CD"/>
    <w:rsid w:val="005E7F19"/>
    <w:rsid w:val="00623922"/>
    <w:rsid w:val="00693C10"/>
    <w:rsid w:val="007A7AC3"/>
    <w:rsid w:val="00835916"/>
    <w:rsid w:val="008805FF"/>
    <w:rsid w:val="008C7243"/>
    <w:rsid w:val="008E65A7"/>
    <w:rsid w:val="009101A9"/>
    <w:rsid w:val="00A23A6A"/>
    <w:rsid w:val="00A64C3D"/>
    <w:rsid w:val="00A7641C"/>
    <w:rsid w:val="00AE48CA"/>
    <w:rsid w:val="00BB5E68"/>
    <w:rsid w:val="00C955EF"/>
    <w:rsid w:val="00CC4477"/>
    <w:rsid w:val="00CD0EFE"/>
    <w:rsid w:val="00CF5417"/>
    <w:rsid w:val="00DC7DB7"/>
    <w:rsid w:val="00DF0E58"/>
    <w:rsid w:val="00E24FB8"/>
    <w:rsid w:val="00E42A6E"/>
    <w:rsid w:val="00F02AE6"/>
    <w:rsid w:val="00F520BD"/>
    <w:rsid w:val="00F60A01"/>
    <w:rsid w:val="00F919A6"/>
    <w:rsid w:val="00FD16D6"/>
    <w:rsid w:val="0ECE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6"/>
    <w:unhideWhenUsed/>
    <w:uiPriority w:val="99"/>
    <w:pPr>
      <w:tabs>
        <w:tab w:val="center" w:pos="4153"/>
        <w:tab w:val="right" w:pos="8306"/>
      </w:tabs>
      <w:snapToGrid w:val="0"/>
      <w:jc w:val="left"/>
    </w:pPr>
    <w:rPr>
      <w:sz w:val="18"/>
      <w:szCs w:val="18"/>
    </w:rPr>
  </w:style>
  <w:style w:type="paragraph" w:styleId="3">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954F72"/>
      <w:u w:val="single"/>
    </w:rPr>
  </w:style>
  <w:style w:type="character" w:styleId="7">
    <w:name w:val="Hyperlink"/>
    <w:basedOn w:val="5"/>
    <w:semiHidden/>
    <w:unhideWhenUsed/>
    <w:uiPriority w:val="99"/>
    <w:rPr>
      <w:color w:val="0563C1"/>
      <w:u w:val="single"/>
    </w:rPr>
  </w:style>
  <w:style w:type="paragraph" w:customStyle="1" w:styleId="8">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
    <w:name w:val="font6"/>
    <w:basedOn w:val="1"/>
    <w:uiPriority w:val="0"/>
    <w:pPr>
      <w:widowControl/>
      <w:spacing w:before="100" w:beforeAutospacing="1" w:after="100" w:afterAutospacing="1"/>
      <w:jc w:val="left"/>
    </w:pPr>
    <w:rPr>
      <w:rFonts w:ascii="宋体" w:hAnsi="宋体" w:eastAsia="宋体" w:cs="宋体"/>
      <w:kern w:val="0"/>
      <w:sz w:val="18"/>
      <w:szCs w:val="18"/>
      <w:u w:val="single"/>
    </w:rPr>
  </w:style>
  <w:style w:type="paragraph" w:customStyle="1" w:styleId="10">
    <w:name w:val="font7"/>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14">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宋体" w:cs="Arial"/>
      <w:kern w:val="0"/>
      <w:sz w:val="18"/>
      <w:szCs w:val="18"/>
    </w:rPr>
  </w:style>
  <w:style w:type="character" w:customStyle="1" w:styleId="15">
    <w:name w:val="页眉 Char"/>
    <w:basedOn w:val="5"/>
    <w:link w:val="3"/>
    <w:uiPriority w:val="99"/>
    <w:rPr>
      <w:sz w:val="18"/>
      <w:szCs w:val="18"/>
    </w:rPr>
  </w:style>
  <w:style w:type="character" w:customStyle="1" w:styleId="16">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275</Pages>
  <Words>42742</Words>
  <Characters>243635</Characters>
  <Lines>2030</Lines>
  <Paragraphs>571</Paragraphs>
  <TotalTime>94</TotalTime>
  <ScaleCrop>false</ScaleCrop>
  <LinksUpToDate>false</LinksUpToDate>
  <CharactersWithSpaces>285806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2020-11-23T04:59:00Z</dcterms:created>
  <dc:creator>朱少玲</dc:creator>
  <cp:lastModifiedBy>Administrator</cp:lastModifiedBy>
  <dcterms:modified xsi:type="dcterms:W3CDTF">2020-12-07T08:51:07Z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