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GNjZmFjY2EwY2EwNzk0MmExNDE0NmU3NDM1YjcifQ=="/>
  </w:docVars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072A514B"/>
    <w:rsid w:val="12C57F83"/>
    <w:rsid w:val="223235C6"/>
    <w:rsid w:val="38382F68"/>
    <w:rsid w:val="565400AE"/>
    <w:rsid w:val="581A0A95"/>
    <w:rsid w:val="6EA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2789</Words>
  <Characters>2821</Characters>
  <Lines>32</Lines>
  <Paragraphs>9</Paragraphs>
  <TotalTime>2</TotalTime>
  <ScaleCrop>false</ScaleCrop>
  <LinksUpToDate>false</LinksUpToDate>
  <CharactersWithSpaces>4295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{userName}</cp:lastModifiedBy>
  <dcterms:modified xsi:type="dcterms:W3CDTF">2023-05-30T00:55:38Z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21B553F818564F7B9F9FC506E39766DC_12</vt:lpwstr>
  </property>
</Properties>
</file>