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eastAsia" w:ascii="Times New Roman" w:hAnsi="Times New Roman" w:eastAsia="方正黑体_GBK" w:cs="方正黑体_GBK"/>
          <w:b w:val="0"/>
          <w:i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b w:val="0"/>
          <w:i w:val="0"/>
          <w:sz w:val="32"/>
          <w:szCs w:val="32"/>
          <w:lang w:val="en-US" w:eastAsia="zh-CN"/>
        </w:rPr>
        <w:t>2</w:t>
      </w:r>
    </w:p>
    <w:p>
      <w:pPr>
        <w:spacing w:beforeLines="0" w:afterLines="0" w:line="560" w:lineRule="exact"/>
        <w:rPr>
          <w:rFonts w:hint="eastAsia" w:ascii="Times New Roman" w:hAnsi="Times New Roman" w:eastAsia="方正黑体_GBK" w:cs="方正黑体_GBK"/>
          <w:b w:val="0"/>
          <w:i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苍城镇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重大事故隐患专项排查整治2023行动重点工作任务总体清单</w:t>
      </w:r>
    </w:p>
    <w:p>
      <w:pPr>
        <w:spacing w:beforeLines="0" w:afterLines="0" w:line="560" w:lineRule="exact"/>
        <w:ind w:firstLine="28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填报单位：___________                                                 时间：</w:t>
      </w:r>
      <w:r>
        <w:rPr>
          <w:rFonts w:hint="eastAsia" w:ascii="Times New Roman" w:hAnsi="Times New Roman" w:eastAsia="仿宋" w:cs="仿宋"/>
          <w:b w:val="0"/>
          <w:i w:val="0"/>
          <w:sz w:val="32"/>
          <w:szCs w:val="28"/>
        </w:rPr>
        <w:t>2023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tbl>
      <w:tblPr>
        <w:tblStyle w:val="5"/>
        <w:tblW w:w="13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0624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重点工作任务内容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i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.制定方案</w:t>
            </w:r>
          </w:p>
        </w:tc>
        <w:tc>
          <w:tcPr>
            <w:tcW w:w="10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各安委会有关成员单位（负有安全监管职责的部门、负有行业管理职责的部门）要根据《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苍城镇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重大事故隐患专项排查整治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行动总体方案》（以下简称《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总体方案》）制定印发专项行动方案，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i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.动员部署</w:t>
            </w:r>
          </w:p>
        </w:tc>
        <w:tc>
          <w:tcPr>
            <w:tcW w:w="10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各安委会有关成员单位（负有安全监管职责的部门、负有行业管理职责的部门）要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召开专题会议进行动员部署，要专题学习国务院安委会安全生产十五条硬措施和广东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条具体措施，逐条对照狠抓落实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要在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日前以各种方式将本次整治的重点内容、重大事故隐患判定标准、重点检查事项通知传达到本行业领域企业单位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确保所有各类企业单位在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月底前开展自查自改，建立安全生产重大事故隐患台账。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i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.宣贯讲解</w:t>
            </w:r>
          </w:p>
        </w:tc>
        <w:tc>
          <w:tcPr>
            <w:tcW w:w="10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各安委会有关成员单位（负有安全监管职责的部门、负有行业管理职责的部门）要结合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月份的“安全生产月”活动进一步向企业进行宣贯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到企业单位现场宣讲本行业领域专项行动方案。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i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.建数据库</w:t>
            </w:r>
          </w:p>
        </w:tc>
        <w:tc>
          <w:tcPr>
            <w:tcW w:w="10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各安委会有关成员单位（负有安全监管职责的部门、负有行业管理职责的部门）要建立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行业领域的数据库，每月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日前报送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安委办（参照附件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表格报送）。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i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.定期调度</w:t>
            </w:r>
          </w:p>
        </w:tc>
        <w:tc>
          <w:tcPr>
            <w:tcW w:w="10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各安委会有关成员单位（负有安全监管职责的部门、负有行业管理职责的部门）按《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总体方案》的《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苍城镇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重大事故隐患专项排查整治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行动进展情况调度表》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调度表自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月份开始上报，每月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日前上报累计情况，首报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日前完成。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i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.专题培训</w:t>
            </w:r>
          </w:p>
        </w:tc>
        <w:tc>
          <w:tcPr>
            <w:tcW w:w="10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镇安委办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要利用企业自查自改阶段的时间，在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日前集中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对负有安全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监管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职责部门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执法人员开展安全生产专题培训。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镇安委办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要加强基层网格员安全培训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重点学习重大事故隐患判定标准、重点执法检查事项及相关法律法规标准。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i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.监管执法</w:t>
            </w:r>
          </w:p>
        </w:tc>
        <w:tc>
          <w:tcPr>
            <w:tcW w:w="10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各安委会有关成员单位要精准严格执法，要对重点行业、重点企业采取“送法上门+全面体检”方式开展帮扶指导。对未取得特种作业操作证书的人员，及时组织培训和考核发证服务，建立安全监管执法责任倒查机制，开展约谈、通报，创新实施联合执法、信用监管、“互联网+监管”等手段方式，切实提升监管执法效能。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i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.定期通报</w:t>
            </w:r>
          </w:p>
        </w:tc>
        <w:tc>
          <w:tcPr>
            <w:tcW w:w="10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各安委会有关成员单位（负有安全监管职责的部门、负有行业管理职责的部门）要收集企业整改进度，每月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</w:rPr>
              <w:t>27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日前报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安委办，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安委办次月通报整治进展情况。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i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.提升专业</w:t>
            </w:r>
          </w:p>
        </w:tc>
        <w:tc>
          <w:tcPr>
            <w:tcW w:w="10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全面构建条块结合的监管模式，充分运用党建引领基层治理成果，督促各行业监管部门将专业技术力量下沉网格，建立健全安全生产网格体系（简称“安网格”），同时加强业务培训，提升行业和属地发现重大事故隐患的能力和水平。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i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.督导检查</w:t>
            </w:r>
          </w:p>
        </w:tc>
        <w:tc>
          <w:tcPr>
            <w:tcW w:w="10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安委会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专项行动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领导小组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每月要组织好对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负有安全监管职责的部门、负有行业管理职责的部门进行专项督查，确保重大事故隐患排查整治工作取得切实成效。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i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.定期总结</w:t>
            </w:r>
          </w:p>
        </w:tc>
        <w:tc>
          <w:tcPr>
            <w:tcW w:w="10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各安委会有关成员单位（负有安全监管职责的部门、负有行业管理职责的部门）要及时总结推广本部门的典型经验做法，以及专项行动阶段性落实情况分别于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日、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日前报送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安委会办公室。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ZTIzMjljYzUzZDdlODQ1MGRmZGRiM2Q4Mjk4YWMifQ=="/>
  </w:docVars>
  <w:rsids>
    <w:rsidRoot w:val="37255715"/>
    <w:rsid w:val="3725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="120" w:afterLines="0"/>
    </w:pPr>
    <w:rPr>
      <w:rFonts w:hint="eastAsia"/>
      <w:sz w:val="32"/>
      <w:szCs w:val="32"/>
    </w:rPr>
  </w:style>
  <w:style w:type="paragraph" w:styleId="3">
    <w:name w:val="Title"/>
    <w:basedOn w:val="1"/>
    <w:next w:val="1"/>
    <w:unhideWhenUsed/>
    <w:qFormat/>
    <w:uiPriority w:val="99"/>
    <w:pPr>
      <w:spacing w:beforeLines="0" w:afterLines="0"/>
      <w:jc w:val="center"/>
      <w:textAlignment w:val="baseline"/>
    </w:pPr>
    <w:rPr>
      <w:rFonts w:hint="default" w:ascii="Cambria" w:hAnsi="Cambria"/>
      <w:b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1233</Words>
  <Characters>1288</Characters>
  <Lines>0</Lines>
  <Paragraphs>0</Paragraphs>
  <TotalTime>1</TotalTime>
  <ScaleCrop>false</ScaleCrop>
  <LinksUpToDate>false</LinksUpToDate>
  <CharactersWithSpaces>1343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2023-07-10T09:45:00Z</dcterms:created>
  <dc:creator>WPS_1568089472</dc:creator>
  <cp:lastModifiedBy>WPS_1568089472</cp:lastModifiedBy>
  <dcterms:modified xsi:type="dcterms:W3CDTF">2023-07-10T09:51:03Z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A8C17CD99BEB4642B966382282D67B6C_11</vt:lpwstr>
  </property>
</Properties>
</file>