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i w:val="0"/>
          <w:sz w:val="32"/>
          <w:szCs w:val="32"/>
          <w:lang w:val="en-US" w:eastAsia="zh-CN"/>
        </w:rPr>
        <w:t>3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苍城镇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重大事故隐患专项排查整治2023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行动进展情况调度表</w:t>
      </w:r>
    </w:p>
    <w:p>
      <w:pPr>
        <w:overflowPunct w:val="0"/>
        <w:spacing w:line="280" w:lineRule="exact"/>
        <w:jc w:val="both"/>
        <w:textAlignment w:val="center"/>
        <w:rPr>
          <w:rFonts w:hint="eastAsia" w:ascii="宋体" w:hAnsi="宋体" w:eastAsia="黑体" w:cs="黑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bidi="ar"/>
        </w:rPr>
        <w:t xml:space="preserve">填报单位：___________                       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bidi="ar"/>
        </w:rPr>
        <w:t>时间：</w:t>
      </w:r>
      <w:r>
        <w:rPr>
          <w:rFonts w:hint="eastAsia" w:ascii="Times New Roman" w:hAnsi="Times New Roman" w:eastAsia="黑体" w:cs="黑体"/>
          <w:b w:val="0"/>
          <w:i w:val="0"/>
          <w:color w:val="000000"/>
          <w:kern w:val="0"/>
          <w:sz w:val="24"/>
          <w:szCs w:val="24"/>
          <w:lang w:bidi="ar"/>
        </w:rPr>
        <w:t>2023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ascii="宋体" w:hAnsi="宋体" w:eastAsia="黑体" w:cs="黑体"/>
          <w:color w:val="000000"/>
          <w:kern w:val="0"/>
          <w:sz w:val="24"/>
          <w:szCs w:val="24"/>
          <w:lang w:bidi="ar"/>
        </w:rPr>
        <w:t>日</w:t>
      </w:r>
    </w:p>
    <w:tbl>
      <w:tblPr>
        <w:tblStyle w:val="4"/>
        <w:tblW w:w="9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80"/>
        <w:gridCol w:w="2767"/>
        <w:gridCol w:w="767"/>
        <w:gridCol w:w="421"/>
        <w:gridCol w:w="2835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总体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1</w:t>
            </w:r>
          </w:p>
        </w:tc>
        <w:tc>
          <w:tcPr>
            <w:tcW w:w="276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企业自查发现的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重大事故隐患（个）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企业自查发现重大事故隐患中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已完成整改的（个）</w:t>
            </w:r>
          </w:p>
        </w:tc>
        <w:tc>
          <w:tcPr>
            <w:tcW w:w="7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部门检查发现的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重大事故隐患（个）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部门检查发现重大事故隐患中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已完成整改的（个）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市挂牌督办的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重大事故隐患（个）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挂牌督办重大事故隐患中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已完成整改的（个）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对企业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自查自改进行抽查检查情况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1</w:t>
            </w:r>
          </w:p>
        </w:tc>
        <w:tc>
          <w:tcPr>
            <w:tcW w:w="276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部门抽查检查的企业总数（家）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2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企业主要负责人未按要求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亲自研究排查整治工作（家）</w:t>
            </w:r>
          </w:p>
        </w:tc>
        <w:tc>
          <w:tcPr>
            <w:tcW w:w="77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企业主要负责人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未带队检查（家）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1"/>
                <w:szCs w:val="21"/>
                <w:lang w:bidi="ar"/>
              </w:rPr>
              <w:t>企业未制定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1"/>
                <w:szCs w:val="21"/>
                <w:lang w:bidi="ar"/>
              </w:rPr>
              <w:t>分管负责人职责清单（家）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企业未依法建立安全管理机构和配足安全管理人员（家）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1"/>
                <w:szCs w:val="21"/>
                <w:lang w:bidi="ar"/>
              </w:rPr>
              <w:t>电焊等特种作业岗位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1"/>
                <w:szCs w:val="21"/>
                <w:lang w:bidi="ar"/>
              </w:rPr>
              <w:t>人员无证上岗作业（家）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外包外租安全管理混乱（家）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未按规定开展应急演练、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员工不熟悉逃生出口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8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精准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严格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执法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1</w:t>
            </w:r>
          </w:p>
        </w:tc>
        <w:tc>
          <w:tcPr>
            <w:tcW w:w="2767" w:type="dxa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帮扶指导重点镇（街）（个次）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2</w:t>
            </w:r>
          </w:p>
        </w:tc>
        <w:tc>
          <w:tcPr>
            <w:tcW w:w="2835" w:type="dxa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帮扶指导重点企业（家次）</w:t>
            </w:r>
          </w:p>
        </w:tc>
        <w:tc>
          <w:tcPr>
            <w:tcW w:w="773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行政处罚（次，万元）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企业和企业主要负责人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“一案双罚”（次）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移送司法机关（人）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责令停产整顿（家）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7</w:t>
            </w:r>
          </w:p>
        </w:tc>
        <w:tc>
          <w:tcPr>
            <w:tcW w:w="27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曝光、约谈、联合惩戒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企业（家）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公布典型执法案例（个），其中危险作业罪案例（个）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责任倒查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追责问责（人）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举报奖励（万元），其中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匿名举报查实奖励（万元）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负责同志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分别现场督导检查（次）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配备专兼职</w:t>
            </w:r>
          </w:p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技术检查员数量（人）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noWrap/>
            <w:vAlign w:val="center"/>
          </w:tcPr>
          <w:p>
            <w:pPr>
              <w:overflowPunct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overflowPunct w:val="0"/>
        <w:spacing w:line="260" w:lineRule="exact"/>
        <w:rPr>
          <w:rFonts w:hint="eastAsia" w:ascii="宋体" w:hAnsi="宋体" w:eastAsia="楷体_GB2312" w:cs="楷体_GB2312"/>
          <w:color w:val="auto"/>
          <w:sz w:val="24"/>
          <w:szCs w:val="32"/>
        </w:rPr>
      </w:pPr>
      <w:r>
        <w:rPr>
          <w:rFonts w:hint="eastAsia" w:ascii="宋体" w:hAnsi="宋体" w:eastAsia="楷体_GB2312" w:cs="楷体_GB2312"/>
          <w:sz w:val="24"/>
          <w:szCs w:val="32"/>
        </w:rPr>
        <w:t>注：</w:t>
      </w:r>
      <w:r>
        <w:rPr>
          <w:rFonts w:hint="eastAsia" w:ascii="Times New Roman" w:hAnsi="Times New Roman" w:eastAsia="宋体" w:cs="楷体_GB2312"/>
          <w:b w:val="0"/>
          <w:i w:val="0"/>
          <w:sz w:val="32"/>
          <w:szCs w:val="32"/>
        </w:rPr>
        <w:t>1</w:t>
      </w:r>
      <w:r>
        <w:rPr>
          <w:rFonts w:hint="eastAsia" w:ascii="宋体" w:hAnsi="宋体" w:eastAsia="宋体" w:cs="楷体_GB2312"/>
          <w:color w:val="auto"/>
          <w:sz w:val="24"/>
          <w:szCs w:val="32"/>
        </w:rPr>
        <w:t>.</w:t>
      </w:r>
      <w:r>
        <w:rPr>
          <w:rFonts w:hint="eastAsia" w:ascii="宋体" w:hAnsi="宋体" w:eastAsia="楷体_GB2312" w:cs="楷体_GB2312"/>
          <w:color w:val="auto"/>
          <w:sz w:val="24"/>
          <w:szCs w:val="32"/>
          <w:lang w:val="en-US" w:eastAsia="zh-CN"/>
        </w:rPr>
        <w:t>镇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安委会办公室对各</w:t>
      </w:r>
      <w:r>
        <w:rPr>
          <w:rFonts w:hint="eastAsia" w:ascii="宋体" w:hAnsi="宋体" w:eastAsia="楷体_GB2312" w:cs="楷体_GB2312"/>
          <w:color w:val="auto"/>
          <w:sz w:val="24"/>
          <w:szCs w:val="32"/>
          <w:lang w:val="en-US" w:eastAsia="zh-CN"/>
        </w:rPr>
        <w:t>部门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工作进展情况进行月度调度。调度表首报为</w:t>
      </w:r>
      <w:r>
        <w:rPr>
          <w:rFonts w:hint="eastAsia" w:ascii="Times New Roman" w:hAnsi="Times New Roman" w:eastAsia="楷体_GB2312" w:cs="楷体_GB2312"/>
          <w:b w:val="0"/>
          <w:i w:val="0"/>
          <w:color w:val="auto"/>
          <w:sz w:val="32"/>
          <w:szCs w:val="32"/>
        </w:rPr>
        <w:t>6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月</w:t>
      </w:r>
      <w:r>
        <w:rPr>
          <w:rFonts w:hint="eastAsia" w:ascii="Times New Roman" w:hAnsi="Times New Roman" w:eastAsia="楷体_GB2312" w:cs="楷体_GB2312"/>
          <w:b w:val="0"/>
          <w:i w:val="0"/>
          <w:color w:val="auto"/>
          <w:sz w:val="32"/>
          <w:szCs w:val="32"/>
        </w:rPr>
        <w:t>7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日，每月</w:t>
      </w:r>
      <w:r>
        <w:rPr>
          <w:rFonts w:hint="eastAsia" w:ascii="Times New Roman" w:hAnsi="Times New Roman" w:eastAsia="宋体" w:cs="楷体_GB2312"/>
          <w:b w:val="0"/>
          <w:i w:val="0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楷体_GB2312" w:cs="楷体_GB2312"/>
          <w:b w:val="0"/>
          <w:i w:val="0"/>
          <w:color w:val="auto"/>
          <w:sz w:val="32"/>
          <w:szCs w:val="32"/>
        </w:rPr>
        <w:t>7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日前上报截至上月末的累计情况。</w:t>
      </w:r>
    </w:p>
    <w:p>
      <w:pPr>
        <w:overflowPunct w:val="0"/>
        <w:spacing w:line="260" w:lineRule="exact"/>
        <w:ind w:firstLine="640" w:firstLineChars="200"/>
        <w:rPr>
          <w:rFonts w:hint="eastAsia" w:ascii="宋体" w:hAnsi="宋体" w:eastAsia="宋体" w:cs="楷体_GB2312"/>
          <w:color w:val="auto"/>
          <w:sz w:val="24"/>
          <w:szCs w:val="32"/>
        </w:rPr>
      </w:pPr>
      <w:r>
        <w:rPr>
          <w:rFonts w:hint="eastAsia" w:ascii="Times New Roman" w:hAnsi="Times New Roman" w:eastAsia="宋体" w:cs="楷体_GB2312"/>
          <w:b w:val="0"/>
          <w:i w:val="0"/>
          <w:color w:val="auto"/>
          <w:sz w:val="32"/>
          <w:szCs w:val="32"/>
        </w:rPr>
        <w:t>2</w:t>
      </w:r>
      <w:r>
        <w:rPr>
          <w:rFonts w:hint="eastAsia" w:ascii="宋体" w:hAnsi="宋体" w:eastAsia="宋体" w:cs="楷体_GB2312"/>
          <w:color w:val="auto"/>
          <w:sz w:val="24"/>
          <w:szCs w:val="32"/>
        </w:rPr>
        <w:t>.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调度表内容应围绕专项排查整治工作并对照方案具体要求如实填报，特别是对企业自查情况进行抽查检查时，要深挖细查，查出真问题。如：电焊等人员无证上岗作业，既要通过现场检查发现问题，也要通过对企业动火等特种作业存单进行检查核实来发现问题；外包外租管理混乱，是指</w:t>
      </w:r>
      <w:r>
        <w:rPr>
          <w:rFonts w:hint="eastAsia" w:ascii="宋体" w:hAnsi="宋体" w:eastAsia="楷体_GB2312" w:cs="楷体_GB2312"/>
          <w:color w:val="auto"/>
          <w:sz w:val="24"/>
          <w:szCs w:val="32"/>
          <w:lang w:val="en"/>
        </w:rPr>
        <w:t>符合以下情形之一的：</w:t>
      </w:r>
      <w:r>
        <w:rPr>
          <w:rFonts w:hint="eastAsia" w:ascii="宋体" w:hAnsi="宋体" w:eastAsia="楷体_GB2312" w:cs="楷体_GB2312"/>
          <w:color w:val="auto"/>
          <w:sz w:val="24"/>
          <w:szCs w:val="32"/>
        </w:rPr>
        <w:t>承包承租方不具备安全生产条件、未取得相应资质，双方未签订安全生产协议，安全生产管理职责不清，未纳入本企业统一管理。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TIzMjljYzUzZDdlODQ1MGRmZGRiM2Q4Mjk4YWMifQ=="/>
  </w:docVars>
  <w:rsids>
    <w:rsidRoot w:val="531333C7"/>
    <w:rsid w:val="531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sz w:val="32"/>
      <w:szCs w:val="32"/>
    </w:rPr>
  </w:style>
  <w:style w:type="paragraph" w:styleId="3">
    <w:name w:val="Title"/>
    <w:basedOn w:val="1"/>
    <w:next w:val="1"/>
    <w:unhideWhenUsed/>
    <w:qFormat/>
    <w:uiPriority w:val="99"/>
    <w:pPr>
      <w:spacing w:beforeLines="0" w:afterLines="0"/>
      <w:jc w:val="center"/>
      <w:textAlignment w:val="baseline"/>
    </w:pPr>
    <w:rPr>
      <w:rFonts w:hint="default" w:ascii="Cambria" w:hAnsi="Cambria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2023-07-10T09:53:00Z</dcterms:created>
  <dc:creator>WPS_1568089472</dc:creator>
  <cp:lastModifiedBy>WPS_1568089472</cp:lastModifiedBy>
  <dcterms:modified xsi:type="dcterms:W3CDTF">2023-07-10T09:54:10Z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3402188EAB4B46D9BDC8E795B469BD58_11</vt:lpwstr>
  </property>
</Properties>
</file>