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700" w:lineRule="exact"/>
        <w:ind w:firstLine="0" w:firstLine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202</w:t>
      </w:r>
      <w:r>
        <w:rPr>
          <w:rFonts w:hint="eastAsia" w:ascii="方正小标宋简体" w:hAnsi="方正小标宋简体" w:eastAsia="方正小标宋简体" w:cs="方正小标宋简体"/>
          <w:b w:val="0"/>
          <w:sz w:val="44"/>
          <w:szCs w:val="44"/>
          <w:lang w:val="en-US" w:eastAsia="zh-CN"/>
        </w:rPr>
        <w:t>3</w:t>
      </w:r>
      <w:r>
        <w:rPr>
          <w:rFonts w:hint="eastAsia" w:ascii="方正小标宋简体" w:hAnsi="方正小标宋简体" w:eastAsia="方正小标宋简体" w:cs="方正小标宋简体"/>
          <w:b w:val="0"/>
          <w:sz w:val="44"/>
          <w:szCs w:val="44"/>
        </w:rPr>
        <w:t>年</w:t>
      </w:r>
      <w:r>
        <w:rPr>
          <w:rFonts w:hint="eastAsia" w:ascii="方正小标宋简体" w:hAnsi="方正小标宋简体" w:eastAsia="方正小标宋简体" w:cs="方正小标宋简体"/>
          <w:b w:val="0"/>
          <w:sz w:val="44"/>
          <w:szCs w:val="44"/>
          <w:lang w:eastAsia="zh-Hans"/>
        </w:rPr>
        <w:t>开平市</w:t>
      </w:r>
      <w:r>
        <w:rPr>
          <w:rFonts w:hint="eastAsia" w:ascii="方正小标宋简体" w:hAnsi="方正小标宋简体" w:eastAsia="方正小标宋简体" w:cs="方正小标宋简体"/>
          <w:b w:val="0"/>
          <w:sz w:val="44"/>
          <w:szCs w:val="44"/>
        </w:rPr>
        <w:t>“侨都之窗”政务服务一体机</w:t>
      </w:r>
    </w:p>
    <w:p>
      <w:pPr>
        <w:keepNext w:val="0"/>
        <w:keepLines w:val="0"/>
        <w:pageBreakBefore w:val="0"/>
        <w:widowControl/>
        <w:kinsoku/>
        <w:wordWrap/>
        <w:overflowPunct/>
        <w:topLinePunct w:val="0"/>
        <w:autoSpaceDE/>
        <w:autoSpaceDN/>
        <w:bidi w:val="0"/>
        <w:snapToGrid w:val="0"/>
        <w:spacing w:line="700" w:lineRule="exact"/>
        <w:ind w:firstLine="880" w:firstLineChars="20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sz w:val="44"/>
          <w:szCs w:val="44"/>
        </w:rPr>
        <w:t>服务</w:t>
      </w:r>
      <w:r>
        <w:rPr>
          <w:rFonts w:hint="eastAsia" w:ascii="方正小标宋简体" w:hAnsi="方正小标宋简体" w:eastAsia="方正小标宋简体" w:cs="方正小标宋简体"/>
          <w:b w:val="0"/>
          <w:bCs/>
          <w:sz w:val="44"/>
          <w:szCs w:val="44"/>
        </w:rPr>
        <w:t>项目采购需求</w:t>
      </w:r>
    </w:p>
    <w:p>
      <w:pPr>
        <w:pStyle w:val="2"/>
        <w:pageBreakBefore w:val="0"/>
        <w:numPr>
          <w:ilvl w:val="1"/>
          <w:numId w:val="0"/>
        </w:numPr>
        <w:kinsoku/>
        <w:wordWrap/>
        <w:overflowPunct/>
        <w:topLinePunct w:val="0"/>
        <w:autoSpaceDE/>
        <w:autoSpaceDN/>
        <w:bidi w:val="0"/>
        <w:spacing w:before="0" w:after="0"/>
        <w:textAlignment w:val="auto"/>
        <w:rPr>
          <w:rFonts w:hint="eastAsia"/>
        </w:rPr>
      </w:pP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b w:val="0"/>
          <w:sz w:val="32"/>
          <w:szCs w:val="32"/>
          <w:lang w:val="zh-CN"/>
        </w:rPr>
      </w:pPr>
      <w:r>
        <w:rPr>
          <w:rFonts w:hint="eastAsia" w:ascii="黑体" w:hAnsi="黑体" w:eastAsia="黑体" w:cs="黑体"/>
          <w:b w:val="0"/>
          <w:sz w:val="32"/>
          <w:szCs w:val="32"/>
          <w:lang w:val="zh-CN" w:eastAsia="zh-CN"/>
        </w:rPr>
        <w:t>一、</w:t>
      </w:r>
      <w:r>
        <w:rPr>
          <w:rFonts w:hint="eastAsia" w:ascii="黑体" w:hAnsi="黑体" w:eastAsia="黑体" w:cs="黑体"/>
          <w:b w:val="0"/>
          <w:sz w:val="32"/>
          <w:szCs w:val="32"/>
          <w:lang w:val="zh-CN"/>
        </w:rPr>
        <w:t>项目概述</w:t>
      </w:r>
    </w:p>
    <w:p>
      <w:pPr>
        <w:pStyle w:val="21"/>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rPr>
      </w:pPr>
      <w:r>
        <w:rPr>
          <w:rFonts w:hint="eastAsia" w:ascii="楷体" w:hAnsi="楷体" w:eastAsia="楷体" w:cs="楷体"/>
          <w:b w:val="0"/>
          <w:sz w:val="32"/>
          <w:szCs w:val="32"/>
          <w:lang w:val="en-US" w:eastAsia="zh-CN"/>
        </w:rPr>
        <w:t>（一）</w:t>
      </w:r>
      <w:r>
        <w:rPr>
          <w:rFonts w:hint="eastAsia" w:ascii="楷体" w:hAnsi="楷体" w:eastAsia="楷体" w:cs="楷体"/>
          <w:b w:val="0"/>
          <w:sz w:val="32"/>
          <w:szCs w:val="32"/>
        </w:rPr>
        <w:t>项目名称</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zh-CN"/>
        </w:rPr>
      </w:pPr>
      <w:r>
        <w:rPr>
          <w:rFonts w:hint="eastAsia" w:ascii="仿宋_GB2312" w:hAnsi="仿宋_GB2312" w:eastAsia="仿宋_GB2312" w:cs="仿宋_GB2312"/>
          <w:b w:val="0"/>
          <w:sz w:val="32"/>
          <w:szCs w:val="32"/>
          <w:lang w:val="zh-CN"/>
        </w:rPr>
        <w:t>202</w:t>
      </w: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lang w:val="zh-CN"/>
        </w:rPr>
        <w:t>年</w:t>
      </w:r>
      <w:r>
        <w:rPr>
          <w:rFonts w:hint="eastAsia" w:ascii="仿宋_GB2312" w:hAnsi="仿宋_GB2312" w:eastAsia="仿宋_GB2312" w:cs="仿宋_GB2312"/>
          <w:b w:val="0"/>
          <w:sz w:val="32"/>
          <w:szCs w:val="32"/>
          <w:lang w:eastAsia="zh-Hans"/>
        </w:rPr>
        <w:t>开平市</w:t>
      </w:r>
      <w:r>
        <w:rPr>
          <w:rFonts w:hint="eastAsia" w:ascii="仿宋_GB2312" w:hAnsi="仿宋_GB2312" w:eastAsia="仿宋_GB2312" w:cs="仿宋_GB2312"/>
          <w:b w:val="0"/>
          <w:sz w:val="32"/>
          <w:szCs w:val="32"/>
          <w:lang w:val="zh-CN"/>
        </w:rPr>
        <w:t>“侨都之窗”政务服务一体机服务采购项目</w:t>
      </w:r>
    </w:p>
    <w:p>
      <w:pPr>
        <w:pStyle w:val="21"/>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lang w:val="en-US" w:eastAsia="zh-CN"/>
        </w:rPr>
      </w:pPr>
      <w:r>
        <w:rPr>
          <w:rFonts w:hint="eastAsia" w:ascii="楷体" w:hAnsi="楷体" w:eastAsia="楷体" w:cs="楷体"/>
          <w:b w:val="0"/>
          <w:sz w:val="32"/>
          <w:szCs w:val="32"/>
          <w:lang w:val="zh-CN"/>
        </w:rPr>
        <w:t>（</w:t>
      </w:r>
      <w:r>
        <w:rPr>
          <w:rFonts w:hint="eastAsia" w:ascii="楷体" w:hAnsi="楷体" w:eastAsia="楷体" w:cs="楷体"/>
          <w:b w:val="0"/>
          <w:sz w:val="32"/>
          <w:szCs w:val="32"/>
          <w:lang w:val="en-US" w:eastAsia="zh-CN"/>
        </w:rPr>
        <w:t>二）项目背景</w:t>
      </w:r>
    </w:p>
    <w:p>
      <w:pPr>
        <w:pStyle w:val="21"/>
        <w:pageBreakBefore w:val="0"/>
        <w:kinsoku/>
        <w:wordWrap/>
        <w:overflowPunct/>
        <w:topLinePunct w:val="0"/>
        <w:bidi w:val="0"/>
        <w:snapToGrid w:val="0"/>
        <w:spacing w:line="560" w:lineRule="exact"/>
        <w:ind w:firstLine="560"/>
        <w:textAlignment w:val="auto"/>
        <w:rPr>
          <w:rFonts w:hint="default" w:ascii="仿宋_GB2312" w:hAnsi="仿宋_GB2312" w:eastAsia="仿宋_GB2312" w:cs="仿宋_GB2312"/>
          <w:b w:val="0"/>
          <w:sz w:val="32"/>
          <w:szCs w:val="32"/>
          <w:lang w:val="en-US" w:eastAsia="zh-CN"/>
        </w:rPr>
      </w:pPr>
      <w:r>
        <w:rPr>
          <w:rFonts w:hint="default" w:ascii="仿宋_GB2312" w:hAnsi="仿宋_GB2312" w:eastAsia="仿宋_GB2312" w:cs="仿宋_GB2312"/>
          <w:b w:val="0"/>
          <w:sz w:val="32"/>
          <w:szCs w:val="32"/>
          <w:lang w:val="en-US" w:eastAsia="zh-CN"/>
        </w:rPr>
        <w:t>江门市“侨都之窗”政务服务一体机（以下简称“侨都之窗”）是以推进“数字政府”和“智慧社会”建设为宗旨，以打造“政务服务无堵点城市”、打通行政便民服务“最后一公里”为目标，由市政府主导规划，各级政数局和行政服务中共同推进的社区化、自助化、“一窗式”便民服务点，是线下政务服务的有效补充。开平市在市和镇街中心共采购铺设了18台“侨都之窗”，服务期一年，即自2022年11月1日至2023年10月30日。截至2023年8月31日共办理了86,767笔业务。项目取到了良好效益，在线下政务自助服务渠道发挥了很大作用，极大的提高了群众办事效率和降低了办事成本。</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b w:val="0"/>
          <w:sz w:val="32"/>
          <w:szCs w:val="32"/>
          <w:lang w:val="zh-CN"/>
        </w:rPr>
      </w:pPr>
      <w:r>
        <w:rPr>
          <w:rFonts w:hint="eastAsia" w:ascii="黑体" w:hAnsi="黑体" w:eastAsia="黑体" w:cs="黑体"/>
          <w:b w:val="0"/>
          <w:sz w:val="32"/>
          <w:szCs w:val="32"/>
          <w:lang w:val="zh-CN" w:eastAsia="zh-CN"/>
        </w:rPr>
        <w:t>二、</w:t>
      </w:r>
      <w:r>
        <w:rPr>
          <w:rFonts w:hint="eastAsia" w:ascii="黑体" w:hAnsi="黑体" w:eastAsia="黑体" w:cs="黑体"/>
          <w:b w:val="0"/>
          <w:sz w:val="32"/>
          <w:szCs w:val="32"/>
          <w:lang w:val="zh-CN"/>
        </w:rPr>
        <w:t>供应商资格要求</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（一）</w:t>
      </w:r>
      <w:r>
        <w:rPr>
          <w:rFonts w:hint="eastAsia" w:ascii="仿宋_GB2312" w:hAnsi="仿宋_GB2312" w:eastAsia="仿宋_GB2312" w:cs="仿宋_GB2312"/>
          <w:b w:val="0"/>
          <w:sz w:val="32"/>
          <w:szCs w:val="32"/>
        </w:rPr>
        <w:t>供应商应具备《</w:t>
      </w:r>
      <w:r>
        <w:rPr>
          <w:rFonts w:hint="eastAsia" w:ascii="仿宋_GB2312" w:hAnsi="仿宋_GB2312" w:eastAsia="仿宋_GB2312" w:cs="仿宋_GB2312"/>
          <w:b w:val="0"/>
          <w:sz w:val="32"/>
          <w:szCs w:val="32"/>
          <w:lang w:eastAsia="zh-CN"/>
        </w:rPr>
        <w:t>中华人民共和国</w:t>
      </w:r>
      <w:r>
        <w:rPr>
          <w:rFonts w:hint="eastAsia" w:ascii="仿宋_GB2312" w:hAnsi="仿宋_GB2312" w:eastAsia="仿宋_GB2312" w:cs="仿宋_GB2312"/>
          <w:b w:val="0"/>
          <w:sz w:val="32"/>
          <w:szCs w:val="32"/>
        </w:rPr>
        <w:t>政府采购法》第二十二条规定的条件，提供下列材料：</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具有独立承担民事责任的能力：</w:t>
      </w:r>
      <w:r>
        <w:rPr>
          <w:rFonts w:hint="eastAsia" w:ascii="仿宋_GB2312" w:hAnsi="仿宋_GB2312" w:eastAsia="仿宋_GB2312" w:cs="仿宋_GB2312"/>
          <w:b w:val="0"/>
          <w:sz w:val="32"/>
          <w:szCs w:val="32"/>
        </w:rPr>
        <w:t>有效期内的工商营业执照（或事业单位法人证书，或社会团体法人登记证书）、组织机构代码证及税务登记证复印件（或“三证合一”营业执照复印件）。</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有依法缴纳税收和社会保障资金的良好记录：</w:t>
      </w:r>
      <w:r>
        <w:rPr>
          <w:rFonts w:hint="eastAsia" w:ascii="仿宋_GB2312" w:hAnsi="仿宋_GB2312" w:eastAsia="仿宋_GB2312" w:cs="仿宋_GB2312"/>
          <w:b w:val="0"/>
          <w:sz w:val="32"/>
          <w:szCs w:val="32"/>
        </w:rPr>
        <w:t>投标截止日前6个月内任意一个月的依法缴纳税收的证明文件复印件【缴纳税收的证明文件是指：加盖银行业务章的税收回单，或加盖税务部门电子征税专用章的税收电子转账专用完税证，或加盖税务部门公章的纳税证明；如供应商在规定的时间段内没有发生业务的，则提供税务部门出具的纳税证明，或加盖税务部门公章的纳税申报表】；投标截止日前6个月内任意一个月社保部门（或税务部门）出具的单位参加社会保险的证明文件复印件，或合法有效的社保部门（或税务部门）网站的电子证明打印件【内容应包含单位名称、参保（或缴费）信息、电子印章和日期等】。</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具有良好的商业信誉和健全的财务会计制度：</w:t>
      </w:r>
      <w:r>
        <w:rPr>
          <w:rFonts w:hint="eastAsia" w:ascii="仿宋_GB2312" w:hAnsi="仿宋_GB2312" w:eastAsia="仿宋_GB2312" w:cs="仿宋_GB2312"/>
          <w:b w:val="0"/>
          <w:sz w:val="32"/>
          <w:szCs w:val="32"/>
        </w:rPr>
        <w:t>202</w:t>
      </w:r>
      <w:r>
        <w:rPr>
          <w:rFonts w:hint="eastAsia" w:ascii="仿宋_GB2312" w:hAnsi="仿宋_GB2312" w:eastAsia="仿宋_GB2312" w:cs="仿宋_GB2312"/>
          <w:b w:val="0"/>
          <w:sz w:val="32"/>
          <w:szCs w:val="32"/>
          <w:lang w:val="en-US" w:eastAsia="zh-CN"/>
        </w:rPr>
        <w:t>2</w:t>
      </w:r>
      <w:r>
        <w:rPr>
          <w:rFonts w:hint="eastAsia" w:ascii="仿宋_GB2312" w:hAnsi="仿宋_GB2312" w:eastAsia="仿宋_GB2312" w:cs="仿宋_GB2312"/>
          <w:b w:val="0"/>
          <w:sz w:val="32"/>
          <w:szCs w:val="32"/>
        </w:rPr>
        <w:t>年年度财务报表或投标截止日前6个月内任意一个月的财务报表。【财务报表须包含资产负债表、利润表】。</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履行合同所必需的设备和专业技术能力：</w:t>
      </w:r>
      <w:r>
        <w:rPr>
          <w:rFonts w:hint="eastAsia" w:ascii="仿宋_GB2312" w:hAnsi="仿宋_GB2312" w:eastAsia="仿宋_GB2312" w:cs="仿宋_GB2312"/>
          <w:b w:val="0"/>
          <w:sz w:val="32"/>
          <w:szCs w:val="32"/>
        </w:rPr>
        <w:t>按投标（响应）文件格式填报设备及专业技术能力情况。</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参加采购活动前3年内，在经营活动中没有重大违法记录：</w:t>
      </w:r>
      <w:r>
        <w:rPr>
          <w:rFonts w:hint="eastAsia" w:ascii="仿宋_GB2312" w:hAnsi="仿宋_GB2312" w:eastAsia="仿宋_GB2312" w:cs="仿宋_GB2312"/>
          <w:b w:val="0"/>
          <w:sz w:val="32"/>
          <w:szCs w:val="32"/>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信用记录：</w:t>
      </w:r>
      <w:r>
        <w:rPr>
          <w:rFonts w:hint="eastAsia" w:ascii="仿宋_GB2312" w:hAnsi="仿宋_GB2312" w:eastAsia="仿宋_GB2312" w:cs="仿宋_GB2312"/>
          <w:b w:val="0"/>
          <w:sz w:val="32"/>
          <w:szCs w:val="32"/>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响应）截止时间当天在“信用中国”网站（</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"http://www.creditchina.gov.cn/"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www.creditchina.gov.cn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）及中国政府采购网（</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"http://www.ccgp.gov.cn/"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http://www.ccgp.gov.cn/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）查询结果为准，如相关失信记录已失效，供应商需提供相关证明资料）。</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供应商必须符合法律、行政法规规定的其他条件：</w:t>
      </w:r>
      <w:r>
        <w:rPr>
          <w:rFonts w:hint="eastAsia" w:ascii="仿宋_GB2312" w:hAnsi="仿宋_GB2312" w:eastAsia="仿宋_GB2312" w:cs="仿宋_GB2312"/>
          <w:b w:val="0"/>
          <w:sz w:val="32"/>
          <w:szCs w:val="32"/>
        </w:rPr>
        <w:t xml:space="preserve">单位负责人为同一人或者存在直接控股、管理关系的不同供应商，不得同时参加本采购项目（包组）投标。为本项目提供整体设计、规范编制或者项目管理、监理、检测等服务的供应商，不得再参与本项目投标。 </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bookmarkStart w:id="0" w:name="_GoBack"/>
      <w:bookmarkEnd w:id="0"/>
      <w:r>
        <w:rPr>
          <w:rFonts w:hint="eastAsia" w:ascii="仿宋_GB2312" w:hAnsi="仿宋_GB2312" w:eastAsia="仿宋_GB2312" w:cs="仿宋_GB2312"/>
          <w:b w:val="0"/>
          <w:sz w:val="32"/>
          <w:szCs w:val="32"/>
          <w:lang w:val="en-US" w:eastAsia="zh-CN"/>
        </w:rPr>
        <w:t>（二）</w:t>
      </w:r>
      <w:r>
        <w:rPr>
          <w:rFonts w:hint="eastAsia" w:ascii="仿宋_GB2312" w:hAnsi="仿宋_GB2312" w:eastAsia="仿宋_GB2312" w:cs="仿宋_GB2312"/>
          <w:b w:val="0"/>
          <w:sz w:val="32"/>
          <w:szCs w:val="32"/>
        </w:rPr>
        <w:t>落实政府采购政策需满足的资格要求：本项目不属于专门面向中小企业采购的项目。</w:t>
      </w:r>
    </w:p>
    <w:p>
      <w:pPr>
        <w:pStyle w:val="21"/>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（三）</w:t>
      </w:r>
      <w:r>
        <w:rPr>
          <w:rFonts w:hint="eastAsia" w:ascii="仿宋_GB2312" w:hAnsi="仿宋_GB2312" w:eastAsia="仿宋_GB2312" w:cs="仿宋_GB2312"/>
          <w:b w:val="0"/>
          <w:sz w:val="32"/>
          <w:szCs w:val="32"/>
        </w:rPr>
        <w:t>本项目特定的资格要求：无。</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b w:val="0"/>
          <w:sz w:val="32"/>
          <w:szCs w:val="32"/>
          <w:lang w:val="en-US" w:eastAsia="zh-CN"/>
        </w:rPr>
      </w:pPr>
      <w:r>
        <w:rPr>
          <w:rFonts w:hint="eastAsia" w:ascii="黑体" w:hAnsi="黑体" w:eastAsia="黑体" w:cs="黑体"/>
          <w:b w:val="0"/>
          <w:sz w:val="32"/>
          <w:szCs w:val="32"/>
          <w:lang w:val="zh-CN" w:eastAsia="zh-CN"/>
        </w:rPr>
        <w:t>三、</w:t>
      </w:r>
      <w:r>
        <w:rPr>
          <w:rFonts w:hint="eastAsia" w:ascii="黑体" w:hAnsi="黑体" w:eastAsia="黑体" w:cs="黑体"/>
          <w:b w:val="0"/>
          <w:sz w:val="32"/>
          <w:szCs w:val="32"/>
          <w:lang w:val="en-US" w:eastAsia="zh-CN"/>
        </w:rPr>
        <w:t>服务内容</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楷体" w:hAnsi="楷体" w:eastAsia="楷体" w:cs="楷体"/>
          <w:b w:val="0"/>
          <w:sz w:val="32"/>
          <w:szCs w:val="32"/>
          <w:lang w:val="en-US" w:eastAsia="zh-CN"/>
        </w:rPr>
      </w:pPr>
      <w:r>
        <w:rPr>
          <w:rFonts w:hint="eastAsia" w:ascii="楷体" w:hAnsi="楷体" w:eastAsia="楷体" w:cs="楷体"/>
          <w:b w:val="0"/>
          <w:sz w:val="32"/>
          <w:szCs w:val="32"/>
          <w:lang w:val="en-US" w:eastAsia="zh-CN"/>
        </w:rPr>
        <w:t>（一）部署点位及设备类型</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开平市行政服务中心部署两台彩色打印配置的“侨都之窗”政务服务一体机；开平市长沙街道、三埠街道、月山镇、水口镇、沙塘镇共五个镇的公共服务中心各部署一台黑白打印配置的“侨都之窗”政务服务一体机。</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楷体" w:hAnsi="楷体" w:eastAsia="楷体" w:cs="楷体"/>
          <w:b w:val="0"/>
          <w:sz w:val="32"/>
          <w:szCs w:val="32"/>
        </w:rPr>
      </w:pPr>
      <w:r>
        <w:rPr>
          <w:rFonts w:hint="eastAsia" w:ascii="楷体" w:hAnsi="楷体" w:eastAsia="楷体" w:cs="楷体"/>
          <w:b w:val="0"/>
          <w:kern w:val="2"/>
          <w:sz w:val="32"/>
          <w:szCs w:val="32"/>
          <w:lang w:val="en-US" w:eastAsia="zh-CN" w:bidi="ar-SA"/>
        </w:rPr>
        <w:t>（二）</w:t>
      </w:r>
      <w:r>
        <w:rPr>
          <w:rFonts w:hint="eastAsia" w:ascii="楷体" w:hAnsi="楷体" w:eastAsia="楷体" w:cs="楷体"/>
          <w:b w:val="0"/>
          <w:sz w:val="32"/>
          <w:szCs w:val="32"/>
        </w:rPr>
        <w:t>功能清单</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eastAsia="zh-Hans"/>
        </w:rPr>
      </w:pPr>
      <w:r>
        <w:rPr>
          <w:rFonts w:hint="eastAsia" w:ascii="仿宋_GB2312" w:hAnsi="仿宋_GB2312" w:eastAsia="仿宋_GB2312" w:cs="仿宋_GB2312"/>
          <w:b w:val="0"/>
          <w:sz w:val="32"/>
          <w:szCs w:val="32"/>
          <w:lang w:eastAsia="zh-Hans"/>
        </w:rPr>
        <w:t>本次项目采购的</w:t>
      </w:r>
      <w:r>
        <w:rPr>
          <w:rFonts w:hint="eastAsia" w:ascii="仿宋_GB2312" w:hAnsi="仿宋_GB2312" w:eastAsia="仿宋_GB2312" w:cs="仿宋_GB2312"/>
          <w:b w:val="0"/>
          <w:sz w:val="32"/>
          <w:szCs w:val="32"/>
        </w:rPr>
        <w:t>“侨都之窗”政务服务一体机</w:t>
      </w:r>
      <w:r>
        <w:rPr>
          <w:rFonts w:hint="eastAsia" w:ascii="仿宋_GB2312" w:hAnsi="仿宋_GB2312" w:eastAsia="仿宋_GB2312" w:cs="仿宋_GB2312"/>
          <w:b w:val="0"/>
          <w:sz w:val="32"/>
          <w:szCs w:val="32"/>
          <w:lang w:eastAsia="zh-Hans"/>
        </w:rPr>
        <w:t>服务应该具备同步更新江门市政务自助服务平台的</w:t>
      </w:r>
      <w:r>
        <w:rPr>
          <w:rFonts w:hint="eastAsia" w:ascii="仿宋_GB2312" w:hAnsi="仿宋_GB2312" w:eastAsia="仿宋_GB2312" w:cs="仿宋_GB2312"/>
          <w:b w:val="0"/>
          <w:sz w:val="32"/>
          <w:szCs w:val="32"/>
          <w:lang w:val="en-US" w:eastAsia="zh-CN"/>
        </w:rPr>
        <w:t>江门市</w:t>
      </w:r>
      <w:r>
        <w:rPr>
          <w:rFonts w:hint="eastAsia" w:ascii="仿宋_GB2312" w:hAnsi="仿宋_GB2312" w:eastAsia="仿宋_GB2312" w:cs="仿宋_GB2312"/>
          <w:b w:val="0"/>
          <w:sz w:val="32"/>
          <w:szCs w:val="32"/>
          <w:lang w:eastAsia="zh-Hans"/>
        </w:rPr>
        <w:t>级服务事项，同时要对接升级对接</w:t>
      </w:r>
      <w:r>
        <w:rPr>
          <w:rFonts w:hint="eastAsia" w:ascii="仿宋_GB2312" w:hAnsi="仿宋_GB2312" w:eastAsia="仿宋_GB2312" w:cs="仿宋_GB2312"/>
          <w:b w:val="0"/>
          <w:sz w:val="32"/>
          <w:szCs w:val="32"/>
          <w:lang w:val="en-US" w:eastAsia="zh-CN"/>
        </w:rPr>
        <w:t>广东</w:t>
      </w:r>
      <w:r>
        <w:rPr>
          <w:rFonts w:hint="eastAsia" w:ascii="仿宋_GB2312" w:hAnsi="仿宋_GB2312" w:eastAsia="仿宋_GB2312" w:cs="仿宋_GB2312"/>
          <w:b w:val="0"/>
          <w:sz w:val="32"/>
          <w:szCs w:val="32"/>
          <w:lang w:eastAsia="zh-Hans"/>
        </w:rPr>
        <w:t>省</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eastAsia="zh-Hans"/>
        </w:rPr>
        <w:t>粤智助</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eastAsia="zh-Hans"/>
        </w:rPr>
        <w:t>平台，实现</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eastAsia="zh-Hans"/>
        </w:rPr>
        <w:t>粤智助</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eastAsia="zh-Hans"/>
        </w:rPr>
        <w:t>平台服务事项的上线使用。服务事项见下表：</w:t>
      </w:r>
    </w:p>
    <w:p>
      <w:pPr>
        <w:pStyle w:val="21"/>
        <w:keepNext w:val="0"/>
        <w:keepLines w:val="0"/>
        <w:pageBreakBefore w:val="0"/>
        <w:widowControl/>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b w:val="0"/>
          <w:sz w:val="32"/>
          <w:szCs w:val="32"/>
          <w:lang w:eastAsia="zh-Hans"/>
        </w:rPr>
      </w:pPr>
    </w:p>
    <w:tbl>
      <w:tblPr>
        <w:tblStyle w:val="16"/>
        <w:tblW w:w="7581" w:type="dxa"/>
        <w:jc w:val="center"/>
        <w:tblLayout w:type="autofit"/>
        <w:tblCellMar>
          <w:top w:w="0" w:type="dxa"/>
          <w:left w:w="0" w:type="dxa"/>
          <w:bottom w:w="0" w:type="dxa"/>
          <w:right w:w="0" w:type="dxa"/>
        </w:tblCellMar>
      </w:tblPr>
      <w:tblGrid>
        <w:gridCol w:w="629"/>
        <w:gridCol w:w="1483"/>
        <w:gridCol w:w="4082"/>
        <w:gridCol w:w="1387"/>
      </w:tblGrid>
      <w:tr>
        <w:tblPrEx>
          <w:tblCellMar>
            <w:top w:w="0" w:type="dxa"/>
            <w:left w:w="0" w:type="dxa"/>
            <w:bottom w:w="0" w:type="dxa"/>
            <w:right w:w="0" w:type="dxa"/>
          </w:tblCellMar>
        </w:tblPrEx>
        <w:trPr>
          <w:trHeight w:val="20" w:hRule="atLeast"/>
          <w:jc w:val="center"/>
        </w:trPr>
        <w:tc>
          <w:tcPr>
            <w:tcW w:w="7581" w:type="dxa"/>
            <w:gridSpan w:val="4"/>
            <w:tcBorders>
              <w:top w:val="single" w:color="auto" w:sz="4" w:space="0"/>
              <w:left w:val="single" w:color="auto" w:sz="4" w:space="0"/>
              <w:bottom w:val="single" w:color="auto" w:sz="4" w:space="0"/>
              <w:right w:val="single" w:color="auto" w:sz="4" w:space="0"/>
            </w:tcBorders>
            <w:shd w:val="clear" w:color="000000" w:fill="BDD6EE" w:themeFill="accent1" w:themeFillTint="66"/>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eastAsia" w:cs="宋体" w:asciiTheme="majorAscii" w:hAnsiTheme="majorAscii"/>
                <w:b w:val="0"/>
                <w:color w:val="000000"/>
                <w:kern w:val="0"/>
                <w:sz w:val="24"/>
                <w:szCs w:val="24"/>
                <w:lang w:val="en-US" w:eastAsia="zh-CN" w:bidi="ar"/>
              </w:rPr>
              <w:t>江门市级</w:t>
            </w:r>
            <w:r>
              <w:rPr>
                <w:rFonts w:hint="default" w:eastAsia="宋体" w:cs="宋体" w:asciiTheme="majorAscii" w:hAnsiTheme="majorAscii"/>
                <w:b w:val="0"/>
                <w:color w:val="000000"/>
                <w:kern w:val="0"/>
                <w:sz w:val="24"/>
                <w:szCs w:val="24"/>
                <w:lang w:bidi="ar"/>
              </w:rPr>
              <w:t>服务事项</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spacing w:line="560" w:lineRule="exact"/>
              <w:jc w:val="center"/>
              <w:textAlignment w:val="center"/>
              <w:rPr>
                <w:rFonts w:hint="eastAsia" w:ascii="黑体" w:hAnsi="黑体" w:eastAsia="黑体" w:cs="黑体"/>
                <w:b w:val="0"/>
                <w:bCs w:val="0"/>
                <w:color w:val="000000"/>
                <w:sz w:val="28"/>
                <w:szCs w:val="28"/>
              </w:rPr>
            </w:pPr>
            <w:r>
              <w:rPr>
                <w:rFonts w:hint="eastAsia" w:ascii="黑体" w:hAnsi="黑体" w:eastAsia="黑体" w:cs="黑体"/>
                <w:b w:val="0"/>
                <w:bCs w:val="0"/>
                <w:color w:val="000000"/>
                <w:kern w:val="0"/>
                <w:sz w:val="28"/>
                <w:szCs w:val="28"/>
                <w:lang w:bidi="ar"/>
              </w:rPr>
              <w:t>序号</w:t>
            </w:r>
          </w:p>
        </w:tc>
        <w:tc>
          <w:tcPr>
            <w:tcW w:w="1483" w:type="dxa"/>
            <w:tcBorders>
              <w:top w:val="nil"/>
              <w:left w:val="nil"/>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keepNext w:val="0"/>
              <w:keepLines w:val="0"/>
              <w:widowControl/>
              <w:suppressLineNumbers w:val="0"/>
              <w:jc w:val="center"/>
              <w:textAlignment w:val="center"/>
              <w:rPr>
                <w:rFonts w:hint="eastAsia" w:ascii="黑体" w:hAnsi="黑体" w:eastAsia="黑体" w:cs="黑体"/>
                <w:b w:val="0"/>
                <w:bCs w:val="0"/>
                <w:i w:val="0"/>
                <w:iCs w:val="0"/>
                <w:color w:val="auto"/>
                <w:kern w:val="2"/>
                <w:sz w:val="28"/>
                <w:szCs w:val="28"/>
                <w:u w:val="none"/>
                <w:lang w:val="en-US" w:eastAsia="zh-CN" w:bidi="ar-SA"/>
              </w:rPr>
            </w:pPr>
            <w:r>
              <w:rPr>
                <w:rFonts w:hint="eastAsia" w:ascii="黑体" w:hAnsi="黑体" w:eastAsia="黑体" w:cs="黑体"/>
                <w:b w:val="0"/>
                <w:bCs w:val="0"/>
                <w:i w:val="0"/>
                <w:iCs w:val="0"/>
                <w:color w:val="auto"/>
                <w:kern w:val="0"/>
                <w:sz w:val="28"/>
                <w:szCs w:val="28"/>
                <w:u w:val="none"/>
                <w:lang w:val="en-US" w:eastAsia="zh-CN" w:bidi="ar"/>
              </w:rPr>
              <w:t>业务部门</w:t>
            </w:r>
          </w:p>
        </w:tc>
        <w:tc>
          <w:tcPr>
            <w:tcW w:w="4082" w:type="dxa"/>
            <w:tcBorders>
              <w:top w:val="nil"/>
              <w:left w:val="nil"/>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keepNext w:val="0"/>
              <w:keepLines w:val="0"/>
              <w:widowControl/>
              <w:suppressLineNumbers w:val="0"/>
              <w:jc w:val="center"/>
              <w:textAlignment w:val="center"/>
              <w:rPr>
                <w:rFonts w:hint="eastAsia" w:ascii="黑体" w:hAnsi="黑体" w:eastAsia="黑体" w:cs="黑体"/>
                <w:b w:val="0"/>
                <w:bCs w:val="0"/>
                <w:color w:val="000000"/>
                <w:sz w:val="28"/>
                <w:szCs w:val="28"/>
              </w:rPr>
            </w:pPr>
            <w:r>
              <w:rPr>
                <w:rFonts w:hint="eastAsia" w:ascii="黑体" w:hAnsi="黑体" w:eastAsia="黑体" w:cs="黑体"/>
                <w:b w:val="0"/>
                <w:bCs w:val="0"/>
                <w:i w:val="0"/>
                <w:iCs w:val="0"/>
                <w:color w:val="auto"/>
                <w:kern w:val="0"/>
                <w:sz w:val="28"/>
                <w:szCs w:val="28"/>
                <w:u w:val="none"/>
                <w:lang w:val="en-US" w:eastAsia="zh-CN" w:bidi="ar"/>
              </w:rPr>
              <w:t>事项名称</w:t>
            </w:r>
          </w:p>
        </w:tc>
        <w:tc>
          <w:tcPr>
            <w:tcW w:w="1387" w:type="dxa"/>
            <w:tcBorders>
              <w:top w:val="nil"/>
              <w:left w:val="nil"/>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keepNext w:val="0"/>
              <w:keepLines w:val="0"/>
              <w:widowControl/>
              <w:suppressLineNumbers w:val="0"/>
              <w:jc w:val="center"/>
              <w:textAlignment w:val="center"/>
              <w:rPr>
                <w:rFonts w:hint="eastAsia" w:ascii="黑体" w:hAnsi="黑体" w:eastAsia="黑体" w:cs="黑体"/>
                <w:b w:val="0"/>
                <w:bCs w:val="0"/>
                <w:color w:val="000000"/>
                <w:sz w:val="28"/>
                <w:szCs w:val="28"/>
              </w:rPr>
            </w:pPr>
            <w:r>
              <w:rPr>
                <w:rFonts w:hint="eastAsia" w:ascii="黑体" w:hAnsi="黑体" w:eastAsia="黑体" w:cs="黑体"/>
                <w:b w:val="0"/>
                <w:bCs w:val="0"/>
                <w:i w:val="0"/>
                <w:iCs w:val="0"/>
                <w:color w:val="auto"/>
                <w:kern w:val="0"/>
                <w:sz w:val="28"/>
                <w:szCs w:val="28"/>
                <w:u w:val="none"/>
                <w:lang w:val="en-US" w:eastAsia="zh-CN" w:bidi="ar"/>
              </w:rPr>
              <w:t>覆盖范围</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交通</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驾驶证扣分查询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both"/>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汽车票购买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社保</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社保参保证明打印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社保卡金融账户余额查询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养老年审</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养老年审记录查询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养老金历史查询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失业保险缴费历史查询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社保卡状态查询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个人基本信息查询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11</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养老缴费信息查询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12</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养老当前待遇信息查询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13</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养老待遇核定表信息查询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14</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工伤定期待遇信息查询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15</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失业定期待遇信息查询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16</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失业缴费信息查询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17</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工伤缴费信息查询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18</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养老一次性待遇信息查询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19</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养老待遇变动信息查询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20</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参保人历史核定信息查询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21</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养老退休认证信息查询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22</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养老死亡待遇信息查询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23</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养老退保待遇信息查询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24</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失业一次性待遇核定信息查询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25</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工伤生存认证信息查询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26</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人员参保信息查询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27</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职工养老发放信息查询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28</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工伤待遇发放信息查询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29</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省内养老保险参保缴费凭证打印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30</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失业待遇发放信息查询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31</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省外养老保险参保缴费凭证打印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32</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个人权益单打印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33</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失业保险参保缴费转移凭证打印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34</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养老待遇核定表打印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35</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住房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一手房交易契税申报</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36</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一手房转移登记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37</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二手房税政联办</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38</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不动产登记证明打印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39</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个人住房登记证明打印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40</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住宅专项维修资金业务</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41</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公积金退休提取</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42</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房屋买卖合同查询及打印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43</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公积金缴存明细打印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44</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公积金线下提取预约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45</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公积金个人缴存证明打印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46</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健康</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医疗预约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47</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医保账户消费查询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48</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出行</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江门机场大巴信息</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49</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江门港班次信息</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50</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民生</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水费缴纳</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51</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水费清单打印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52</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长者卡年审</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53</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公交卡充值</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54</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岭南通客诉平台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55</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五邑通长者卡申办</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56</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招聘信息查询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57</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信用卡还款</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58</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网点查询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59</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培训信息查询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60</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婚姻登记预约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61</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敬老优待证申办</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62</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其他</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广东省政务服务网</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广东省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63</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办事预约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64</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智慧村居</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hint="eastAsia" w:ascii="宋体" w:hAnsi="宋体" w:eastAsia="宋体" w:cs="宋体"/>
                <w:i w:val="0"/>
                <w:iCs w:val="0"/>
                <w:color w:val="000000"/>
                <w:kern w:val="0"/>
                <w:sz w:val="20"/>
                <w:szCs w:val="20"/>
                <w:u w:val="none"/>
                <w:lang w:val="en-US" w:eastAsia="zh-CN" w:bidi="ar"/>
              </w:rPr>
              <w:t>江门市</w:t>
            </w:r>
          </w:p>
        </w:tc>
      </w:tr>
    </w:tbl>
    <w:p/>
    <w:tbl>
      <w:tblPr>
        <w:tblStyle w:val="16"/>
        <w:tblW w:w="7581" w:type="dxa"/>
        <w:jc w:val="center"/>
        <w:tblLayout w:type="autofit"/>
        <w:tblCellMar>
          <w:top w:w="0" w:type="dxa"/>
          <w:left w:w="0" w:type="dxa"/>
          <w:bottom w:w="0" w:type="dxa"/>
          <w:right w:w="0" w:type="dxa"/>
        </w:tblCellMar>
      </w:tblPr>
      <w:tblGrid>
        <w:gridCol w:w="629"/>
        <w:gridCol w:w="1483"/>
        <w:gridCol w:w="4082"/>
        <w:gridCol w:w="1387"/>
      </w:tblGrid>
      <w:tr>
        <w:tblPrEx>
          <w:tblCellMar>
            <w:top w:w="0" w:type="dxa"/>
            <w:left w:w="0" w:type="dxa"/>
            <w:bottom w:w="0" w:type="dxa"/>
            <w:right w:w="0" w:type="dxa"/>
          </w:tblCellMar>
        </w:tblPrEx>
        <w:trPr>
          <w:trHeight w:val="20" w:hRule="atLeast"/>
          <w:jc w:val="center"/>
        </w:trPr>
        <w:tc>
          <w:tcPr>
            <w:tcW w:w="7581" w:type="dxa"/>
            <w:gridSpan w:val="4"/>
            <w:tcBorders>
              <w:top w:val="single" w:color="auto" w:sz="4" w:space="0"/>
              <w:left w:val="single" w:color="auto" w:sz="4" w:space="0"/>
              <w:bottom w:val="single" w:color="auto" w:sz="4" w:space="0"/>
              <w:right w:val="single" w:color="auto" w:sz="4" w:space="0"/>
            </w:tcBorders>
            <w:shd w:val="clear" w:color="auto" w:fill="BDD6EE" w:themeFill="accent1" w:themeFillTint="66"/>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eastAsia" w:cs="宋体" w:asciiTheme="majorAscii" w:hAnsiTheme="majorAscii"/>
                <w:b w:val="0"/>
                <w:color w:val="000000"/>
                <w:kern w:val="0"/>
                <w:sz w:val="24"/>
                <w:szCs w:val="24"/>
                <w:lang w:val="en-US" w:eastAsia="zh-CN" w:bidi="ar"/>
              </w:rPr>
              <w:t>广东省“粤智助”平台服务事项</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spacing w:line="560" w:lineRule="exact"/>
              <w:jc w:val="center"/>
              <w:textAlignment w:val="center"/>
              <w:rPr>
                <w:rFonts w:hint="eastAsia" w:ascii="黑体" w:hAnsi="黑体" w:eastAsia="黑体" w:cs="黑体"/>
                <w:b w:val="0"/>
                <w:color w:val="000000"/>
                <w:sz w:val="28"/>
                <w:szCs w:val="28"/>
              </w:rPr>
            </w:pPr>
            <w:r>
              <w:rPr>
                <w:rFonts w:hint="eastAsia" w:ascii="黑体" w:hAnsi="黑体" w:eastAsia="黑体" w:cs="黑体"/>
                <w:b w:val="0"/>
                <w:color w:val="000000"/>
                <w:kern w:val="0"/>
                <w:sz w:val="28"/>
                <w:szCs w:val="28"/>
                <w:lang w:bidi="ar"/>
              </w:rPr>
              <w:t>序号</w:t>
            </w:r>
          </w:p>
        </w:tc>
        <w:tc>
          <w:tcPr>
            <w:tcW w:w="1483" w:type="dxa"/>
            <w:tcBorders>
              <w:top w:val="single" w:color="auto" w:sz="4" w:space="0"/>
              <w:left w:val="nil"/>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spacing w:line="560" w:lineRule="exact"/>
              <w:jc w:val="center"/>
              <w:textAlignment w:val="center"/>
              <w:rPr>
                <w:rFonts w:hint="eastAsia" w:ascii="黑体" w:hAnsi="黑体" w:eastAsia="黑体" w:cs="黑体"/>
                <w:b w:val="0"/>
                <w:color w:val="000000"/>
                <w:kern w:val="2"/>
                <w:sz w:val="28"/>
                <w:szCs w:val="28"/>
                <w:lang w:val="en-US" w:eastAsia="zh-CN" w:bidi="ar-SA"/>
              </w:rPr>
            </w:pPr>
            <w:r>
              <w:rPr>
                <w:rFonts w:hint="eastAsia" w:ascii="黑体" w:hAnsi="黑体" w:eastAsia="黑体" w:cs="黑体"/>
                <w:b w:val="0"/>
                <w:color w:val="000000"/>
                <w:kern w:val="0"/>
                <w:sz w:val="28"/>
                <w:szCs w:val="28"/>
                <w:lang w:val="en-US" w:eastAsia="zh-CN" w:bidi="ar"/>
              </w:rPr>
              <w:t>业务部门</w:t>
            </w:r>
          </w:p>
        </w:tc>
        <w:tc>
          <w:tcPr>
            <w:tcW w:w="4082" w:type="dxa"/>
            <w:tcBorders>
              <w:top w:val="single" w:color="auto" w:sz="4" w:space="0"/>
              <w:left w:val="nil"/>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spacing w:line="560" w:lineRule="exact"/>
              <w:jc w:val="center"/>
              <w:textAlignment w:val="center"/>
              <w:rPr>
                <w:rFonts w:hint="eastAsia" w:ascii="黑体" w:hAnsi="黑体" w:eastAsia="黑体" w:cs="黑体"/>
                <w:b w:val="0"/>
                <w:color w:val="000000"/>
                <w:kern w:val="2"/>
                <w:sz w:val="28"/>
                <w:szCs w:val="28"/>
                <w:lang w:val="en-US" w:eastAsia="zh-CN" w:bidi="ar-SA"/>
              </w:rPr>
            </w:pPr>
            <w:r>
              <w:rPr>
                <w:rFonts w:hint="eastAsia" w:ascii="黑体" w:hAnsi="黑体" w:eastAsia="黑体" w:cs="黑体"/>
                <w:b w:val="0"/>
                <w:color w:val="000000"/>
                <w:kern w:val="0"/>
                <w:sz w:val="28"/>
                <w:szCs w:val="28"/>
                <w:lang w:bidi="ar"/>
              </w:rPr>
              <w:t>服务事项名称</w:t>
            </w:r>
          </w:p>
        </w:tc>
        <w:tc>
          <w:tcPr>
            <w:tcW w:w="1387" w:type="dxa"/>
            <w:tcBorders>
              <w:top w:val="single" w:color="auto" w:sz="4" w:space="0"/>
              <w:left w:val="nil"/>
              <w:bottom w:val="single" w:color="auto" w:sz="4" w:space="0"/>
              <w:right w:val="single" w:color="auto" w:sz="4" w:space="0"/>
            </w:tcBorders>
            <w:shd w:val="clear" w:color="auto" w:fill="CFCECE" w:themeFill="background2" w:themeFillShade="E5"/>
            <w:tcMar>
              <w:top w:w="20" w:type="dxa"/>
              <w:left w:w="20" w:type="dxa"/>
              <w:right w:w="20" w:type="dxa"/>
            </w:tcMar>
            <w:vAlign w:val="center"/>
          </w:tcPr>
          <w:p>
            <w:pPr>
              <w:spacing w:line="560" w:lineRule="exact"/>
              <w:jc w:val="center"/>
              <w:textAlignment w:val="center"/>
              <w:rPr>
                <w:rFonts w:hint="eastAsia" w:ascii="黑体" w:hAnsi="黑体" w:eastAsia="黑体" w:cs="黑体"/>
                <w:b w:val="0"/>
                <w:color w:val="000000"/>
                <w:sz w:val="28"/>
                <w:szCs w:val="28"/>
              </w:rPr>
            </w:pPr>
            <w:r>
              <w:rPr>
                <w:rFonts w:hint="eastAsia" w:ascii="黑体" w:hAnsi="黑体" w:eastAsia="黑体" w:cs="黑体"/>
                <w:b w:val="0"/>
                <w:color w:val="000000"/>
                <w:kern w:val="0"/>
                <w:sz w:val="28"/>
                <w:szCs w:val="28"/>
                <w:lang w:bidi="ar"/>
              </w:rPr>
              <w:t>办理范围</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w:t>
            </w:r>
          </w:p>
        </w:tc>
        <w:tc>
          <w:tcPr>
            <w:tcW w:w="1483" w:type="dxa"/>
            <w:vMerge w:val="restart"/>
            <w:tcBorders>
              <w:top w:val="nil"/>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自然资源</w:t>
            </w:r>
          </w:p>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自然资源</w:t>
            </w:r>
          </w:p>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自然资源</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不动产登记电子证明打印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w:t>
            </w:r>
          </w:p>
        </w:tc>
        <w:tc>
          <w:tcPr>
            <w:tcW w:w="1483" w:type="dxa"/>
            <w:vMerge w:val="continue"/>
            <w:tcBorders>
              <w:left w:val="nil"/>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不动产权电子证书打印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w:t>
            </w:r>
          </w:p>
        </w:tc>
        <w:tc>
          <w:tcPr>
            <w:tcW w:w="1483" w:type="dxa"/>
            <w:vMerge w:val="continue"/>
            <w:tcBorders>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不动产信息查询（个人名下房产查询、不动产登记资料查询）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住建</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中华人民共和国二级建造师注册证书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住建</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中华人民共和国二级建造师临时执业证书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住建</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中华人民共和国二级注册结构工程师注册执业证书（注册在新设立企业）</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检验检查报告查询</w:t>
            </w:r>
            <w:r>
              <w:rPr>
                <w:rFonts w:ascii="宋体" w:hAnsi="宋体" w:eastAsia="宋体" w:cs="宋体"/>
                <w:i w:val="0"/>
                <w:iCs w:val="0"/>
                <w:color w:val="000000"/>
                <w:kern w:val="0"/>
                <w:sz w:val="20"/>
                <w:szCs w:val="20"/>
                <w:u w:val="none"/>
                <w:lang w:eastAsia="zh-CN" w:bidi="ar"/>
              </w:rPr>
              <w:t>－</w:t>
            </w:r>
            <w:r>
              <w:rPr>
                <w:rFonts w:ascii="宋体" w:hAnsi="宋体" w:eastAsia="宋体" w:cs="宋体"/>
                <w:i w:val="0"/>
                <w:iCs w:val="0"/>
                <w:color w:val="000000"/>
                <w:kern w:val="0"/>
                <w:sz w:val="20"/>
                <w:szCs w:val="20"/>
                <w:u w:val="none"/>
                <w:lang w:val="en-US" w:eastAsia="zh-CN" w:bidi="ar"/>
              </w:rPr>
              <w:t>广东省第二人民医院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远程问诊</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医疗挂号</w:t>
            </w:r>
            <w:r>
              <w:rPr>
                <w:rFonts w:ascii="宋体" w:hAnsi="宋体" w:eastAsia="宋体" w:cs="宋体"/>
                <w:i w:val="0"/>
                <w:iCs w:val="0"/>
                <w:color w:val="000000"/>
                <w:kern w:val="0"/>
                <w:sz w:val="20"/>
                <w:szCs w:val="20"/>
                <w:u w:val="none"/>
                <w:lang w:eastAsia="zh-CN" w:bidi="ar"/>
              </w:rPr>
              <w:t>－</w:t>
            </w:r>
            <w:r>
              <w:rPr>
                <w:rFonts w:ascii="宋体" w:hAnsi="宋体" w:eastAsia="宋体" w:cs="宋体"/>
                <w:i w:val="0"/>
                <w:iCs w:val="0"/>
                <w:color w:val="000000"/>
                <w:kern w:val="0"/>
                <w:sz w:val="20"/>
                <w:szCs w:val="20"/>
                <w:u w:val="none"/>
                <w:lang w:val="en-US" w:eastAsia="zh-CN" w:bidi="ar"/>
              </w:rPr>
              <w:t>广东省第二人民医院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出生医学证明打印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广东省生育登记证明（一孩登记）打印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广东省生育登记证明（二孩登记）打印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广东省批准再生育子女决定书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司法</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法律服务机构查询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司法</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法律服务人员查询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司法</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律师执业证复印件打印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司法</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律师工作证复印件打印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食药监</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食品经营许可证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省政府督查室</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广东省政府互联网+督查</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城镇职工养老待遇资格认证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社保卡挂失</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社保卡解挂</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社保卡领卡启用</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社保卡信息查询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社保卡制卡进度查询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省内异地定点医疗机构</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省外异地定点医疗机构</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高校毕业生就业报到证复印件打印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29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广东省人才优粤卡</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专业技术资格证书复印件打印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广东省职称证书复印件打印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参保缴费记录查询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技师学院毕业证书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技工学校毕业证书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高级技工学校毕业证书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气象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空气质量</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气象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实时天气</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农业农村</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肥料登记证信息查询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39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农业农村</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农机购置补贴产品查询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农产品销售</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农产品销售</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最低生活保障预约申请</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特困人员救助供养预约申请</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低收入家庭申请预约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临时救助申请预约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中华人民共和国结婚证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中华人民共和国离婚证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广东省城乡居民最低生活保障证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民政</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特困人员救助供养证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49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交通</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中华人民共和国道路运输从业人员从业资格证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身份证复印件打印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居住证复印件打印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无犯罪记录证明</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港澳居民居住证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台湾居民居住证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残联</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残疾等级变更</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残联</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残疾人证挂失</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残联</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残疾人证损坏换领</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残联</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残疾人证复印件打印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59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国家职业资格证书查询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专项职业能力证书查询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高新技术考试合格证书查询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个税清单打印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个税完税证明打印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车船税缴纳明细查询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房屋契税明细查询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社保费信息查询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A级纳税人信息查询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纳税人状态查询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69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丢失被盗发票查询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发票遗失声明查询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申报情况查询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税务登记信息查询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生活缴费</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电费查询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生活缴费</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电费缴纳</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全省（除深圳）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交通</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中华人民共和国网络预约出租汽车驾驶员证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深圳、佛山、韶关、东莞、中山、江门、阳江、湛江、茂名、肇庆、云浮</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质监</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中华人民共和国特种设备安全管理和作业人员证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广州、深圳、珠海、佛山、韶关、东莞、江门、肇庆</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医保</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参保人员参保信息查询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汕尾、中山、清远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医保</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出具《参保凭证》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汕尾、中山、清远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79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参保缴费状态查询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单位参保缴费人员名册查询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单位参保缴费人员明细查询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单位参保缴费信息查询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单位参保缴费状态查询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个人待遇明细查询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医保</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职工医保个账划拨查询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珠海、清远</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个人参保证明</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高层次人才证书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深圳、云浮</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户口迁移证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深圳、云浮</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89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医疗挂号</w:t>
            </w:r>
            <w:r>
              <w:rPr>
                <w:rFonts w:ascii="宋体" w:hAnsi="宋体" w:eastAsia="宋体" w:cs="宋体"/>
                <w:i w:val="0"/>
                <w:iCs w:val="0"/>
                <w:color w:val="000000"/>
                <w:kern w:val="0"/>
                <w:sz w:val="20"/>
                <w:szCs w:val="20"/>
                <w:u w:val="none"/>
                <w:lang w:eastAsia="zh-CN" w:bidi="ar"/>
              </w:rPr>
              <w:t>－</w:t>
            </w:r>
            <w:r>
              <w:rPr>
                <w:rFonts w:ascii="宋体" w:hAnsi="宋体" w:eastAsia="宋体" w:cs="宋体"/>
                <w:i w:val="0"/>
                <w:iCs w:val="0"/>
                <w:color w:val="000000"/>
                <w:kern w:val="0"/>
                <w:sz w:val="20"/>
                <w:szCs w:val="20"/>
                <w:u w:val="none"/>
                <w:lang w:val="en-US" w:eastAsia="zh-CN" w:bidi="ar"/>
              </w:rPr>
              <w:t>高州市人民医院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湛江、茂名</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医疗挂号</w:t>
            </w:r>
            <w:r>
              <w:rPr>
                <w:rFonts w:ascii="宋体" w:hAnsi="宋体" w:eastAsia="宋体" w:cs="宋体"/>
                <w:i w:val="0"/>
                <w:iCs w:val="0"/>
                <w:color w:val="000000"/>
                <w:kern w:val="0"/>
                <w:sz w:val="20"/>
                <w:szCs w:val="20"/>
                <w:u w:val="none"/>
                <w:lang w:eastAsia="zh-CN" w:bidi="ar"/>
              </w:rPr>
              <w:t>－</w:t>
            </w:r>
            <w:r>
              <w:rPr>
                <w:rFonts w:ascii="宋体" w:hAnsi="宋体" w:eastAsia="宋体" w:cs="宋体"/>
                <w:i w:val="0"/>
                <w:iCs w:val="0"/>
                <w:color w:val="000000"/>
                <w:kern w:val="0"/>
                <w:sz w:val="20"/>
                <w:szCs w:val="20"/>
                <w:u w:val="none"/>
                <w:lang w:val="en-US" w:eastAsia="zh-CN" w:bidi="ar"/>
              </w:rPr>
              <w:t>高州市中医院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湛江、茂名</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发改</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个人信用报告打印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签注居住证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补领、换领居住证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广州市就业创业证复印件打印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高校毕业生档案查询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职业技能资格证书/成绩查询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献血记录查询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献血结果查询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99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血液去向查询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气象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突发气象灾害预警信号查询</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医保</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医保转移接续证明</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档案</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广州市档案专业人员岗位培训证书</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应急管理</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特种作业操作证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104</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卫健</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广州市计划生育证明</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广州</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105</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教育</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出国留学人员资格证明打印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106</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教育</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教师资格证复印件打印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107</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公安</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户口注销证明打印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108</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侨务</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归侨身份证明打印</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109</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交通</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深圳市小汽车增量指标个人指标证明文件</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110</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交通</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深圳市小汽车更新指标个人指标证明文件</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111</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人社</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深圳市失业登记证明</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112</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残联</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深圳市残疾失业人员证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nil"/>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sz w:val="24"/>
                <w:szCs w:val="24"/>
              </w:rPr>
            </w:pPr>
            <w:r>
              <w:rPr>
                <w:rFonts w:hint="default" w:eastAsia="宋体" w:cs="宋体" w:asciiTheme="majorAscii" w:hAnsiTheme="majorAscii"/>
                <w:b w:val="0"/>
                <w:color w:val="000000"/>
                <w:kern w:val="0"/>
                <w:sz w:val="24"/>
                <w:szCs w:val="24"/>
                <w:lang w:bidi="ar"/>
              </w:rPr>
              <w:t>113</w:t>
            </w:r>
          </w:p>
        </w:tc>
        <w:tc>
          <w:tcPr>
            <w:tcW w:w="1483"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残联</w:t>
            </w:r>
          </w:p>
        </w:tc>
        <w:tc>
          <w:tcPr>
            <w:tcW w:w="4082"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left"/>
              <w:textAlignment w:val="center"/>
              <w:rPr>
                <w:rFonts w:hint="default" w:eastAsia="宋体" w:cs="宋体" w:asciiTheme="majorAscii" w:hAnsiTheme="majorAscii"/>
                <w:b w:val="0"/>
                <w:color w:val="00000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深圳市残疾失业员工证</w:t>
            </w:r>
          </w:p>
        </w:tc>
        <w:tc>
          <w:tcPr>
            <w:tcW w:w="1387" w:type="dxa"/>
            <w:tcBorders>
              <w:top w:val="nil"/>
              <w:left w:val="nil"/>
              <w:bottom w:val="single" w:color="auto" w:sz="4" w:space="0"/>
              <w:right w:val="single" w:color="auto" w:sz="4" w:space="0"/>
            </w:tcBorders>
            <w:tcMar>
              <w:top w:w="20" w:type="dxa"/>
              <w:left w:w="20" w:type="dxa"/>
              <w:right w:w="20" w:type="dxa"/>
            </w:tcMar>
            <w:vAlign w:val="center"/>
          </w:tcPr>
          <w:p>
            <w:pPr>
              <w:keepNext w:val="0"/>
              <w:keepLines w:val="0"/>
              <w:widowControl/>
              <w:suppressLineNumbers w:val="0"/>
              <w:jc w:val="center"/>
              <w:textAlignment w:val="center"/>
              <w:rPr>
                <w:rFonts w:hint="default" w:eastAsia="宋体" w:cs="宋体" w:asciiTheme="majorAscii" w:hAnsiTheme="majorAscii"/>
                <w:b w:val="0"/>
                <w:color w:val="000000"/>
                <w:sz w:val="24"/>
                <w:szCs w:val="24"/>
              </w:rPr>
            </w:pPr>
            <w:r>
              <w:rPr>
                <w:rFonts w:ascii="宋体" w:hAnsi="宋体" w:eastAsia="宋体" w:cs="宋体"/>
                <w:i w:val="0"/>
                <w:iCs w:val="0"/>
                <w:color w:val="000000"/>
                <w:kern w:val="0"/>
                <w:sz w:val="20"/>
                <w:szCs w:val="20"/>
                <w:u w:val="none"/>
                <w:lang w:val="en-US" w:eastAsia="zh-CN" w:bidi="ar"/>
              </w:rPr>
              <w:t>深圳</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bidi="ar"/>
              </w:rPr>
              <w:t>114</w:t>
            </w: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民政</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老年人优待证申请（韶关）</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韶关</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自然资源</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不动产信息查询（韶关个人名下房产查询、不动产登记资料查询）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韶关</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政数</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惠民补贴发放查询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梅州</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政数</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惠民补贴政策查询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梅州</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自然资源</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不动产查房证明</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汕尾</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公积金缴存信息查询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湛江</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公积金缴存明细查询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湛江</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水务</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水费账单查询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湛江</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自然资源</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不动产信息查询（肇庆个人名下房产查询、不动产登记资料查询）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肇庆</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公积金缴存明细（肇庆）</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肇庆</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公积金缴存信息（肇庆）</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肇庆</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水务</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水费缴纳（肇庆）</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肇庆</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民政</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老年人优待证申请（清远）</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清远</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人社</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社保参保证明</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清远</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自然资源</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不动产信息查询（清远个人名下房产查询、不动产登记资料查询）</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清远</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医疗</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住院证明打印</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清远</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医疗</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出院诊断证明打印</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清远</w:t>
            </w:r>
          </w:p>
        </w:tc>
      </w:tr>
      <w:tr>
        <w:tblPrEx>
          <w:tblCellMar>
            <w:top w:w="0" w:type="dxa"/>
            <w:left w:w="0" w:type="dxa"/>
            <w:bottom w:w="0" w:type="dxa"/>
            <w:right w:w="0" w:type="dxa"/>
          </w:tblCellMar>
        </w:tblPrEx>
        <w:trPr>
          <w:trHeight w:val="20" w:hRule="atLeast"/>
          <w:jc w:val="center"/>
        </w:trPr>
        <w:tc>
          <w:tcPr>
            <w:tcW w:w="629"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医疗</w:t>
            </w:r>
          </w:p>
        </w:tc>
        <w:tc>
          <w:tcPr>
            <w:tcW w:w="4082"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val="en-US" w:eastAsia="zh-CN" w:bidi="ar"/>
              </w:rPr>
            </w:pPr>
            <w:r>
              <w:rPr>
                <w:rFonts w:hint="default" w:eastAsia="宋体" w:cs="宋体" w:asciiTheme="majorAscii" w:hAnsiTheme="majorAscii"/>
                <w:b w:val="0"/>
                <w:color w:val="000000"/>
                <w:kern w:val="0"/>
                <w:sz w:val="24"/>
                <w:szCs w:val="24"/>
                <w:lang w:val="en-US" w:eastAsia="zh-CN" w:bidi="ar"/>
              </w:rPr>
              <w:t>出院通知书打印</w:t>
            </w:r>
          </w:p>
        </w:tc>
        <w:tc>
          <w:tcPr>
            <w:tcW w:w="1387" w:type="dxa"/>
            <w:tcBorders>
              <w:top w:val="single" w:color="auto" w:sz="4" w:space="0"/>
              <w:left w:val="single" w:color="auto" w:sz="4" w:space="0"/>
              <w:bottom w:val="single" w:color="auto" w:sz="4" w:space="0"/>
              <w:right w:val="single" w:color="auto" w:sz="4" w:space="0"/>
            </w:tcBorders>
            <w:tcMar>
              <w:top w:w="20" w:type="dxa"/>
              <w:left w:w="20" w:type="dxa"/>
              <w:right w:w="20" w:type="dxa"/>
            </w:tcMar>
            <w:vAlign w:val="center"/>
          </w:tcPr>
          <w:p>
            <w:pPr>
              <w:spacing w:line="560" w:lineRule="exact"/>
              <w:jc w:val="center"/>
              <w:textAlignment w:val="center"/>
              <w:rPr>
                <w:rFonts w:hint="default" w:eastAsia="宋体" w:cs="宋体" w:asciiTheme="majorAscii" w:hAnsiTheme="majorAscii"/>
                <w:b w:val="0"/>
                <w:color w:val="000000"/>
                <w:kern w:val="0"/>
                <w:sz w:val="24"/>
                <w:szCs w:val="24"/>
                <w:lang w:bidi="ar"/>
              </w:rPr>
            </w:pPr>
            <w:r>
              <w:rPr>
                <w:rFonts w:hint="default" w:eastAsia="宋体" w:cs="宋体" w:asciiTheme="majorAscii" w:hAnsiTheme="majorAscii"/>
                <w:b w:val="0"/>
                <w:color w:val="000000"/>
                <w:kern w:val="0"/>
                <w:sz w:val="24"/>
                <w:szCs w:val="24"/>
                <w:lang w:val="en-US" w:eastAsia="zh-CN" w:bidi="ar"/>
              </w:rPr>
              <w:t>清远</w:t>
            </w:r>
          </w:p>
        </w:tc>
      </w:tr>
    </w:tbl>
    <w:p>
      <w:pPr>
        <w:keepNext/>
        <w:keepLines/>
        <w:pageBreakBefore w:val="0"/>
        <w:widowControl w:val="0"/>
        <w:numPr>
          <w:ilvl w:val="1"/>
          <w:numId w:val="0"/>
        </w:numPr>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楷体" w:hAnsi="楷体" w:eastAsia="楷体" w:cs="楷体"/>
          <w:b w:val="0"/>
          <w:kern w:val="2"/>
          <w:sz w:val="32"/>
          <w:szCs w:val="32"/>
          <w:lang w:val="en-US" w:eastAsia="zh-CN" w:bidi="ar-SA"/>
        </w:rPr>
      </w:pPr>
    </w:p>
    <w:p>
      <w:pPr>
        <w:keepNext/>
        <w:keepLines/>
        <w:pageBreakBefore w:val="0"/>
        <w:widowControl w:val="0"/>
        <w:numPr>
          <w:ilvl w:val="1"/>
          <w:numId w:val="0"/>
        </w:numPr>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楷体" w:hAnsi="楷体" w:eastAsia="楷体" w:cs="楷体"/>
          <w:b w:val="0"/>
          <w:sz w:val="32"/>
          <w:szCs w:val="32"/>
        </w:rPr>
      </w:pPr>
      <w:r>
        <w:rPr>
          <w:rFonts w:hint="eastAsia" w:ascii="楷体" w:hAnsi="楷体" w:eastAsia="楷体" w:cs="楷体"/>
          <w:b w:val="0"/>
          <w:kern w:val="2"/>
          <w:sz w:val="32"/>
          <w:szCs w:val="32"/>
          <w:lang w:val="en-US" w:eastAsia="zh-CN" w:bidi="ar-SA"/>
        </w:rPr>
        <w:t>（三）</w:t>
      </w:r>
      <w:r>
        <w:rPr>
          <w:rFonts w:hint="eastAsia" w:ascii="楷体" w:hAnsi="楷体" w:eastAsia="楷体" w:cs="楷体"/>
          <w:b w:val="0"/>
          <w:sz w:val="32"/>
          <w:szCs w:val="32"/>
        </w:rPr>
        <w:t>终端硬件参数需求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0"/>
        <w:gridCol w:w="1591"/>
        <w:gridCol w:w="6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序号</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指标项</w:t>
            </w:r>
          </w:p>
        </w:tc>
        <w:tc>
          <w:tcPr>
            <w:tcW w:w="6378" w:type="dxa"/>
            <w:tcBorders>
              <w:top w:val="single" w:color="auto" w:sz="4" w:space="0"/>
              <w:left w:val="nil"/>
              <w:bottom w:val="single" w:color="auto" w:sz="4" w:space="0"/>
              <w:right w:val="single" w:color="auto" w:sz="4" w:space="0"/>
            </w:tcBorders>
            <w:vAlign w:val="center"/>
          </w:tcPr>
          <w:p>
            <w:pPr>
              <w:jc w:val="center"/>
              <w:rPr>
                <w:rFonts w:hint="default" w:asciiTheme="majorAscii" w:hAnsiTheme="majorAscii"/>
                <w:b w:val="0"/>
                <w:lang w:eastAsia="zh-Hans"/>
              </w:rPr>
            </w:pPr>
            <w:r>
              <w:rPr>
                <w:rFonts w:hint="default" w:asciiTheme="majorAscii" w:hAnsiTheme="majorAscii"/>
                <w:b w:val="0"/>
                <w:lang w:eastAsia="zh-Hans"/>
              </w:rPr>
              <w:t>规格参数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1</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机柜</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1.机身应有一定的刚度和强度，以防止由于空间变动、部件松动或移位造成的终端内部零部件损坏，并应防止和减少部件发生点击和人身伤害的可行性</w:t>
            </w:r>
          </w:p>
          <w:p>
            <w:pPr>
              <w:rPr>
                <w:rFonts w:hint="default" w:asciiTheme="majorAscii" w:hAnsiTheme="majorAscii"/>
                <w:b w:val="0"/>
                <w:lang w:eastAsia="zh-Hans"/>
              </w:rPr>
            </w:pPr>
            <w:r>
              <w:rPr>
                <w:rFonts w:hint="default" w:asciiTheme="majorAscii" w:hAnsiTheme="majorAscii"/>
                <w:b w:val="0"/>
                <w:lang w:eastAsia="zh-Hans"/>
              </w:rPr>
              <w:t>2.机身零部件应紧固无松动，活动部件的动作应灵活可靠</w:t>
            </w:r>
          </w:p>
          <w:p>
            <w:pPr>
              <w:rPr>
                <w:rFonts w:hint="default" w:asciiTheme="majorAscii" w:hAnsiTheme="majorAscii"/>
                <w:b w:val="0"/>
                <w:lang w:eastAsia="zh-Hans"/>
              </w:rPr>
            </w:pPr>
            <w:r>
              <w:rPr>
                <w:rFonts w:hint="default" w:asciiTheme="majorAscii" w:hAnsiTheme="majorAscii"/>
                <w:b w:val="0"/>
                <w:lang w:eastAsia="zh-Hans"/>
              </w:rPr>
              <w:t>3.机身表面耐腐蚀、易清洁、不褪色</w:t>
            </w:r>
          </w:p>
          <w:p>
            <w:pPr>
              <w:rPr>
                <w:rFonts w:hint="default" w:asciiTheme="majorAscii" w:hAnsiTheme="majorAscii"/>
                <w:b w:val="0"/>
                <w:lang w:eastAsia="zh-Hans"/>
              </w:rPr>
            </w:pPr>
            <w:r>
              <w:rPr>
                <w:rFonts w:hint="default" w:asciiTheme="majorAscii" w:hAnsiTheme="majorAscii"/>
                <w:b w:val="0"/>
                <w:lang w:eastAsia="zh-Hans"/>
              </w:rPr>
              <w:t>4.各类输入输出口应具备易辨认的标识</w:t>
            </w:r>
          </w:p>
          <w:p>
            <w:pPr>
              <w:rPr>
                <w:rFonts w:hint="default" w:asciiTheme="majorAscii" w:hAnsiTheme="majorAscii"/>
                <w:b w:val="0"/>
                <w:lang w:eastAsia="zh-Hans"/>
              </w:rPr>
            </w:pPr>
            <w:r>
              <w:rPr>
                <w:rFonts w:hint="default" w:asciiTheme="majorAscii" w:hAnsiTheme="majorAscii"/>
                <w:b w:val="0"/>
                <w:lang w:eastAsia="zh-Hans"/>
              </w:rPr>
              <w:t>5.机柜（不包括扩展机柜或其他附加组件）的外形尺寸应在1690（高）×660（宽）×890（深）mm左右，相差不超过20mm</w:t>
            </w:r>
          </w:p>
          <w:p>
            <w:pPr>
              <w:rPr>
                <w:rFonts w:hint="default" w:asciiTheme="majorAscii" w:hAnsiTheme="majorAscii"/>
                <w:b w:val="0"/>
                <w:lang w:eastAsia="zh-Hans"/>
              </w:rPr>
            </w:pPr>
            <w:r>
              <w:rPr>
                <w:rFonts w:hint="default" w:asciiTheme="majorAscii" w:hAnsiTheme="majorAscii"/>
                <w:b w:val="0"/>
                <w:lang w:eastAsia="zh-Hans"/>
              </w:rPr>
              <w:t>5. 提供自助服务终端产品外观及内部结构照片，并注明机柜尺寸及各项功能的分布情况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2</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工控主机</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1.CPU：双核，不低于3.4G，三级缓存不低于3M；</w:t>
            </w:r>
          </w:p>
          <w:p>
            <w:pPr>
              <w:rPr>
                <w:rFonts w:hint="default" w:asciiTheme="majorAscii" w:hAnsiTheme="majorAscii"/>
                <w:b w:val="0"/>
                <w:lang w:eastAsia="zh-Hans"/>
              </w:rPr>
            </w:pPr>
            <w:r>
              <w:rPr>
                <w:rFonts w:hint="default" w:asciiTheme="majorAscii" w:hAnsiTheme="majorAscii"/>
                <w:b w:val="0"/>
                <w:lang w:eastAsia="zh-Hans"/>
              </w:rPr>
              <w:t>2.内存：不低于4G；</w:t>
            </w:r>
          </w:p>
          <w:p>
            <w:pPr>
              <w:rPr>
                <w:rFonts w:hint="default" w:asciiTheme="majorAscii" w:hAnsiTheme="majorAscii"/>
                <w:b w:val="0"/>
                <w:lang w:eastAsia="zh-Hans"/>
              </w:rPr>
            </w:pPr>
            <w:r>
              <w:rPr>
                <w:rFonts w:hint="default" w:asciiTheme="majorAscii" w:hAnsiTheme="majorAscii"/>
                <w:b w:val="0"/>
                <w:lang w:eastAsia="zh-Hans"/>
              </w:rPr>
              <w:t>3.硬盘：不低于500GB (7200转）；</w:t>
            </w:r>
          </w:p>
          <w:p>
            <w:pPr>
              <w:rPr>
                <w:rFonts w:hint="default" w:asciiTheme="majorAscii" w:hAnsiTheme="majorAscii"/>
                <w:b w:val="0"/>
                <w:lang w:eastAsia="zh-Hans"/>
              </w:rPr>
            </w:pPr>
            <w:r>
              <w:rPr>
                <w:rFonts w:hint="default" w:asciiTheme="majorAscii" w:hAnsiTheme="majorAscii"/>
                <w:b w:val="0"/>
                <w:lang w:eastAsia="zh-Hans"/>
              </w:rPr>
              <w:t>4.I/O 接口：不少于10个串口、1个LPT、9个USB2.0；</w:t>
            </w:r>
          </w:p>
          <w:p>
            <w:pPr>
              <w:rPr>
                <w:rFonts w:hint="default" w:asciiTheme="majorAscii" w:hAnsiTheme="majorAscii"/>
                <w:b w:val="0"/>
                <w:lang w:eastAsia="zh-Hans"/>
              </w:rPr>
            </w:pPr>
            <w:r>
              <w:rPr>
                <w:rFonts w:hint="default" w:asciiTheme="majorAscii" w:hAnsiTheme="majorAscii"/>
                <w:b w:val="0"/>
                <w:lang w:eastAsia="zh-Hans"/>
              </w:rPr>
              <w:t>5.显示接口：1 个VGA 接口，1 个LVDS 接口；</w:t>
            </w:r>
          </w:p>
          <w:p>
            <w:pPr>
              <w:rPr>
                <w:rFonts w:hint="default" w:asciiTheme="majorAscii" w:hAnsiTheme="majorAscii"/>
                <w:b w:val="0"/>
                <w:lang w:eastAsia="zh-Hans"/>
              </w:rPr>
            </w:pPr>
            <w:r>
              <w:rPr>
                <w:rFonts w:hint="default" w:asciiTheme="majorAscii" w:hAnsiTheme="majorAscii"/>
                <w:b w:val="0"/>
                <w:lang w:eastAsia="zh-Hans"/>
              </w:rPr>
              <w:t>6.网口：1 个10/100Mbps；</w:t>
            </w:r>
          </w:p>
          <w:p>
            <w:pPr>
              <w:rPr>
                <w:rFonts w:hint="default" w:asciiTheme="majorAscii" w:hAnsiTheme="majorAscii"/>
                <w:b w:val="0"/>
                <w:lang w:eastAsia="zh-Hans"/>
              </w:rPr>
            </w:pPr>
            <w:r>
              <w:rPr>
                <w:rFonts w:hint="default" w:asciiTheme="majorAscii" w:hAnsiTheme="majorAscii"/>
                <w:b w:val="0"/>
                <w:lang w:eastAsia="zh-Hans"/>
              </w:rPr>
              <w:t>7.扩展总线：2个以上标准PCI 、PCI-E扩展槽；</w:t>
            </w:r>
          </w:p>
          <w:p>
            <w:pPr>
              <w:rPr>
                <w:rFonts w:hint="default" w:asciiTheme="majorAscii" w:hAnsiTheme="majorAscii"/>
                <w:b w:val="0"/>
                <w:lang w:eastAsia="zh-Hans"/>
              </w:rPr>
            </w:pPr>
            <w:r>
              <w:rPr>
                <w:rFonts w:hint="default" w:asciiTheme="majorAscii" w:hAnsiTheme="majorAscii"/>
                <w:b w:val="0"/>
                <w:lang w:eastAsia="zh-Hans"/>
              </w:rPr>
              <w:t>8.音频接口：一组音频输入/输出接口；</w:t>
            </w:r>
          </w:p>
          <w:p>
            <w:pPr>
              <w:rPr>
                <w:rFonts w:hint="default" w:asciiTheme="majorAscii" w:hAnsiTheme="majorAscii"/>
                <w:b w:val="0"/>
                <w:lang w:eastAsia="zh-Hans"/>
              </w:rPr>
            </w:pPr>
            <w:r>
              <w:rPr>
                <w:rFonts w:hint="default" w:asciiTheme="majorAscii" w:hAnsiTheme="majorAscii"/>
                <w:b w:val="0"/>
                <w:lang w:eastAsia="zh-Hans"/>
              </w:rPr>
              <w:t>9.操作系统：配置正版Windows操作系统；</w:t>
            </w:r>
          </w:p>
          <w:p>
            <w:pPr>
              <w:rPr>
                <w:rFonts w:hint="default" w:asciiTheme="majorAscii" w:hAnsiTheme="majorAscii"/>
                <w:b w:val="0"/>
                <w:lang w:eastAsia="zh-Hans"/>
              </w:rPr>
            </w:pPr>
            <w:r>
              <w:rPr>
                <w:rFonts w:hint="default" w:asciiTheme="majorAscii" w:hAnsiTheme="majorAscii"/>
                <w:b w:val="0"/>
                <w:lang w:eastAsia="zh-Hans"/>
              </w:rPr>
              <w:t xml:space="preserve">10.硬件支持外联网可信接入； </w:t>
            </w:r>
          </w:p>
          <w:p>
            <w:pPr>
              <w:rPr>
                <w:rFonts w:hint="default" w:asciiTheme="majorAscii" w:hAnsiTheme="majorAscii"/>
                <w:b w:val="0"/>
                <w:lang w:eastAsia="zh-Hans"/>
              </w:rPr>
            </w:pPr>
            <w:r>
              <w:rPr>
                <w:rFonts w:hint="default" w:asciiTheme="majorAscii" w:hAnsiTheme="majorAscii"/>
                <w:b w:val="0"/>
                <w:lang w:eastAsia="zh-Hans"/>
              </w:rPr>
              <w:t>11.全金属工控主机机箱；</w:t>
            </w:r>
          </w:p>
          <w:p>
            <w:pPr>
              <w:rPr>
                <w:rFonts w:hint="default" w:asciiTheme="majorAscii" w:hAnsiTheme="majorAscii"/>
                <w:b w:val="0"/>
                <w:lang w:eastAsia="zh-Hans"/>
              </w:rPr>
            </w:pPr>
            <w:r>
              <w:rPr>
                <w:rFonts w:hint="default" w:asciiTheme="majorAscii" w:hAnsiTheme="majorAscii"/>
                <w:b w:val="0"/>
                <w:lang w:eastAsia="zh-Hans"/>
              </w:rPr>
              <w:t>12.工控主机所有外接接口不能通过扩展卡方式实现。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3</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触摸显示器</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1.尺寸与显示器匹配的防尘表面声波触摸屏，要求不低于19英寸</w:t>
            </w:r>
          </w:p>
          <w:p>
            <w:pPr>
              <w:rPr>
                <w:rFonts w:hint="default" w:asciiTheme="majorAscii" w:hAnsiTheme="majorAscii"/>
                <w:b w:val="0"/>
                <w:lang w:eastAsia="zh-Hans"/>
              </w:rPr>
            </w:pPr>
            <w:r>
              <w:rPr>
                <w:rFonts w:hint="default" w:asciiTheme="majorAscii" w:hAnsiTheme="majorAscii"/>
                <w:b w:val="0"/>
                <w:lang w:eastAsia="zh-Hans"/>
              </w:rPr>
              <w:t>2.寿命：正常使用情况下同点点击不小于3500万次</w:t>
            </w:r>
          </w:p>
          <w:p>
            <w:pPr>
              <w:rPr>
                <w:rFonts w:hint="default" w:asciiTheme="majorAscii" w:hAnsiTheme="majorAscii"/>
                <w:b w:val="0"/>
                <w:lang w:eastAsia="zh-Hans"/>
              </w:rPr>
            </w:pPr>
            <w:r>
              <w:rPr>
                <w:rFonts w:hint="default" w:asciiTheme="majorAscii" w:hAnsiTheme="majorAscii"/>
                <w:b w:val="0"/>
                <w:lang w:eastAsia="zh-Hans"/>
              </w:rPr>
              <w:t>3.触摸分辨率：不低于4096×4096</w:t>
            </w:r>
          </w:p>
          <w:p>
            <w:pPr>
              <w:rPr>
                <w:rFonts w:hint="default" w:asciiTheme="majorAscii" w:hAnsiTheme="majorAscii"/>
                <w:b w:val="0"/>
                <w:lang w:eastAsia="zh-Hans"/>
              </w:rPr>
            </w:pPr>
            <w:r>
              <w:rPr>
                <w:rFonts w:hint="default" w:asciiTheme="majorAscii" w:hAnsiTheme="majorAscii"/>
                <w:b w:val="0"/>
                <w:lang w:eastAsia="zh-Hans"/>
              </w:rPr>
              <w:t>4.触摸灵敏度可调节</w:t>
            </w:r>
          </w:p>
          <w:p>
            <w:pPr>
              <w:rPr>
                <w:rFonts w:hint="default" w:asciiTheme="majorAscii" w:hAnsiTheme="majorAscii"/>
                <w:b w:val="0"/>
                <w:lang w:eastAsia="zh-Hans"/>
              </w:rPr>
            </w:pPr>
            <w:r>
              <w:rPr>
                <w:rFonts w:hint="default" w:asciiTheme="majorAscii" w:hAnsiTheme="majorAscii"/>
                <w:b w:val="0"/>
                <w:lang w:eastAsia="zh-Hans"/>
              </w:rPr>
              <w:t>5.触摸反应时间≤20ms</w:t>
            </w:r>
          </w:p>
          <w:p>
            <w:pPr>
              <w:rPr>
                <w:rFonts w:hint="default" w:asciiTheme="majorAscii" w:hAnsiTheme="majorAscii"/>
                <w:b w:val="0"/>
                <w:lang w:eastAsia="zh-Hans"/>
              </w:rPr>
            </w:pPr>
            <w:r>
              <w:rPr>
                <w:rFonts w:hint="default" w:asciiTheme="majorAscii" w:hAnsiTheme="majorAscii"/>
                <w:b w:val="0"/>
                <w:lang w:eastAsia="zh-Hans"/>
              </w:rPr>
              <w:t>6.透光率≥80%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4</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密码金属键盘</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16键金属数字键盘：10个数字键，6个功能键，防水，防尘，防暴，防腐蚀，按键寿命不低于100万次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5</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读卡器</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三合一电动读卡器支持IC卡/磁卡/RF卡的读/写；可单独使用，也可组合使用；前后进卡/退卡；兼容多种通信协议；</w:t>
            </w:r>
          </w:p>
          <w:p>
            <w:pPr>
              <w:rPr>
                <w:rFonts w:hint="default" w:asciiTheme="majorAscii" w:hAnsiTheme="majorAscii"/>
                <w:b w:val="0"/>
                <w:lang w:eastAsia="zh-Hans"/>
              </w:rPr>
            </w:pPr>
            <w:r>
              <w:rPr>
                <w:rFonts w:hint="default" w:asciiTheme="majorAscii" w:hAnsiTheme="majorAscii"/>
                <w:b w:val="0"/>
                <w:lang w:eastAsia="zh-Hans"/>
              </w:rPr>
              <w:t>PSAM卡板具备有效的防尘、防异物卡口设计，兼容多种通信协议，具有银联PBOC2.0&amp;EMV认证和检验报告；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6</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自切纸票据打印机</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自切纸票据打印机具备纸边界自动定位、纸偏斜自动退出、黑标自动定位打印功能，超行宽自动压缩等多种智能化设计，给用户带来使用最便捷的享受；票据打印最大宽度不低于297mm；黑标定位；水平连线进纸；自动裁纸功能，可顺畅、连续打印切割100份3联票据，打印寿命4亿次/针；切刀寿命大于15万次，自动磨刀功能，切割误差3mm；打印速度450字/秒，色带寿命1000万字符以上。平均无故障时间2000小时；送纸速度10英寸/秒；切纸厚度〉=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7</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智能灯控系统</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自带智能LED灯控装置，能通过应用软件根据业务需要控制10组以上的LED灯开关；达到智能控制灯光，提醒用户需要进行的操作及其区域，例如：打印完成出票口亮灯提醒，刷银联卡区域亮灯提醒等。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8</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80mm 热敏凭条打印机</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热敏凭条打印机，自动切刀；打印宽度80mm纸：72mm/576点；分辨率8X8点/mm；打印速度150mm/s（35.4行/秒）；</w:t>
            </w:r>
          </w:p>
          <w:p>
            <w:pPr>
              <w:rPr>
                <w:rFonts w:hint="default" w:asciiTheme="majorAscii" w:hAnsiTheme="majorAscii"/>
                <w:b w:val="0"/>
                <w:lang w:eastAsia="zh-Hans"/>
              </w:rPr>
            </w:pPr>
            <w:r>
              <w:rPr>
                <w:rFonts w:hint="default" w:asciiTheme="majorAscii" w:hAnsiTheme="majorAscii"/>
                <w:b w:val="0"/>
                <w:lang w:eastAsia="zh-Hans"/>
              </w:rPr>
              <w:t>尺寸、定位孔、软件指令等完全兼容EPSON BA-T500主板；支持条码打印功能，串口输出打印；适用各种高要求银行终端打印输出。带标记探测光电传感器；缺纸探测光电传感器；纸将尽探测光电传感器。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9</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二代身份证阅读器</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符合二代居民身份证鉴别仪通用技术要求，兼容ISO14443（TypeB）标准；工作频率：13.56MHz（fc）；阅读距离：0～50mm；</w:t>
            </w:r>
          </w:p>
          <w:p>
            <w:pPr>
              <w:rPr>
                <w:rFonts w:hint="default" w:asciiTheme="majorAscii" w:hAnsiTheme="majorAscii"/>
                <w:b w:val="0"/>
                <w:lang w:eastAsia="zh-Hans"/>
              </w:rPr>
            </w:pPr>
            <w:r>
              <w:rPr>
                <w:rFonts w:hint="default" w:asciiTheme="majorAscii" w:hAnsiTheme="majorAscii"/>
                <w:b w:val="0"/>
                <w:lang w:eastAsia="zh-Hans"/>
              </w:rPr>
              <w:t>阅读时间：小于0.5s；平均无故障工作时间（MTBF）：大于5000小时。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10</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文档拍摄仪</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文档拍摄仪，整体不低于500万像素分辨率，自动对焦、自动测光、自动白平衡，最大扫描幅面不低于A3幅面。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11</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输入</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电源：198V～242V，1.5A，整机功率400W。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hint="default" w:asciiTheme="majorAscii" w:hAnsiTheme="majorAscii"/>
                <w:b w:val="0"/>
                <w:lang w:eastAsia="zh-Hans"/>
              </w:rPr>
            </w:pPr>
            <w:r>
              <w:rPr>
                <w:rFonts w:hint="default" w:asciiTheme="majorAscii" w:hAnsiTheme="majorAscii"/>
                <w:b w:val="0"/>
                <w:lang w:eastAsia="zh-Hans"/>
              </w:rPr>
              <w:t>12</w:t>
            </w:r>
          </w:p>
        </w:tc>
        <w:tc>
          <w:tcPr>
            <w:tcW w:w="1591"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tcPr>
          <w:p>
            <w:pPr>
              <w:rPr>
                <w:rFonts w:hint="default" w:asciiTheme="majorAscii" w:hAnsiTheme="majorAscii"/>
                <w:b w:val="0"/>
                <w:lang w:eastAsia="zh-Hans"/>
              </w:rPr>
            </w:pPr>
            <w:r>
              <w:rPr>
                <w:rFonts w:hint="default" w:asciiTheme="majorAscii" w:hAnsiTheme="majorAscii"/>
                <w:b w:val="0"/>
                <w:lang w:eastAsia="zh-Hans"/>
              </w:rPr>
              <w:t>温湿度</w:t>
            </w:r>
          </w:p>
        </w:tc>
        <w:tc>
          <w:tcPr>
            <w:tcW w:w="6378" w:type="dxa"/>
            <w:tcBorders>
              <w:top w:val="single" w:color="auto" w:sz="4" w:space="0"/>
              <w:left w:val="nil"/>
              <w:bottom w:val="single" w:color="auto" w:sz="4" w:space="0"/>
              <w:right w:val="single" w:color="auto" w:sz="4" w:space="0"/>
            </w:tcBorders>
          </w:tcPr>
          <w:p>
            <w:pPr>
              <w:rPr>
                <w:rFonts w:hint="default" w:asciiTheme="majorAscii" w:hAnsiTheme="majorAscii"/>
                <w:b w:val="0"/>
                <w:lang w:eastAsia="zh-Hans"/>
              </w:rPr>
            </w:pPr>
            <w:r>
              <w:rPr>
                <w:rFonts w:hint="default" w:asciiTheme="majorAscii" w:hAnsiTheme="majorAscii"/>
                <w:b w:val="0"/>
                <w:lang w:eastAsia="zh-Hans"/>
              </w:rPr>
              <w:t>工作温度：0℃～60℃；相对湿度：5%～90%。</w:t>
            </w:r>
          </w:p>
        </w:tc>
      </w:tr>
    </w:tbl>
    <w:p>
      <w:pPr>
        <w:keepNext/>
        <w:keepLines/>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0" w:firstLineChars="0"/>
        <w:textAlignment w:val="auto"/>
        <w:outlineLvl w:val="9"/>
        <w:rPr>
          <w:rFonts w:hint="eastAsia" w:ascii="楷体" w:hAnsi="楷体" w:eastAsia="楷体" w:cs="楷体"/>
          <w:b w:val="0"/>
          <w:kern w:val="2"/>
          <w:sz w:val="32"/>
          <w:szCs w:val="32"/>
          <w:lang w:val="en-US" w:eastAsia="zh-CN" w:bidi="ar-SA"/>
        </w:rPr>
      </w:pPr>
    </w:p>
    <w:p>
      <w:pPr>
        <w:keepNext/>
        <w:keepLines/>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textAlignment w:val="auto"/>
        <w:outlineLvl w:val="9"/>
        <w:rPr>
          <w:rFonts w:hint="default" w:cs="楷体" w:asciiTheme="majorAscii" w:hAnsiTheme="majorAscii"/>
          <w:b w:val="0"/>
        </w:rPr>
      </w:pPr>
      <w:r>
        <w:rPr>
          <w:rFonts w:hint="eastAsia" w:ascii="楷体" w:hAnsi="楷体" w:eastAsia="楷体" w:cs="楷体"/>
          <w:b w:val="0"/>
          <w:kern w:val="2"/>
          <w:sz w:val="32"/>
          <w:szCs w:val="32"/>
          <w:lang w:val="en-US" w:eastAsia="zh-CN" w:bidi="ar-SA"/>
        </w:rPr>
        <w:t>（四）</w:t>
      </w:r>
      <w:r>
        <w:rPr>
          <w:rFonts w:hint="eastAsia" w:ascii="楷体" w:hAnsi="楷体" w:eastAsia="楷体" w:cs="楷体"/>
          <w:b w:val="0"/>
          <w:sz w:val="32"/>
          <w:szCs w:val="32"/>
        </w:rPr>
        <w:t>售后服务要求：</w:t>
      </w:r>
      <w:r>
        <w:rPr>
          <w:rFonts w:hint="default" w:cs="楷体" w:asciiTheme="majorAscii" w:hAnsiTheme="majorAscii"/>
          <w:b w:val="0"/>
        </w:rPr>
        <w:t xml:space="preserve"> </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kern w:val="2"/>
          <w:sz w:val="32"/>
          <w:szCs w:val="32"/>
          <w:lang w:val="en-US" w:eastAsia="zh-CN" w:bidi="ar-SA"/>
        </w:rPr>
        <w:t>1.</w:t>
      </w:r>
      <w:r>
        <w:rPr>
          <w:rFonts w:hint="eastAsia" w:ascii="仿宋_GB2312" w:hAnsi="仿宋_GB2312" w:eastAsia="仿宋_GB2312" w:cs="仿宋_GB2312"/>
          <w:b w:val="0"/>
          <w:sz w:val="32"/>
          <w:szCs w:val="32"/>
        </w:rPr>
        <w:t>在服务期内成交人免费提供自助服务终端正常工作所需要的耗材，如纸张、色带和硒鼓碳粉等。</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2.</w:t>
      </w:r>
      <w:r>
        <w:rPr>
          <w:rFonts w:hint="eastAsia" w:ascii="仿宋_GB2312" w:hAnsi="仿宋_GB2312" w:eastAsia="仿宋_GB2312" w:cs="仿宋_GB2312"/>
          <w:b w:val="0"/>
          <w:sz w:val="32"/>
          <w:szCs w:val="32"/>
        </w:rPr>
        <w:t>设备故障处理服务：提供热线咨询服务，自助服务终端出现故障时，接到报障后1小时内响应，不能远程解决问题的，2小时内内派遣运维工程师到现场服务。对于成交方责任引起的故障，成交方须保证在次日中午12时前处理完毕，如需更换设备的，保证在接到报障的次日备件更换到位，保障自助服务终端正常运行，备件更换所使用的备件应为原厂备件。</w:t>
      </w:r>
    </w:p>
    <w:p>
      <w:pPr>
        <w:pStyle w:val="21"/>
        <w:keepNext w:val="0"/>
        <w:keepLines w:val="0"/>
        <w:pageBreakBefore w:val="0"/>
        <w:widowControl/>
        <w:numPr>
          <w:ilvl w:val="3"/>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lang w:val="en-US" w:eastAsia="zh-CN"/>
        </w:rPr>
        <w:t>3.</w:t>
      </w:r>
      <w:r>
        <w:rPr>
          <w:rFonts w:hint="eastAsia" w:ascii="仿宋_GB2312" w:hAnsi="仿宋_GB2312" w:eastAsia="仿宋_GB2312" w:cs="仿宋_GB2312"/>
          <w:b w:val="0"/>
          <w:sz w:val="32"/>
          <w:szCs w:val="32"/>
        </w:rPr>
        <w:t>设备巡检服务：每月对每台自助服务终端各模块进行测试，确认各模块工作正常，必要时更换配件，巡检时要对终端进行除尘、调校和部件润滑。</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四、服务时间</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2023年11月2日至2024年11月1日。</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五、服务报价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b w:val="0"/>
          <w:bCs/>
          <w:sz w:val="32"/>
          <w:szCs w:val="32"/>
        </w:rPr>
        <w:t>本服务费用</w:t>
      </w:r>
      <w:r>
        <w:rPr>
          <w:rFonts w:hint="eastAsia" w:ascii="仿宋_GB2312" w:hAnsi="仿宋_GB2312" w:eastAsia="仿宋_GB2312" w:cs="仿宋_GB2312"/>
          <w:b w:val="0"/>
          <w:bCs/>
          <w:sz w:val="32"/>
          <w:szCs w:val="32"/>
          <w:lang w:val="en-US" w:eastAsia="zh-CN"/>
        </w:rPr>
        <w:t>预算</w:t>
      </w:r>
      <w:r>
        <w:rPr>
          <w:rFonts w:hint="eastAsia" w:ascii="仿宋_GB2312" w:hAnsi="仿宋_GB2312" w:eastAsia="仿宋_GB2312" w:cs="仿宋_GB2312"/>
          <w:b w:val="0"/>
          <w:bCs/>
          <w:sz w:val="32"/>
          <w:szCs w:val="32"/>
        </w:rPr>
        <w:t>为人民币</w:t>
      </w:r>
      <w:r>
        <w:rPr>
          <w:rFonts w:hint="eastAsia" w:ascii="仿宋_GB2312" w:hAnsi="仿宋_GB2312" w:eastAsia="仿宋_GB2312" w:cs="仿宋_GB2312"/>
          <w:b w:val="0"/>
          <w:bCs/>
          <w:sz w:val="32"/>
          <w:szCs w:val="32"/>
          <w:lang w:val="en-US" w:eastAsia="zh-CN"/>
        </w:rPr>
        <w:t>102,000</w:t>
      </w:r>
      <w:r>
        <w:rPr>
          <w:rFonts w:hint="eastAsia" w:ascii="仿宋_GB2312" w:hAnsi="仿宋_GB2312" w:eastAsia="仿宋_GB2312" w:cs="仿宋_GB2312"/>
          <w:b w:val="0"/>
          <w:bCs/>
          <w:sz w:val="32"/>
          <w:szCs w:val="32"/>
        </w:rPr>
        <w:t>元整。供应商的报价不得超出最高限价。</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rPr>
        <w:t>六、确定成交供应商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若有多家供应商竞价，采购人将综合考虑供应商的服务质量、技术服务能力、采购信誉度、与本单位有服务经验者等方面进行择优选择，确定为成交供应商。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七、结算方式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按合同约定方式结算。</w:t>
      </w:r>
    </w:p>
    <w:p>
      <w:pPr>
        <w:pStyle w:val="2"/>
        <w:pageBreakBefore w:val="0"/>
        <w:numPr>
          <w:ilvl w:val="1"/>
          <w:numId w:val="0"/>
        </w:numPr>
        <w:kinsoku/>
        <w:wordWrap/>
        <w:overflowPunct/>
        <w:topLinePunct w:val="0"/>
        <w:autoSpaceDE/>
        <w:autoSpaceDN/>
        <w:bidi w:val="0"/>
        <w:adjustRightInd/>
        <w:snapToGrid/>
        <w:spacing w:before="0" w:after="0" w:line="560" w:lineRule="exact"/>
        <w:ind w:firstLine="642" w:firstLineChars="200"/>
        <w:textAlignment w:val="auto"/>
        <w:rPr>
          <w:rFonts w:hint="default"/>
          <w:lang w:val="en-US" w:eastAsia="zh-CN"/>
        </w:rPr>
      </w:pPr>
    </w:p>
    <w:sectPr>
      <w:footerReference r:id="rId5" w:type="default"/>
      <w:footerReference r:id="rId6" w:type="even"/>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B0604020202020204"/>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205464492"/>
      <w:docPartObj>
        <w:docPartGallery w:val="autotext"/>
      </w:docPartObj>
    </w:sdtPr>
    <w:sdtEndPr>
      <w:rPr>
        <w:rStyle w:val="19"/>
      </w:rPr>
    </w:sdtEndPr>
    <w:sdtContent>
      <w:p>
        <w:pPr>
          <w:pStyle w:val="14"/>
          <w:framePr w:wrap="around" w:vAnchor="text" w:hAnchor="margin" w:xAlign="center" w:y="1"/>
          <w:rPr>
            <w:rStyle w:val="19"/>
          </w:rPr>
        </w:pPr>
        <w:r>
          <w:rPr>
            <w:rStyle w:val="19"/>
          </w:rPr>
          <w:fldChar w:fldCharType="begin"/>
        </w:r>
        <w:r>
          <w:rPr>
            <w:rStyle w:val="19"/>
          </w:rPr>
          <w:instrText xml:space="preserve"> PAGE </w:instrText>
        </w:r>
        <w:r>
          <w:rPr>
            <w:rStyle w:val="19"/>
          </w:rPr>
          <w:fldChar w:fldCharType="separate"/>
        </w:r>
        <w:r>
          <w:rPr>
            <w:rStyle w:val="19"/>
          </w:rPr>
          <w:t>- 1 -</w:t>
        </w:r>
        <w:r>
          <w:rPr>
            <w:rStyle w:val="19"/>
          </w:rPr>
          <w:fldChar w:fldCharType="end"/>
        </w:r>
      </w:p>
    </w:sdtContent>
  </w:sdt>
  <w:p>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830952218"/>
      <w:docPartObj>
        <w:docPartGallery w:val="autotext"/>
      </w:docPartObj>
    </w:sdtPr>
    <w:sdtEndPr>
      <w:rPr>
        <w:rStyle w:val="19"/>
      </w:rPr>
    </w:sdtEndPr>
    <w:sdtContent>
      <w:p>
        <w:pPr>
          <w:pStyle w:val="14"/>
          <w:framePr w:wrap="around" w:vAnchor="text" w:hAnchor="margin" w:xAlign="center" w:y="1"/>
          <w:rPr>
            <w:rStyle w:val="19"/>
          </w:rPr>
        </w:pPr>
        <w:r>
          <w:rPr>
            <w:rStyle w:val="19"/>
          </w:rPr>
          <w:fldChar w:fldCharType="begin"/>
        </w:r>
        <w:r>
          <w:rPr>
            <w:rStyle w:val="19"/>
          </w:rPr>
          <w:instrText xml:space="preserve"> PAGE </w:instrText>
        </w:r>
        <w:r>
          <w:rPr>
            <w:rStyle w:val="19"/>
          </w:rP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90ED0"/>
    <w:multiLevelType w:val="multilevel"/>
    <w:tmpl w:val="EF990ED0"/>
    <w:lvl w:ilvl="0" w:tentative="0">
      <w:start w:val="1"/>
      <w:numFmt w:val="chineseCounting"/>
      <w:pStyle w:val="3"/>
      <w:suff w:val="nothing"/>
      <w:lvlText w:val="%1、"/>
      <w:lvlJc w:val="left"/>
      <w:pPr>
        <w:ind w:left="0" w:firstLine="0"/>
      </w:pPr>
      <w:rPr>
        <w:rFonts w:hint="eastAsia"/>
      </w:rPr>
    </w:lvl>
    <w:lvl w:ilvl="1" w:tentative="0">
      <w:start w:val="1"/>
      <w:numFmt w:val="chineseCounting"/>
      <w:pStyle w:val="2"/>
      <w:suff w:val="nothing"/>
      <w:lvlText w:val="（%2）"/>
      <w:lvlJc w:val="left"/>
      <w:pPr>
        <w:ind w:left="216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MjA1YjBkMTFmMTA1MmM3OGFjMDExZTRjYmJlMmIifQ=="/>
  </w:docVars>
  <w:rsids>
    <w:rsidRoot w:val="A77F9C3A"/>
    <w:rsid w:val="002F6962"/>
    <w:rsid w:val="00C235DE"/>
    <w:rsid w:val="00D10CE1"/>
    <w:rsid w:val="00DE5F8F"/>
    <w:rsid w:val="00E915D4"/>
    <w:rsid w:val="04981C80"/>
    <w:rsid w:val="0A1D346A"/>
    <w:rsid w:val="0C135AF6"/>
    <w:rsid w:val="112D4DBB"/>
    <w:rsid w:val="1E7F0254"/>
    <w:rsid w:val="207733AC"/>
    <w:rsid w:val="32426090"/>
    <w:rsid w:val="4ADC4D8C"/>
    <w:rsid w:val="4F1812D2"/>
    <w:rsid w:val="53230361"/>
    <w:rsid w:val="65FF3147"/>
    <w:rsid w:val="69310E13"/>
    <w:rsid w:val="6FCE4524"/>
    <w:rsid w:val="7CF160F1"/>
    <w:rsid w:val="A77F9C3A"/>
    <w:rsid w:val="D5FB1F20"/>
    <w:rsid w:val="FFB87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pPr>
    <w:rPr>
      <w:rFonts w:ascii="Times New Roman" w:hAnsi="Times New Roman" w:eastAsia="宋体" w:cs="Times New Roman"/>
      <w:kern w:val="2"/>
      <w:sz w:val="24"/>
      <w:szCs w:val="21"/>
      <w:lang w:val="en-US" w:eastAsia="zh-CN" w:bidi="ar-SA"/>
    </w:rPr>
  </w:style>
  <w:style w:type="paragraph" w:styleId="3">
    <w:name w:val="heading 1"/>
    <w:basedOn w:val="1"/>
    <w:next w:val="4"/>
    <w:qFormat/>
    <w:uiPriority w:val="9"/>
    <w:pPr>
      <w:keepNext/>
      <w:keepLines/>
      <w:widowControl w:val="0"/>
      <w:numPr>
        <w:ilvl w:val="0"/>
        <w:numId w:val="1"/>
      </w:numPr>
      <w:spacing w:before="340" w:after="330"/>
      <w:jc w:val="center"/>
      <w:outlineLvl w:val="0"/>
    </w:pPr>
    <w:rPr>
      <w:rFonts w:ascii="楷体_GB2312" w:eastAsia="楷体_GB2312"/>
      <w:b/>
      <w:kern w:val="44"/>
      <w:sz w:val="30"/>
      <w:szCs w:val="44"/>
    </w:rPr>
  </w:style>
  <w:style w:type="paragraph" w:styleId="2">
    <w:name w:val="heading 2"/>
    <w:basedOn w:val="3"/>
    <w:next w:val="4"/>
    <w:qFormat/>
    <w:uiPriority w:val="9"/>
    <w:pPr>
      <w:keepNext/>
      <w:keepLines/>
      <w:widowControl w:val="0"/>
      <w:numPr>
        <w:ilvl w:val="1"/>
        <w:numId w:val="1"/>
      </w:numPr>
      <w:spacing w:before="260" w:after="260"/>
      <w:jc w:val="both"/>
      <w:outlineLvl w:val="1"/>
    </w:pPr>
    <w:rPr>
      <w:rFonts w:ascii="Arial" w:hAnsi="Arial" w:eastAsia="黑体"/>
      <w:sz w:val="32"/>
      <w:szCs w:val="32"/>
    </w:rPr>
  </w:style>
  <w:style w:type="paragraph" w:styleId="5">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paragraph" w:styleId="6">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9">
    <w:name w:val="heading 7"/>
    <w:basedOn w:val="1"/>
    <w:next w:val="1"/>
    <w:semiHidden/>
    <w:unhideWhenUsed/>
    <w:qFormat/>
    <w:uiPriority w:val="0"/>
    <w:pPr>
      <w:keepNext/>
      <w:keepLines/>
      <w:numPr>
        <w:ilvl w:val="6"/>
        <w:numId w:val="1"/>
      </w:numPr>
      <w:spacing w:before="240" w:after="64" w:line="317" w:lineRule="auto"/>
      <w:outlineLvl w:val="6"/>
    </w:pPr>
    <w:rPr>
      <w:b/>
    </w:rPr>
  </w:style>
  <w:style w:type="paragraph" w:styleId="10">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1">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方案正文"/>
    <w:basedOn w:val="1"/>
    <w:qFormat/>
    <w:uiPriority w:val="0"/>
    <w:pPr>
      <w:spacing w:line="360" w:lineRule="auto"/>
      <w:ind w:firstLine="480" w:firstLineChars="200"/>
    </w:pPr>
    <w:rPr>
      <w:rFonts w:ascii="宋体" w:hAnsi="宋体" w:eastAsia="宋体"/>
      <w:color w:val="000000"/>
      <w:sz w:val="24"/>
      <w:szCs w:val="24"/>
      <w:lang w:val="zh-CN" w:eastAsia="zh-CN"/>
    </w:rPr>
  </w:style>
  <w:style w:type="paragraph" w:styleId="12">
    <w:name w:val="Body Text"/>
    <w:basedOn w:val="1"/>
    <w:qFormat/>
    <w:uiPriority w:val="0"/>
    <w:pPr>
      <w:widowControl/>
      <w:jc w:val="left"/>
    </w:pPr>
    <w:rPr>
      <w:rFonts w:eastAsia="宋体"/>
      <w:b/>
      <w:bCs/>
      <w:kern w:val="0"/>
      <w:sz w:val="24"/>
      <w:szCs w:val="24"/>
    </w:rPr>
  </w:style>
  <w:style w:type="paragraph" w:styleId="13">
    <w:name w:val="Plain Text"/>
    <w:basedOn w:val="1"/>
    <w:qFormat/>
    <w:uiPriority w:val="0"/>
    <w:pPr>
      <w:widowControl w:val="0"/>
      <w:spacing w:line="240" w:lineRule="auto"/>
      <w:jc w:val="both"/>
    </w:pPr>
    <w:rPr>
      <w:rFonts w:ascii="宋体" w:hAnsi="Courier New"/>
      <w:sz w:val="21"/>
      <w:szCs w:val="20"/>
    </w:rPr>
  </w:style>
  <w:style w:type="paragraph" w:styleId="14">
    <w:name w:val="footer"/>
    <w:basedOn w:val="1"/>
    <w:link w:val="25"/>
    <w:qFormat/>
    <w:uiPriority w:val="0"/>
    <w:pPr>
      <w:tabs>
        <w:tab w:val="center" w:pos="4153"/>
        <w:tab w:val="right" w:pos="8306"/>
      </w:tabs>
      <w:snapToGrid w:val="0"/>
      <w:spacing w:line="240" w:lineRule="auto"/>
    </w:pPr>
    <w:rPr>
      <w:sz w:val="18"/>
      <w:szCs w:val="18"/>
    </w:rPr>
  </w:style>
  <w:style w:type="paragraph" w:styleId="15">
    <w:name w:val="header"/>
    <w:basedOn w:val="1"/>
    <w:link w:val="24"/>
    <w:qFormat/>
    <w:uiPriority w:val="0"/>
    <w:pPr>
      <w:pBdr>
        <w:bottom w:val="single" w:color="auto" w:sz="6" w:space="1"/>
      </w:pBdr>
      <w:tabs>
        <w:tab w:val="center" w:pos="4153"/>
        <w:tab w:val="right" w:pos="8306"/>
      </w:tabs>
      <w:snapToGrid w:val="0"/>
      <w:spacing w:line="240" w:lineRule="auto"/>
      <w:jc w:val="center"/>
    </w:pPr>
    <w:rPr>
      <w:sz w:val="18"/>
      <w:szCs w:val="18"/>
    </w:rPr>
  </w:style>
  <w:style w:type="table" w:styleId="17">
    <w:name w:val="Table Grid"/>
    <w:basedOn w:val="16"/>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paragraph" w:customStyle="1" w:styleId="20">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列表段落1"/>
    <w:basedOn w:val="1"/>
    <w:qFormat/>
    <w:uiPriority w:val="34"/>
    <w:pPr>
      <w:ind w:firstLine="420" w:firstLineChars="200"/>
    </w:pPr>
  </w:style>
  <w:style w:type="character" w:customStyle="1" w:styleId="22">
    <w:name w:val="font51"/>
    <w:basedOn w:val="18"/>
    <w:qFormat/>
    <w:uiPriority w:val="0"/>
    <w:rPr>
      <w:rFonts w:hint="eastAsia" w:ascii="宋体" w:hAnsi="宋体" w:eastAsia="宋体" w:cs="宋体"/>
      <w:color w:val="000000"/>
      <w:sz w:val="20"/>
      <w:szCs w:val="20"/>
      <w:u w:val="none"/>
    </w:rPr>
  </w:style>
  <w:style w:type="character" w:customStyle="1" w:styleId="23">
    <w:name w:val="font61"/>
    <w:basedOn w:val="18"/>
    <w:qFormat/>
    <w:uiPriority w:val="0"/>
    <w:rPr>
      <w:rFonts w:hint="default" w:ascii="仿宋" w:hAnsi="仿宋" w:eastAsia="仿宋" w:cs="仿宋"/>
      <w:color w:val="000000"/>
      <w:sz w:val="20"/>
      <w:szCs w:val="20"/>
      <w:u w:val="none"/>
    </w:rPr>
  </w:style>
  <w:style w:type="character" w:customStyle="1" w:styleId="24">
    <w:name w:val="页眉 字符"/>
    <w:basedOn w:val="18"/>
    <w:link w:val="15"/>
    <w:qFormat/>
    <w:uiPriority w:val="0"/>
    <w:rPr>
      <w:rFonts w:ascii="Times New Roman" w:hAnsi="Times New Roman" w:eastAsia="宋体" w:cs="Times New Roman"/>
      <w:kern w:val="2"/>
      <w:sz w:val="18"/>
      <w:szCs w:val="18"/>
    </w:rPr>
  </w:style>
  <w:style w:type="character" w:customStyle="1" w:styleId="25">
    <w:name w:val="页脚 字符"/>
    <w:basedOn w:val="18"/>
    <w:link w:val="1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1617</Words>
  <Characters>9217</Characters>
  <Lines>76</Lines>
  <Paragraphs>21</Paragraphs>
  <TotalTime>12</TotalTime>
  <ScaleCrop>false</ScaleCrop>
  <LinksUpToDate>false</LinksUpToDate>
  <CharactersWithSpaces>10813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2022-07-15T17:21:00Z</dcterms:created>
  <dc:creator>lif</dc:creator>
  <cp:lastModifiedBy>{userName}</cp:lastModifiedBy>
  <dcterms:modified xsi:type="dcterms:W3CDTF">2023-09-15T15:05:30Z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D193AC2E311F5906868ECE6240D908C6</vt:lpwstr>
  </property>
</Properties>
</file>