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adjustRightInd w:val="0"/>
        <w:snapToGrid w:val="0"/>
        <w:rPr>
          <w:rFonts w:hint="eastAsia"/>
        </w:rPr>
      </w:pPr>
      <w:r>
        <w:rPr>
          <w:rFonts w:hint="eastAsia"/>
          <w:lang w:val="en-US" w:eastAsia="zh-CN"/>
        </w:rPr>
        <w:t>开平市</w:t>
      </w:r>
      <w:r>
        <w:rPr>
          <w:rFonts w:hint="eastAsia"/>
        </w:rPr>
        <w:t>新型智慧城市（一期）建设项目政务服务中台升级和政务一体化平台运营子项目（开平市一体化平台运营推广服务）</w:t>
      </w:r>
    </w:p>
    <w:p>
      <w:pPr>
        <w:pStyle w:val="3"/>
        <w:adjustRightInd w:val="0"/>
        <w:snapToGrid w:val="0"/>
        <w:rPr>
          <w:rFonts w:hint="eastAsia" w:eastAsia="方正小标宋简体"/>
          <w:lang w:val="en-US" w:eastAsia="zh-CN"/>
        </w:rPr>
      </w:pPr>
      <w:r>
        <w:rPr>
          <w:rFonts w:hint="eastAsia"/>
        </w:rPr>
        <w:t>采购</w:t>
      </w:r>
      <w:r>
        <w:rPr>
          <w:rFonts w:hint="eastAsia"/>
          <w:lang w:eastAsia="zh-CN"/>
        </w:rPr>
        <w:t>需求</w:t>
      </w:r>
    </w:p>
    <w:p>
      <w:pPr>
        <w:spacing w:line="276" w:lineRule="auto"/>
        <w:jc w:val="center"/>
        <w:rPr>
          <w:rFonts w:eastAsia="仿宋_GB2312"/>
          <w:bCs/>
          <w:sz w:val="32"/>
          <w:szCs w:val="32"/>
        </w:rPr>
      </w:pPr>
    </w:p>
    <w:p>
      <w:pPr>
        <w:spacing w:line="276" w:lineRule="auto"/>
        <w:ind w:firstLine="640" w:firstLineChars="200"/>
        <w:rPr>
          <w:rFonts w:eastAsia="黑体" w:cs="黑体"/>
          <w:bCs/>
          <w:sz w:val="32"/>
          <w:szCs w:val="32"/>
        </w:rPr>
      </w:pPr>
      <w:r>
        <w:rPr>
          <w:rFonts w:hint="eastAsia" w:eastAsia="黑体" w:cs="黑体"/>
          <w:bCs/>
          <w:sz w:val="32"/>
          <w:szCs w:val="32"/>
        </w:rPr>
        <w:t>一、项目概述</w:t>
      </w:r>
    </w:p>
    <w:p>
      <w:pPr>
        <w:pStyle w:val="11"/>
        <w:spacing w:line="560" w:lineRule="exact"/>
        <w:ind w:firstLine="640" w:firstLineChars="200"/>
        <w:rPr>
          <w:rFonts w:eastAsia="仿宋"/>
          <w:sz w:val="32"/>
          <w:szCs w:val="32"/>
          <w:lang w:eastAsia="zh-Hans"/>
        </w:rPr>
      </w:pPr>
      <w:r>
        <w:rPr>
          <w:rFonts w:hint="eastAsia" w:eastAsia="仿宋"/>
          <w:sz w:val="32"/>
          <w:szCs w:val="32"/>
          <w:lang w:eastAsia="zh-Hans"/>
        </w:rPr>
        <w:t>按照全市“一盘棋”建设理念，统筹推进全市政务服务一体化建设工作，本着立足各地现状、集约化管理、资源充分共享、有效节约成本的角度出发，市本级和各县（区、市）采用统一系统开发，大集中部署的建设模式，以满足全市数据集中、统筹管理的工作要求。</w:t>
      </w:r>
    </w:p>
    <w:p>
      <w:pPr>
        <w:spacing w:line="276" w:lineRule="auto"/>
        <w:ind w:firstLine="640" w:firstLineChars="200"/>
        <w:rPr>
          <w:rFonts w:eastAsia="黑体" w:cs="黑体"/>
          <w:bCs/>
          <w:sz w:val="32"/>
          <w:szCs w:val="32"/>
        </w:rPr>
      </w:pPr>
      <w:r>
        <w:rPr>
          <w:rFonts w:hint="eastAsia" w:eastAsia="黑体" w:cs="黑体"/>
          <w:bCs/>
          <w:sz w:val="32"/>
          <w:szCs w:val="32"/>
        </w:rPr>
        <w:t>二、项目需求</w:t>
      </w:r>
    </w:p>
    <w:p>
      <w:pPr>
        <w:pStyle w:val="6"/>
        <w:keepNext w:val="0"/>
        <w:keepLines w:val="0"/>
        <w:numPr>
          <w:ilvl w:val="4"/>
          <w:numId w:val="0"/>
        </w:numPr>
        <w:snapToGrid w:val="0"/>
        <w:spacing w:before="0" w:beforeLines="0" w:after="0" w:afterLines="0" w:line="560" w:lineRule="exact"/>
        <w:ind w:firstLine="640" w:firstLineChars="200"/>
        <w:rPr>
          <w:rFonts w:eastAsia="楷体" w:cs="楷体"/>
          <w:sz w:val="32"/>
          <w:szCs w:val="32"/>
          <w:lang w:eastAsia="zh-Hans"/>
        </w:rPr>
      </w:pPr>
      <w:r>
        <w:rPr>
          <w:rFonts w:hint="eastAsia" w:eastAsia="楷体" w:cs="楷体"/>
          <w:sz w:val="32"/>
          <w:szCs w:val="32"/>
        </w:rPr>
        <w:t>（一）</w:t>
      </w:r>
      <w:r>
        <w:rPr>
          <w:rFonts w:hint="eastAsia" w:eastAsia="楷体" w:cs="楷体"/>
          <w:sz w:val="32"/>
          <w:szCs w:val="32"/>
          <w:lang w:eastAsia="zh-Hans"/>
        </w:rPr>
        <w:t>区、市一体化平台运营推广服务</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lang w:eastAsia="zh-Hans"/>
        </w:rPr>
      </w:pPr>
      <w:r>
        <w:rPr>
          <w:rFonts w:hint="eastAsia" w:eastAsia="仿宋"/>
          <w:b/>
          <w:bCs/>
          <w:sz w:val="32"/>
          <w:szCs w:val="32"/>
        </w:rPr>
        <w:t>1.</w:t>
      </w:r>
      <w:r>
        <w:rPr>
          <w:rFonts w:hint="eastAsia" w:eastAsia="仿宋"/>
          <w:b/>
          <w:bCs/>
          <w:sz w:val="32"/>
          <w:szCs w:val="32"/>
          <w:lang w:eastAsia="zh-Hans"/>
        </w:rPr>
        <w:t>运营工作制度</w:t>
      </w:r>
    </w:p>
    <w:p>
      <w:pPr>
        <w:tabs>
          <w:tab w:val="left" w:pos="0"/>
        </w:tabs>
        <w:adjustRightInd w:val="0"/>
        <w:spacing w:line="560" w:lineRule="exact"/>
        <w:ind w:firstLine="640" w:firstLineChars="200"/>
        <w:textAlignment w:val="top"/>
        <w:rPr>
          <w:rFonts w:eastAsia="仿宋"/>
          <w:sz w:val="32"/>
          <w:szCs w:val="32"/>
          <w:lang w:eastAsia="zh-Hans"/>
        </w:rPr>
      </w:pPr>
      <w:r>
        <w:rPr>
          <w:rFonts w:hint="eastAsia" w:eastAsia="仿宋"/>
          <w:sz w:val="32"/>
          <w:szCs w:val="32"/>
          <w:lang w:eastAsia="zh-Hans"/>
        </w:rPr>
        <w:t>为确保江门市四市三区政务服务一体化平台的有效运作，贯彻执行业务管理标准，规范运营标准，江门市四市三区政务服务一体化平台运营工作遵照以下规范：</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1.1运营工作支撑服务</w:t>
      </w:r>
    </w:p>
    <w:p>
      <w:pPr>
        <w:tabs>
          <w:tab w:val="left" w:pos="0"/>
        </w:tabs>
        <w:adjustRightInd w:val="0"/>
        <w:spacing w:line="560" w:lineRule="exact"/>
        <w:ind w:firstLine="640" w:firstLineChars="200"/>
        <w:textAlignment w:val="top"/>
        <w:rPr>
          <w:rFonts w:eastAsia="仿宋"/>
          <w:sz w:val="32"/>
          <w:szCs w:val="32"/>
          <w:lang w:eastAsia="zh-Hans"/>
        </w:rPr>
      </w:pPr>
      <w:r>
        <w:rPr>
          <w:rFonts w:hint="eastAsia" w:eastAsia="仿宋"/>
          <w:sz w:val="32"/>
          <w:szCs w:val="32"/>
          <w:lang w:eastAsia="zh-Hans"/>
        </w:rPr>
        <w:t>（1）政府侧反馈问题跟踪</w:t>
      </w:r>
    </w:p>
    <w:p>
      <w:pPr>
        <w:tabs>
          <w:tab w:val="left" w:pos="0"/>
        </w:tabs>
        <w:adjustRightInd w:val="0"/>
        <w:spacing w:line="560" w:lineRule="exact"/>
        <w:ind w:firstLine="640" w:firstLineChars="200"/>
        <w:textAlignment w:val="top"/>
        <w:rPr>
          <w:rFonts w:eastAsia="仿宋"/>
          <w:sz w:val="32"/>
          <w:szCs w:val="32"/>
          <w:lang w:eastAsia="zh-Hans"/>
        </w:rPr>
      </w:pPr>
      <w:r>
        <w:rPr>
          <w:rFonts w:hint="eastAsia" w:eastAsia="仿宋"/>
          <w:sz w:val="32"/>
          <w:szCs w:val="32"/>
          <w:lang w:eastAsia="zh-Hans"/>
        </w:rPr>
        <w:t>各自区划运营人员，需对各渠道（现场、微信、QQ、电话）工作人员咨询的工单问题进行跟踪响应，并于2小时内进行响应回复，并对反馈问题进行处理，问题跟踪工作制度如下：</w:t>
      </w:r>
    </w:p>
    <w:p>
      <w:pPr>
        <w:tabs>
          <w:tab w:val="left" w:pos="0"/>
        </w:tabs>
        <w:adjustRightInd w:val="0"/>
        <w:spacing w:line="560" w:lineRule="exact"/>
        <w:ind w:firstLine="640" w:firstLineChars="200"/>
        <w:textAlignment w:val="top"/>
        <w:rPr>
          <w:rFonts w:eastAsia="仿宋"/>
          <w:sz w:val="32"/>
          <w:szCs w:val="32"/>
          <w:lang w:eastAsia="zh-Hans"/>
        </w:rPr>
      </w:pPr>
      <w:r>
        <w:rPr>
          <w:rFonts w:hint="eastAsia" w:eastAsia="仿宋"/>
          <w:sz w:val="32"/>
          <w:szCs w:val="32"/>
          <w:lang w:eastAsia="zh-Hans"/>
        </w:rPr>
        <w:t>①需求类反馈</w:t>
      </w:r>
    </w:p>
    <w:p>
      <w:pPr>
        <w:tabs>
          <w:tab w:val="left" w:pos="0"/>
        </w:tabs>
        <w:adjustRightInd w:val="0"/>
        <w:spacing w:line="560" w:lineRule="exact"/>
        <w:ind w:firstLine="640" w:firstLineChars="200"/>
        <w:textAlignment w:val="top"/>
        <w:rPr>
          <w:rFonts w:eastAsia="仿宋"/>
          <w:sz w:val="32"/>
          <w:szCs w:val="32"/>
          <w:lang w:eastAsia="zh-Hans"/>
        </w:rPr>
      </w:pPr>
      <w:r>
        <w:rPr>
          <w:rFonts w:hint="eastAsia" w:eastAsia="仿宋"/>
          <w:sz w:val="32"/>
          <w:szCs w:val="32"/>
          <w:lang w:eastAsia="zh-Hans"/>
        </w:rPr>
        <w:t>②故障类反馈</w:t>
      </w:r>
    </w:p>
    <w:p>
      <w:pPr>
        <w:tabs>
          <w:tab w:val="left" w:pos="0"/>
        </w:tabs>
        <w:adjustRightInd w:val="0"/>
        <w:spacing w:line="560" w:lineRule="exact"/>
        <w:ind w:firstLine="640" w:firstLineChars="200"/>
        <w:textAlignment w:val="top"/>
        <w:rPr>
          <w:rFonts w:eastAsia="仿宋"/>
          <w:sz w:val="32"/>
          <w:szCs w:val="32"/>
          <w:lang w:eastAsia="zh-Hans"/>
        </w:rPr>
      </w:pPr>
      <w:r>
        <w:rPr>
          <w:rFonts w:hint="eastAsia" w:eastAsia="仿宋"/>
          <w:sz w:val="32"/>
          <w:szCs w:val="32"/>
          <w:lang w:eastAsia="zh-Hans"/>
        </w:rPr>
        <w:t>③操作类反馈</w:t>
      </w:r>
    </w:p>
    <w:p>
      <w:pPr>
        <w:tabs>
          <w:tab w:val="left" w:pos="0"/>
        </w:tabs>
        <w:adjustRightInd w:val="0"/>
        <w:spacing w:line="560" w:lineRule="exact"/>
        <w:ind w:firstLine="640" w:firstLineChars="200"/>
        <w:textAlignment w:val="top"/>
        <w:rPr>
          <w:rFonts w:eastAsia="仿宋"/>
          <w:sz w:val="32"/>
          <w:szCs w:val="32"/>
          <w:lang w:eastAsia="zh-Hans"/>
        </w:rPr>
      </w:pPr>
      <w:r>
        <w:rPr>
          <w:rFonts w:hint="eastAsia" w:eastAsia="仿宋"/>
          <w:sz w:val="32"/>
          <w:szCs w:val="32"/>
          <w:lang w:eastAsia="zh-Hans"/>
        </w:rPr>
        <w:t>（2）公众侧反馈问题跟踪</w:t>
      </w:r>
    </w:p>
    <w:p>
      <w:pPr>
        <w:tabs>
          <w:tab w:val="left" w:pos="0"/>
        </w:tabs>
        <w:adjustRightInd w:val="0"/>
        <w:spacing w:line="560" w:lineRule="exact"/>
        <w:ind w:firstLine="640" w:firstLineChars="200"/>
        <w:textAlignment w:val="top"/>
        <w:rPr>
          <w:rFonts w:eastAsia="仿宋"/>
          <w:sz w:val="32"/>
          <w:szCs w:val="32"/>
          <w:lang w:eastAsia="zh-Hans"/>
        </w:rPr>
      </w:pPr>
      <w:r>
        <w:rPr>
          <w:rFonts w:hint="eastAsia" w:eastAsia="仿宋"/>
          <w:sz w:val="32"/>
          <w:szCs w:val="32"/>
          <w:lang w:eastAsia="zh-Hans"/>
        </w:rPr>
        <w:t>公众侧反馈问题，统一由12345政府热线中心接处，政府服务热线通过电话、微信、微博、电子邮件、短信、传真等渠道受理市民反映诉求，政府热线客服可根据一体化平台咨询响应指引进行快速响应，无法快速应发的反馈问题，政府服务热线可根据诉求性质、内容，紧急事项，5分钟内派送至运营团队，并通过电话或短信通知平台负责人；一般事项30分钟内派送至运营团队。运营团队应在规定的时限内办理并回复，对市民个人信息予以保密。工单办理时限要求如下：</w:t>
      </w:r>
    </w:p>
    <w:p>
      <w:pPr>
        <w:tabs>
          <w:tab w:val="left" w:pos="0"/>
        </w:tabs>
        <w:adjustRightInd w:val="0"/>
        <w:spacing w:line="560" w:lineRule="exact"/>
        <w:ind w:firstLine="640" w:firstLineChars="200"/>
        <w:textAlignment w:val="top"/>
        <w:rPr>
          <w:rFonts w:eastAsia="仿宋"/>
          <w:sz w:val="32"/>
          <w:szCs w:val="32"/>
          <w:lang w:eastAsia="zh-Hans"/>
        </w:rPr>
      </w:pPr>
      <w:r>
        <w:rPr>
          <w:rFonts w:hint="eastAsia" w:eastAsia="仿宋"/>
          <w:sz w:val="32"/>
          <w:szCs w:val="32"/>
          <w:lang w:eastAsia="zh-Hans"/>
        </w:rPr>
        <w:t>①咨询工单：运营团队收到政府服务热线派送的事项后需在1个工作日内做出初次回复，并将有关处理情况回复政府服务热线，不属于政务服务一体化平台咨询工单按热线工作要求在1个工作日内退件。</w:t>
      </w:r>
    </w:p>
    <w:p>
      <w:pPr>
        <w:tabs>
          <w:tab w:val="left" w:pos="0"/>
        </w:tabs>
        <w:adjustRightInd w:val="0"/>
        <w:spacing w:line="560" w:lineRule="exact"/>
        <w:ind w:firstLine="640" w:firstLineChars="200"/>
        <w:textAlignment w:val="top"/>
        <w:rPr>
          <w:rFonts w:eastAsia="仿宋"/>
          <w:sz w:val="32"/>
          <w:szCs w:val="32"/>
          <w:lang w:eastAsia="zh-Hans"/>
        </w:rPr>
      </w:pPr>
      <w:r>
        <w:rPr>
          <w:rFonts w:hint="eastAsia" w:eastAsia="仿宋"/>
          <w:sz w:val="32"/>
          <w:szCs w:val="32"/>
          <w:lang w:eastAsia="zh-Hans"/>
        </w:rPr>
        <w:t>②投诉工单：运营团队收到政府服务热线派送的投诉工单时，须在10个工作日内予以办理，并将有关处理情况回复政府服务热线，不属于政务服务一体化平台咨询工单按热线工作要求在1个工作日内退件。</w:t>
      </w:r>
    </w:p>
    <w:p>
      <w:pPr>
        <w:tabs>
          <w:tab w:val="left" w:pos="0"/>
        </w:tabs>
        <w:adjustRightInd w:val="0"/>
        <w:spacing w:line="560" w:lineRule="exact"/>
        <w:ind w:firstLine="640" w:firstLineChars="200"/>
        <w:textAlignment w:val="top"/>
        <w:rPr>
          <w:rFonts w:eastAsia="仿宋"/>
          <w:sz w:val="32"/>
          <w:szCs w:val="32"/>
          <w:lang w:eastAsia="zh-Hans"/>
        </w:rPr>
      </w:pPr>
      <w:r>
        <w:rPr>
          <w:rFonts w:hint="eastAsia" w:eastAsia="仿宋"/>
          <w:sz w:val="32"/>
          <w:szCs w:val="32"/>
          <w:lang w:eastAsia="zh-Hans"/>
        </w:rPr>
        <w:t>以上公众侧、政府侧反馈问题，团队成员均需记录服务信息反馈清单，并汇总至工作汇报（日报、周报、月报）中进行定期汇报。</w:t>
      </w:r>
    </w:p>
    <w:p>
      <w:pPr>
        <w:pStyle w:val="11"/>
        <w:rPr>
          <w:lang w:eastAsia="zh-Hans"/>
        </w:rPr>
      </w:pP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1.2业务应急处理机制</w:t>
      </w:r>
    </w:p>
    <w:p>
      <w:pPr>
        <w:tabs>
          <w:tab w:val="left" w:pos="0"/>
        </w:tabs>
        <w:adjustRightInd w:val="0"/>
        <w:spacing w:line="560" w:lineRule="exact"/>
        <w:ind w:firstLine="640" w:firstLineChars="200"/>
        <w:textAlignment w:val="top"/>
        <w:rPr>
          <w:rFonts w:eastAsia="仿宋"/>
          <w:sz w:val="32"/>
          <w:szCs w:val="32"/>
          <w:lang w:eastAsia="zh-Hans"/>
        </w:rPr>
      </w:pPr>
      <w:r>
        <w:rPr>
          <w:rFonts w:hint="eastAsia" w:eastAsia="仿宋"/>
          <w:sz w:val="32"/>
          <w:szCs w:val="32"/>
          <w:lang w:eastAsia="zh-Hans"/>
        </w:rPr>
        <w:t>实行24小时紧急响应机制。当运营团队收到工单问题上报后，必须迅速响应并告知运维团队，同时定位问题并确认是否影响业务正常办结。若60分钟内未能将故障排除，则将故障情况汇报至政务服务数据管理局请求协调各相关方共同排查，并于24小时内处理故障，将故障处理报告书面汇报至政务服务数据管理局。</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2.工作内容</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2.1业务梳理服务</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2.1.1区、市个性化事项梳理</w:t>
      </w:r>
    </w:p>
    <w:p>
      <w:pPr>
        <w:tabs>
          <w:tab w:val="left" w:pos="0"/>
        </w:tabs>
        <w:adjustRightInd w:val="0"/>
        <w:spacing w:line="560" w:lineRule="exact"/>
        <w:ind w:firstLine="640" w:firstLineChars="200"/>
        <w:textAlignment w:val="top"/>
        <w:rPr>
          <w:rFonts w:eastAsia="仿宋"/>
          <w:sz w:val="32"/>
          <w:szCs w:val="32"/>
          <w:lang w:eastAsia="zh-Hans"/>
        </w:rPr>
      </w:pPr>
      <w:r>
        <w:rPr>
          <w:rFonts w:hint="eastAsia" w:eastAsia="仿宋"/>
          <w:sz w:val="32"/>
          <w:szCs w:val="32"/>
          <w:lang w:eastAsia="zh-Hans"/>
        </w:rPr>
        <w:t>围绕江门市四市三区个性化事项，以省和本地统一事项库和电子证照库为基础，对事项进行最小颗粒度的梳理服务，包括对事项的办事情形最小颗粒化、对每个具体办事情形下的材料要求最小颗粒化、对每个材料要求下的材料内容最小颗粒化。梳理服务结果必须分拆到最具体、无模糊描述和兜底条款。包括：</w:t>
      </w:r>
    </w:p>
    <w:p>
      <w:pPr>
        <w:tabs>
          <w:tab w:val="left" w:pos="0"/>
        </w:tabs>
        <w:adjustRightInd w:val="0"/>
        <w:spacing w:line="560" w:lineRule="exact"/>
        <w:ind w:firstLine="640" w:firstLineChars="200"/>
        <w:textAlignment w:val="top"/>
        <w:rPr>
          <w:rFonts w:eastAsia="仿宋"/>
          <w:sz w:val="32"/>
          <w:szCs w:val="32"/>
          <w:lang w:eastAsia="zh-Hans"/>
        </w:rPr>
      </w:pPr>
      <w:r>
        <w:rPr>
          <w:rFonts w:hint="eastAsia" w:eastAsia="仿宋"/>
          <w:sz w:val="32"/>
          <w:szCs w:val="32"/>
        </w:rPr>
        <w:t>（1）</w:t>
      </w:r>
      <w:r>
        <w:rPr>
          <w:rFonts w:hint="eastAsia" w:eastAsia="仿宋"/>
          <w:sz w:val="32"/>
          <w:szCs w:val="32"/>
          <w:lang w:eastAsia="zh-Hans"/>
        </w:rPr>
        <w:t>实现每个办事情形中不同材料审核要点的清单化、规范化。</w:t>
      </w:r>
    </w:p>
    <w:p>
      <w:pPr>
        <w:tabs>
          <w:tab w:val="left" w:pos="0"/>
        </w:tabs>
        <w:adjustRightInd w:val="0"/>
        <w:spacing w:line="560" w:lineRule="exact"/>
        <w:ind w:firstLine="640" w:firstLineChars="200"/>
        <w:textAlignment w:val="top"/>
        <w:rPr>
          <w:rFonts w:eastAsia="仿宋"/>
          <w:sz w:val="32"/>
          <w:szCs w:val="32"/>
          <w:lang w:eastAsia="zh-Hans"/>
        </w:rPr>
      </w:pPr>
      <w:r>
        <w:rPr>
          <w:rFonts w:hint="eastAsia" w:eastAsia="仿宋"/>
          <w:sz w:val="32"/>
          <w:szCs w:val="32"/>
        </w:rPr>
        <w:t>（2）</w:t>
      </w:r>
      <w:r>
        <w:rPr>
          <w:rFonts w:hint="eastAsia" w:eastAsia="仿宋"/>
          <w:sz w:val="32"/>
          <w:szCs w:val="32"/>
          <w:lang w:eastAsia="zh-Hans"/>
        </w:rPr>
        <w:t>实现颗粒化、标签化、办事场景整合串联的工具化。</w:t>
      </w:r>
    </w:p>
    <w:p>
      <w:pPr>
        <w:tabs>
          <w:tab w:val="left" w:pos="0"/>
        </w:tabs>
        <w:adjustRightInd w:val="0"/>
        <w:spacing w:line="560" w:lineRule="exact"/>
        <w:ind w:firstLine="640" w:firstLineChars="200"/>
        <w:textAlignment w:val="top"/>
        <w:rPr>
          <w:rFonts w:eastAsia="仿宋"/>
          <w:sz w:val="32"/>
          <w:szCs w:val="32"/>
          <w:lang w:eastAsia="zh-Hans"/>
        </w:rPr>
      </w:pPr>
      <w:r>
        <w:rPr>
          <w:rFonts w:hint="eastAsia" w:eastAsia="仿宋"/>
          <w:sz w:val="32"/>
          <w:szCs w:val="32"/>
        </w:rPr>
        <w:t>（3）</w:t>
      </w:r>
      <w:r>
        <w:rPr>
          <w:rFonts w:hint="eastAsia" w:eastAsia="仿宋"/>
          <w:sz w:val="32"/>
          <w:szCs w:val="32"/>
          <w:lang w:eastAsia="zh-Hans"/>
        </w:rPr>
        <w:t>实现材料梳理和场景构建工具和方法的标准化。</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lang w:eastAsia="zh-Hans"/>
        </w:rPr>
      </w:pPr>
      <w:r>
        <w:rPr>
          <w:rFonts w:hint="eastAsia" w:eastAsia="仿宋"/>
          <w:b/>
          <w:bCs/>
          <w:sz w:val="32"/>
          <w:szCs w:val="32"/>
        </w:rPr>
        <w:t>2.1.1.1</w:t>
      </w:r>
      <w:r>
        <w:rPr>
          <w:rFonts w:hint="eastAsia" w:eastAsia="仿宋"/>
          <w:b/>
          <w:bCs/>
          <w:sz w:val="32"/>
          <w:szCs w:val="32"/>
          <w:lang w:eastAsia="zh-Hans"/>
        </w:rPr>
        <w:t>办事条件进行最小颗粒化</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lang w:eastAsia="zh-Hans"/>
        </w:rPr>
      </w:pPr>
      <w:r>
        <w:rPr>
          <w:rFonts w:hint="eastAsia" w:eastAsia="仿宋"/>
          <w:b/>
          <w:bCs/>
          <w:sz w:val="32"/>
          <w:szCs w:val="32"/>
        </w:rPr>
        <w:t>2.1.1.2</w:t>
      </w:r>
      <w:r>
        <w:rPr>
          <w:rFonts w:hint="eastAsia" w:eastAsia="仿宋"/>
          <w:b/>
          <w:bCs/>
          <w:sz w:val="32"/>
          <w:szCs w:val="32"/>
          <w:lang w:eastAsia="zh-Hans"/>
        </w:rPr>
        <w:t>每个事项中的材料进行最小颗粒化</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2.1.1.3每个材料要求下的材料内容进行具体化</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2.1.1.4最小颗粒化的办事条件、材料要求和材料内容进行匹配</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2.1.1.5办事条件和材料要求及内容标签化</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2.1.1.6梳理事项和事项之间的关系</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2.1.1.7梳理证照和证照之间的关系</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2.1.2跨域通办事项梳理</w:t>
      </w:r>
    </w:p>
    <w:p>
      <w:pPr>
        <w:pStyle w:val="43"/>
        <w:spacing w:line="560" w:lineRule="exact"/>
        <w:ind w:firstLine="640" w:firstLineChars="200"/>
        <w:rPr>
          <w:rFonts w:eastAsia="仿宋" w:cs="Times New Roman"/>
          <w:sz w:val="32"/>
          <w:szCs w:val="32"/>
        </w:rPr>
      </w:pPr>
      <w:r>
        <w:rPr>
          <w:rFonts w:hint="eastAsia" w:eastAsia="仿宋" w:cs="Times New Roman"/>
          <w:sz w:val="32"/>
          <w:szCs w:val="32"/>
        </w:rPr>
        <w:t>规范“跨域通办”事项的基本信息、办理材料、办理结果的核心标准化要素，做到事项标准相对统一、办事指南规范清晰，确保异地企业群众能够按标准备、政务服务大厅窗口照单收件。同时，按照减时间、减材料、减环节、减成本、减跑动的原则，将事项标准化与电子证照及电子印章应用、数据共享的紧密结合，进一步优化再造审批流程，确保企业群众少填、少交、快办。</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2.1.3区、市“四免”优化服务梳理</w:t>
      </w:r>
    </w:p>
    <w:p>
      <w:pPr>
        <w:pStyle w:val="43"/>
        <w:spacing w:line="560" w:lineRule="exact"/>
        <w:ind w:firstLine="640" w:firstLineChars="200"/>
        <w:rPr>
          <w:rFonts w:eastAsia="仿宋" w:cs="Times New Roman"/>
          <w:sz w:val="32"/>
          <w:szCs w:val="32"/>
        </w:rPr>
      </w:pPr>
      <w:r>
        <w:rPr>
          <w:rFonts w:hint="eastAsia" w:eastAsia="仿宋" w:cs="Times New Roman"/>
          <w:sz w:val="32"/>
          <w:szCs w:val="32"/>
        </w:rPr>
        <w:t>结合区、市个性化事项，推动电子证照、数据共享、电子印章、电子签名、网络实名核验、双向物流寄递、网上缴费、容缺受理、告知承诺，逐步实现政府部门核发的材料原则上免提交、政府部门形成的业务表单数据原则上免填写，可用电子印章的免用实物印章，可用电子签名的免用手写签名的“四免”，实现更多事项全程网办。</w:t>
      </w:r>
    </w:p>
    <w:p>
      <w:pPr>
        <w:tabs>
          <w:tab w:val="left" w:pos="0"/>
        </w:tabs>
        <w:adjustRightInd w:val="0"/>
        <w:spacing w:line="560" w:lineRule="exact"/>
        <w:ind w:firstLine="640" w:firstLineChars="200"/>
        <w:textAlignment w:val="top"/>
        <w:rPr>
          <w:rFonts w:eastAsia="仿宋"/>
          <w:sz w:val="32"/>
          <w:szCs w:val="32"/>
        </w:rPr>
      </w:pPr>
      <w:r>
        <w:rPr>
          <w:rFonts w:hint="eastAsia" w:eastAsia="仿宋"/>
          <w:sz w:val="32"/>
          <w:szCs w:val="32"/>
        </w:rPr>
        <w:t>（1）数据共享梳理</w:t>
      </w:r>
    </w:p>
    <w:p>
      <w:pPr>
        <w:pStyle w:val="43"/>
        <w:spacing w:line="560" w:lineRule="exact"/>
        <w:ind w:firstLine="640" w:firstLineChars="200"/>
        <w:rPr>
          <w:rFonts w:eastAsia="仿宋" w:cs="Times New Roman"/>
          <w:sz w:val="32"/>
          <w:szCs w:val="32"/>
        </w:rPr>
      </w:pPr>
      <w:r>
        <w:rPr>
          <w:rFonts w:hint="eastAsia" w:eastAsia="仿宋" w:cs="Times New Roman"/>
          <w:sz w:val="32"/>
          <w:szCs w:val="32"/>
        </w:rPr>
        <w:t>结合共享数据目录，梳理事项的业务表单与共享数据的一一对应关系，包括所需数据类名称、所需字段、数据源部门、数据提供方式、期望更新频率，形成事项用数需求。</w:t>
      </w:r>
    </w:p>
    <w:p>
      <w:pPr>
        <w:tabs>
          <w:tab w:val="left" w:pos="0"/>
        </w:tabs>
        <w:adjustRightInd w:val="0"/>
        <w:spacing w:line="560" w:lineRule="exact"/>
        <w:ind w:firstLine="640" w:firstLineChars="200"/>
        <w:textAlignment w:val="top"/>
        <w:rPr>
          <w:rFonts w:eastAsia="仿宋"/>
          <w:sz w:val="32"/>
          <w:szCs w:val="32"/>
        </w:rPr>
      </w:pPr>
      <w:r>
        <w:rPr>
          <w:rFonts w:hint="eastAsia" w:eastAsia="仿宋"/>
          <w:sz w:val="32"/>
          <w:szCs w:val="32"/>
        </w:rPr>
        <w:t>（2）“数字政府”平台对接及推广应用</w:t>
      </w:r>
    </w:p>
    <w:p>
      <w:pPr>
        <w:pStyle w:val="43"/>
        <w:spacing w:line="560" w:lineRule="exact"/>
        <w:ind w:firstLine="640" w:firstLineChars="200"/>
        <w:rPr>
          <w:rFonts w:eastAsia="仿宋" w:cs="Times New Roman"/>
          <w:sz w:val="32"/>
          <w:szCs w:val="32"/>
        </w:rPr>
      </w:pPr>
      <w:r>
        <w:rPr>
          <w:rFonts w:hint="eastAsia" w:eastAsia="仿宋" w:cs="Times New Roman"/>
          <w:sz w:val="32"/>
          <w:szCs w:val="32"/>
        </w:rPr>
        <w:t>通过省政务服务事项管理系统、省统一身份认证平台、省（市）统一申办系统、省政务大数据中心、省电子印章平台、广东公共服务支付系统或各地非税系统、省（市）统一物流服务平台等“数字政府”平台对接，进一步拓展政务服务应用的广度和深度，让企业和群众办事实现少填信息、少报材料、少跑现场、少带证件，压缩办理时间的“四少一快”服务体验，提升政务服务质量和群众办事体验。</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2.2数据分析咨询服务</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2.2.1基础性分析服务</w:t>
      </w:r>
    </w:p>
    <w:p>
      <w:pPr>
        <w:pStyle w:val="43"/>
        <w:spacing w:line="560" w:lineRule="exact"/>
        <w:ind w:firstLine="640" w:firstLineChars="200"/>
        <w:rPr>
          <w:rFonts w:eastAsia="仿宋" w:cs="Times New Roman"/>
          <w:sz w:val="32"/>
          <w:szCs w:val="32"/>
        </w:rPr>
      </w:pPr>
      <w:r>
        <w:rPr>
          <w:rFonts w:hint="eastAsia" w:eastAsia="仿宋" w:cs="Times New Roman"/>
          <w:sz w:val="32"/>
          <w:szCs w:val="32"/>
        </w:rPr>
        <w:t>包括对办理量、事项精细化情况、预约叫号情况、好差评情况进行的基础性数据分析服务。</w:t>
      </w:r>
    </w:p>
    <w:tbl>
      <w:tblPr>
        <w:tblStyle w:val="21"/>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752"/>
        <w:gridCol w:w="2331"/>
        <w:gridCol w:w="3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17" w:type="dxa"/>
            <w:shd w:val="clear" w:color="auto" w:fill="auto"/>
            <w:vAlign w:val="center"/>
          </w:tcPr>
          <w:p>
            <w:pPr>
              <w:jc w:val="center"/>
              <w:rPr>
                <w:rFonts w:cs="宋体"/>
                <w:b/>
                <w:bCs/>
                <w:color w:val="000000"/>
              </w:rPr>
            </w:pPr>
            <w:r>
              <w:rPr>
                <w:rFonts w:hint="eastAsia" w:cs="宋体"/>
                <w:b/>
                <w:bCs/>
                <w:color w:val="000000"/>
              </w:rPr>
              <w:t>序号</w:t>
            </w:r>
          </w:p>
        </w:tc>
        <w:tc>
          <w:tcPr>
            <w:tcW w:w="1752" w:type="dxa"/>
            <w:shd w:val="clear" w:color="auto" w:fill="auto"/>
            <w:vAlign w:val="center"/>
          </w:tcPr>
          <w:p>
            <w:pPr>
              <w:jc w:val="center"/>
              <w:rPr>
                <w:rFonts w:cs="宋体"/>
                <w:b/>
                <w:bCs/>
                <w:color w:val="000000"/>
              </w:rPr>
            </w:pPr>
            <w:r>
              <w:rPr>
                <w:rFonts w:hint="eastAsia" w:cs="宋体"/>
                <w:b/>
                <w:bCs/>
                <w:color w:val="000000"/>
              </w:rPr>
              <w:t>分析大类</w:t>
            </w:r>
          </w:p>
        </w:tc>
        <w:tc>
          <w:tcPr>
            <w:tcW w:w="2331" w:type="dxa"/>
            <w:shd w:val="clear" w:color="auto" w:fill="auto"/>
            <w:vAlign w:val="center"/>
          </w:tcPr>
          <w:p>
            <w:pPr>
              <w:jc w:val="center"/>
              <w:rPr>
                <w:rFonts w:cs="宋体"/>
                <w:b/>
                <w:bCs/>
                <w:color w:val="000000"/>
              </w:rPr>
            </w:pPr>
            <w:r>
              <w:rPr>
                <w:rFonts w:hint="eastAsia" w:cs="宋体"/>
                <w:b/>
                <w:bCs/>
                <w:color w:val="000000"/>
              </w:rPr>
              <w:t>分析项</w:t>
            </w:r>
          </w:p>
        </w:tc>
        <w:tc>
          <w:tcPr>
            <w:tcW w:w="3721" w:type="dxa"/>
            <w:shd w:val="clear" w:color="auto" w:fill="auto"/>
            <w:vAlign w:val="center"/>
          </w:tcPr>
          <w:p>
            <w:pPr>
              <w:jc w:val="center"/>
              <w:rPr>
                <w:rFonts w:cs="宋体"/>
                <w:b/>
                <w:bCs/>
                <w:color w:val="000000"/>
              </w:rPr>
            </w:pPr>
            <w:r>
              <w:rPr>
                <w:rFonts w:hint="eastAsia" w:cs="宋体"/>
                <w:b/>
                <w:bCs/>
                <w:color w:val="00000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17" w:type="dxa"/>
            <w:shd w:val="clear" w:color="auto" w:fill="auto"/>
            <w:vAlign w:val="center"/>
          </w:tcPr>
          <w:p>
            <w:pPr>
              <w:pStyle w:val="44"/>
              <w:jc w:val="center"/>
              <w:rPr>
                <w:rFonts w:ascii="Times New Roman" w:hAnsi="Times New Roman" w:cs="宋体"/>
                <w:sz w:val="22"/>
              </w:rPr>
            </w:pPr>
            <w:r>
              <w:rPr>
                <w:rFonts w:hint="eastAsia" w:ascii="Times New Roman" w:hAnsi="Times New Roman" w:cs="宋体"/>
                <w:sz w:val="22"/>
              </w:rPr>
              <w:t>1</w:t>
            </w:r>
          </w:p>
        </w:tc>
        <w:tc>
          <w:tcPr>
            <w:tcW w:w="1752" w:type="dxa"/>
            <w:vMerge w:val="restart"/>
            <w:shd w:val="clear" w:color="auto" w:fill="auto"/>
            <w:vAlign w:val="center"/>
          </w:tcPr>
          <w:p>
            <w:pPr>
              <w:pStyle w:val="44"/>
              <w:rPr>
                <w:rFonts w:ascii="Times New Roman" w:hAnsi="Times New Roman" w:cs="宋体"/>
                <w:sz w:val="22"/>
              </w:rPr>
            </w:pPr>
            <w:r>
              <w:rPr>
                <w:rFonts w:hint="eastAsia" w:ascii="Times New Roman" w:hAnsi="Times New Roman" w:cs="宋体"/>
                <w:sz w:val="22"/>
              </w:rPr>
              <w:t>业务量统计</w:t>
            </w:r>
          </w:p>
        </w:tc>
        <w:tc>
          <w:tcPr>
            <w:tcW w:w="233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窗口办件量统计</w:t>
            </w:r>
          </w:p>
        </w:tc>
        <w:tc>
          <w:tcPr>
            <w:tcW w:w="372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对窗口办件，按照收件量、办结量、咨询量进行分类统计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717" w:type="dxa"/>
            <w:shd w:val="clear" w:color="auto" w:fill="auto"/>
          </w:tcPr>
          <w:p>
            <w:pPr>
              <w:pStyle w:val="44"/>
              <w:jc w:val="center"/>
              <w:rPr>
                <w:rFonts w:ascii="Times New Roman" w:hAnsi="Times New Roman" w:cs="宋体"/>
                <w:sz w:val="22"/>
              </w:rPr>
            </w:pPr>
            <w:r>
              <w:rPr>
                <w:rFonts w:hint="eastAsia" w:ascii="Times New Roman" w:hAnsi="Times New Roman" w:cs="宋体"/>
                <w:sz w:val="22"/>
              </w:rPr>
              <w:t>2</w:t>
            </w:r>
          </w:p>
        </w:tc>
        <w:tc>
          <w:tcPr>
            <w:tcW w:w="1752" w:type="dxa"/>
            <w:vMerge w:val="continue"/>
            <w:vAlign w:val="center"/>
          </w:tcPr>
          <w:p>
            <w:pPr>
              <w:pStyle w:val="44"/>
              <w:ind w:firstLine="480"/>
              <w:rPr>
                <w:rFonts w:ascii="Times New Roman" w:hAnsi="Times New Roman" w:cs="宋体"/>
                <w:sz w:val="22"/>
              </w:rPr>
            </w:pPr>
          </w:p>
        </w:tc>
        <w:tc>
          <w:tcPr>
            <w:tcW w:w="233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线上办件量统计</w:t>
            </w:r>
          </w:p>
        </w:tc>
        <w:tc>
          <w:tcPr>
            <w:tcW w:w="372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对网办件进行分类统计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7" w:type="dxa"/>
            <w:shd w:val="clear" w:color="auto" w:fill="auto"/>
          </w:tcPr>
          <w:p>
            <w:pPr>
              <w:pStyle w:val="44"/>
              <w:jc w:val="center"/>
              <w:rPr>
                <w:rFonts w:ascii="Times New Roman" w:hAnsi="Times New Roman" w:cs="宋体"/>
                <w:sz w:val="22"/>
              </w:rPr>
            </w:pPr>
            <w:r>
              <w:rPr>
                <w:rFonts w:hint="eastAsia" w:ascii="Times New Roman" w:hAnsi="Times New Roman" w:cs="宋体"/>
                <w:sz w:val="22"/>
              </w:rPr>
              <w:t>3</w:t>
            </w:r>
          </w:p>
        </w:tc>
        <w:tc>
          <w:tcPr>
            <w:tcW w:w="1752" w:type="dxa"/>
            <w:vMerge w:val="continue"/>
            <w:vAlign w:val="center"/>
          </w:tcPr>
          <w:p>
            <w:pPr>
              <w:pStyle w:val="44"/>
              <w:ind w:firstLine="480"/>
              <w:rPr>
                <w:rFonts w:ascii="Times New Roman" w:hAnsi="Times New Roman" w:cs="宋体"/>
                <w:sz w:val="22"/>
              </w:rPr>
            </w:pPr>
          </w:p>
        </w:tc>
        <w:tc>
          <w:tcPr>
            <w:tcW w:w="233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不动产业务量统计</w:t>
            </w:r>
          </w:p>
        </w:tc>
        <w:tc>
          <w:tcPr>
            <w:tcW w:w="372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针对不动产业务提供专题统计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17" w:type="dxa"/>
            <w:shd w:val="clear" w:color="auto" w:fill="auto"/>
          </w:tcPr>
          <w:p>
            <w:pPr>
              <w:pStyle w:val="44"/>
              <w:jc w:val="center"/>
              <w:rPr>
                <w:rFonts w:ascii="Times New Roman" w:hAnsi="Times New Roman" w:cs="宋体"/>
                <w:sz w:val="22"/>
              </w:rPr>
            </w:pPr>
            <w:r>
              <w:rPr>
                <w:rFonts w:hint="eastAsia" w:ascii="Times New Roman" w:hAnsi="Times New Roman" w:cs="宋体"/>
                <w:sz w:val="22"/>
              </w:rPr>
              <w:t>4</w:t>
            </w:r>
          </w:p>
        </w:tc>
        <w:tc>
          <w:tcPr>
            <w:tcW w:w="1752" w:type="dxa"/>
            <w:vMerge w:val="continue"/>
            <w:vAlign w:val="center"/>
          </w:tcPr>
          <w:p>
            <w:pPr>
              <w:pStyle w:val="44"/>
              <w:ind w:firstLine="480"/>
              <w:rPr>
                <w:rFonts w:ascii="Times New Roman" w:hAnsi="Times New Roman" w:cs="宋体"/>
                <w:sz w:val="22"/>
              </w:rPr>
            </w:pPr>
          </w:p>
        </w:tc>
        <w:tc>
          <w:tcPr>
            <w:tcW w:w="233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各市区业务办理量统计</w:t>
            </w:r>
          </w:p>
        </w:tc>
        <w:tc>
          <w:tcPr>
            <w:tcW w:w="372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按市、县区、镇街、村居四级，统计业务办理量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17" w:type="dxa"/>
            <w:shd w:val="clear" w:color="auto" w:fill="auto"/>
          </w:tcPr>
          <w:p>
            <w:pPr>
              <w:pStyle w:val="44"/>
              <w:jc w:val="center"/>
              <w:rPr>
                <w:rFonts w:ascii="Times New Roman" w:hAnsi="Times New Roman" w:cs="宋体"/>
                <w:sz w:val="22"/>
              </w:rPr>
            </w:pPr>
            <w:r>
              <w:rPr>
                <w:rFonts w:hint="eastAsia" w:ascii="Times New Roman" w:hAnsi="Times New Roman" w:cs="宋体"/>
                <w:sz w:val="22"/>
              </w:rPr>
              <w:t>5</w:t>
            </w:r>
          </w:p>
        </w:tc>
        <w:tc>
          <w:tcPr>
            <w:tcW w:w="1752" w:type="dxa"/>
            <w:vMerge w:val="continue"/>
            <w:vAlign w:val="center"/>
          </w:tcPr>
          <w:p>
            <w:pPr>
              <w:pStyle w:val="44"/>
              <w:ind w:firstLine="480"/>
              <w:rPr>
                <w:rFonts w:ascii="Times New Roman" w:hAnsi="Times New Roman" w:cs="宋体"/>
                <w:sz w:val="22"/>
              </w:rPr>
            </w:pPr>
          </w:p>
        </w:tc>
        <w:tc>
          <w:tcPr>
            <w:tcW w:w="233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申办渠道分析</w:t>
            </w:r>
          </w:p>
        </w:tc>
        <w:tc>
          <w:tcPr>
            <w:tcW w:w="372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对办理渠道进行统计并分析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17" w:type="dxa"/>
            <w:shd w:val="clear" w:color="auto" w:fill="auto"/>
          </w:tcPr>
          <w:p>
            <w:pPr>
              <w:pStyle w:val="44"/>
              <w:jc w:val="center"/>
              <w:rPr>
                <w:rFonts w:ascii="Times New Roman" w:hAnsi="Times New Roman" w:cs="宋体"/>
                <w:sz w:val="22"/>
              </w:rPr>
            </w:pPr>
            <w:r>
              <w:rPr>
                <w:rFonts w:hint="eastAsia" w:ascii="Times New Roman" w:hAnsi="Times New Roman" w:cs="宋体"/>
                <w:sz w:val="22"/>
              </w:rPr>
              <w:t>6</w:t>
            </w:r>
          </w:p>
        </w:tc>
        <w:tc>
          <w:tcPr>
            <w:tcW w:w="1752" w:type="dxa"/>
            <w:vMerge w:val="restart"/>
            <w:shd w:val="clear" w:color="auto" w:fill="auto"/>
            <w:vAlign w:val="center"/>
          </w:tcPr>
          <w:p>
            <w:pPr>
              <w:pStyle w:val="44"/>
              <w:rPr>
                <w:rFonts w:ascii="Times New Roman" w:hAnsi="Times New Roman" w:cs="宋体"/>
                <w:sz w:val="22"/>
              </w:rPr>
            </w:pPr>
            <w:r>
              <w:rPr>
                <w:rFonts w:hint="eastAsia" w:ascii="Times New Roman" w:hAnsi="Times New Roman" w:cs="宋体"/>
                <w:sz w:val="22"/>
              </w:rPr>
              <w:t>用户情况分析</w:t>
            </w:r>
          </w:p>
        </w:tc>
        <w:tc>
          <w:tcPr>
            <w:tcW w:w="233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（政府侧）综窗人员情况</w:t>
            </w:r>
          </w:p>
        </w:tc>
        <w:tc>
          <w:tcPr>
            <w:tcW w:w="372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按窗口类别、人员编制情况统计行政服务中心综窗人员情况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17" w:type="dxa"/>
            <w:shd w:val="clear" w:color="auto" w:fill="auto"/>
          </w:tcPr>
          <w:p>
            <w:pPr>
              <w:pStyle w:val="44"/>
              <w:jc w:val="center"/>
              <w:rPr>
                <w:rFonts w:ascii="Times New Roman" w:hAnsi="Times New Roman" w:cs="宋体"/>
                <w:sz w:val="22"/>
              </w:rPr>
            </w:pPr>
            <w:r>
              <w:rPr>
                <w:rFonts w:hint="eastAsia" w:ascii="Times New Roman" w:hAnsi="Times New Roman" w:cs="宋体"/>
                <w:sz w:val="22"/>
              </w:rPr>
              <w:t>7</w:t>
            </w:r>
          </w:p>
        </w:tc>
        <w:tc>
          <w:tcPr>
            <w:tcW w:w="1752" w:type="dxa"/>
            <w:vMerge w:val="continue"/>
            <w:vAlign w:val="center"/>
          </w:tcPr>
          <w:p>
            <w:pPr>
              <w:pStyle w:val="44"/>
              <w:ind w:firstLine="480"/>
              <w:rPr>
                <w:rFonts w:ascii="Times New Roman" w:hAnsi="Times New Roman" w:cs="宋体"/>
                <w:sz w:val="22"/>
              </w:rPr>
            </w:pPr>
          </w:p>
        </w:tc>
        <w:tc>
          <w:tcPr>
            <w:tcW w:w="233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（政府侧）进驻部门人员情况</w:t>
            </w:r>
          </w:p>
        </w:tc>
        <w:tc>
          <w:tcPr>
            <w:tcW w:w="372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按业务部门、人员编制、职务，统计进驻政务服务大厅的人员情况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17" w:type="dxa"/>
            <w:shd w:val="clear" w:color="auto" w:fill="auto"/>
          </w:tcPr>
          <w:p>
            <w:pPr>
              <w:pStyle w:val="44"/>
              <w:jc w:val="center"/>
              <w:rPr>
                <w:rFonts w:ascii="Times New Roman" w:hAnsi="Times New Roman" w:cs="宋体"/>
                <w:sz w:val="22"/>
              </w:rPr>
            </w:pPr>
            <w:r>
              <w:rPr>
                <w:rFonts w:hint="eastAsia" w:ascii="Times New Roman" w:hAnsi="Times New Roman" w:cs="宋体"/>
                <w:sz w:val="22"/>
              </w:rPr>
              <w:t>8</w:t>
            </w:r>
          </w:p>
        </w:tc>
        <w:tc>
          <w:tcPr>
            <w:tcW w:w="1752" w:type="dxa"/>
            <w:vMerge w:val="continue"/>
            <w:vAlign w:val="center"/>
          </w:tcPr>
          <w:p>
            <w:pPr>
              <w:pStyle w:val="44"/>
              <w:ind w:firstLine="480"/>
              <w:rPr>
                <w:rFonts w:ascii="Times New Roman" w:hAnsi="Times New Roman" w:cs="宋体"/>
                <w:sz w:val="22"/>
              </w:rPr>
            </w:pPr>
          </w:p>
        </w:tc>
        <w:tc>
          <w:tcPr>
            <w:tcW w:w="233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（公众侧）自然人用户总量及增量</w:t>
            </w:r>
          </w:p>
        </w:tc>
        <w:tc>
          <w:tcPr>
            <w:tcW w:w="372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统计自然人用户总量、月度增量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17" w:type="dxa"/>
            <w:shd w:val="clear" w:color="auto" w:fill="auto"/>
          </w:tcPr>
          <w:p>
            <w:pPr>
              <w:pStyle w:val="44"/>
              <w:jc w:val="center"/>
              <w:rPr>
                <w:rFonts w:ascii="Times New Roman" w:hAnsi="Times New Roman" w:cs="宋体"/>
                <w:sz w:val="22"/>
              </w:rPr>
            </w:pPr>
            <w:r>
              <w:rPr>
                <w:rFonts w:hint="eastAsia" w:ascii="Times New Roman" w:hAnsi="Times New Roman" w:cs="宋体"/>
                <w:sz w:val="22"/>
              </w:rPr>
              <w:t>9</w:t>
            </w:r>
          </w:p>
        </w:tc>
        <w:tc>
          <w:tcPr>
            <w:tcW w:w="1752" w:type="dxa"/>
            <w:vMerge w:val="continue"/>
            <w:vAlign w:val="center"/>
          </w:tcPr>
          <w:p>
            <w:pPr>
              <w:pStyle w:val="44"/>
              <w:ind w:firstLine="480"/>
              <w:rPr>
                <w:rFonts w:ascii="Times New Roman" w:hAnsi="Times New Roman" w:cs="宋体"/>
                <w:sz w:val="22"/>
              </w:rPr>
            </w:pPr>
          </w:p>
        </w:tc>
        <w:tc>
          <w:tcPr>
            <w:tcW w:w="233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（公众侧）法人用户总量及增量</w:t>
            </w:r>
          </w:p>
        </w:tc>
        <w:tc>
          <w:tcPr>
            <w:tcW w:w="372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统计法人用户总量、月度增量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17" w:type="dxa"/>
            <w:shd w:val="clear" w:color="auto" w:fill="auto"/>
          </w:tcPr>
          <w:p>
            <w:pPr>
              <w:pStyle w:val="44"/>
              <w:jc w:val="center"/>
              <w:rPr>
                <w:rFonts w:ascii="Times New Roman" w:hAnsi="Times New Roman" w:cs="宋体"/>
                <w:sz w:val="22"/>
              </w:rPr>
            </w:pPr>
            <w:r>
              <w:rPr>
                <w:rFonts w:hint="eastAsia" w:ascii="Times New Roman" w:hAnsi="Times New Roman" w:cs="宋体"/>
                <w:sz w:val="22"/>
              </w:rPr>
              <w:t>10</w:t>
            </w:r>
          </w:p>
        </w:tc>
        <w:tc>
          <w:tcPr>
            <w:tcW w:w="1752" w:type="dxa"/>
            <w:vMerge w:val="restart"/>
            <w:shd w:val="clear" w:color="auto" w:fill="auto"/>
            <w:vAlign w:val="center"/>
          </w:tcPr>
          <w:p>
            <w:pPr>
              <w:pStyle w:val="44"/>
              <w:rPr>
                <w:rFonts w:ascii="Times New Roman" w:hAnsi="Times New Roman" w:cs="宋体"/>
                <w:sz w:val="22"/>
              </w:rPr>
            </w:pPr>
            <w:r>
              <w:rPr>
                <w:rFonts w:hint="eastAsia" w:ascii="Times New Roman" w:hAnsi="Times New Roman" w:cs="宋体"/>
                <w:sz w:val="22"/>
              </w:rPr>
              <w:t>事项分析</w:t>
            </w:r>
          </w:p>
        </w:tc>
        <w:tc>
          <w:tcPr>
            <w:tcW w:w="233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省事项同步分析</w:t>
            </w:r>
          </w:p>
        </w:tc>
        <w:tc>
          <w:tcPr>
            <w:tcW w:w="372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分析省事项同步信息，分析事项总数、依申请事项数、事项更新总数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17" w:type="dxa"/>
            <w:shd w:val="clear" w:color="auto" w:fill="auto"/>
          </w:tcPr>
          <w:p>
            <w:pPr>
              <w:pStyle w:val="44"/>
              <w:jc w:val="center"/>
              <w:rPr>
                <w:rFonts w:ascii="Times New Roman" w:hAnsi="Times New Roman" w:cs="宋体"/>
                <w:sz w:val="22"/>
              </w:rPr>
            </w:pPr>
            <w:r>
              <w:rPr>
                <w:rFonts w:hint="eastAsia" w:ascii="Times New Roman" w:hAnsi="Times New Roman" w:cs="宋体"/>
                <w:sz w:val="22"/>
              </w:rPr>
              <w:t>11</w:t>
            </w:r>
          </w:p>
        </w:tc>
        <w:tc>
          <w:tcPr>
            <w:tcW w:w="1752" w:type="dxa"/>
            <w:vMerge w:val="continue"/>
            <w:vAlign w:val="center"/>
          </w:tcPr>
          <w:p>
            <w:pPr>
              <w:pStyle w:val="44"/>
              <w:ind w:firstLine="480"/>
              <w:rPr>
                <w:rFonts w:ascii="Times New Roman" w:hAnsi="Times New Roman" w:cs="宋体"/>
                <w:sz w:val="22"/>
              </w:rPr>
            </w:pPr>
          </w:p>
        </w:tc>
        <w:tc>
          <w:tcPr>
            <w:tcW w:w="233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大厅进驻事项情况分析</w:t>
            </w:r>
          </w:p>
        </w:tc>
        <w:tc>
          <w:tcPr>
            <w:tcW w:w="372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结合省同步事项以及政务大厅填报的进驻事项情况，分析政务服务事项的实际进驻情况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17" w:type="dxa"/>
            <w:shd w:val="clear" w:color="auto" w:fill="auto"/>
          </w:tcPr>
          <w:p>
            <w:pPr>
              <w:pStyle w:val="44"/>
              <w:jc w:val="center"/>
              <w:rPr>
                <w:rFonts w:ascii="Times New Roman" w:hAnsi="Times New Roman" w:cs="宋体"/>
                <w:sz w:val="22"/>
              </w:rPr>
            </w:pPr>
            <w:r>
              <w:rPr>
                <w:rFonts w:hint="eastAsia" w:ascii="Times New Roman" w:hAnsi="Times New Roman" w:cs="宋体"/>
                <w:sz w:val="22"/>
              </w:rPr>
              <w:t>12</w:t>
            </w:r>
          </w:p>
        </w:tc>
        <w:tc>
          <w:tcPr>
            <w:tcW w:w="1752" w:type="dxa"/>
            <w:vMerge w:val="continue"/>
            <w:vAlign w:val="center"/>
          </w:tcPr>
          <w:p>
            <w:pPr>
              <w:pStyle w:val="44"/>
              <w:ind w:firstLine="480"/>
              <w:rPr>
                <w:rFonts w:ascii="Times New Roman" w:hAnsi="Times New Roman" w:cs="宋体"/>
                <w:sz w:val="22"/>
              </w:rPr>
            </w:pPr>
          </w:p>
        </w:tc>
        <w:tc>
          <w:tcPr>
            <w:tcW w:w="233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事项精细化情况</w:t>
            </w:r>
          </w:p>
        </w:tc>
        <w:tc>
          <w:tcPr>
            <w:tcW w:w="372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对事项的本地精细化进行分析统计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17" w:type="dxa"/>
            <w:shd w:val="clear" w:color="auto" w:fill="auto"/>
          </w:tcPr>
          <w:p>
            <w:pPr>
              <w:pStyle w:val="44"/>
              <w:jc w:val="center"/>
              <w:rPr>
                <w:rFonts w:ascii="Times New Roman" w:hAnsi="Times New Roman" w:cs="宋体"/>
                <w:sz w:val="22"/>
              </w:rPr>
            </w:pPr>
            <w:r>
              <w:rPr>
                <w:rFonts w:hint="eastAsia" w:ascii="Times New Roman" w:hAnsi="Times New Roman" w:cs="宋体"/>
                <w:sz w:val="22"/>
              </w:rPr>
              <w:t>13</w:t>
            </w:r>
          </w:p>
        </w:tc>
        <w:tc>
          <w:tcPr>
            <w:tcW w:w="1752" w:type="dxa"/>
            <w:vMerge w:val="restart"/>
            <w:shd w:val="clear" w:color="auto" w:fill="auto"/>
            <w:vAlign w:val="center"/>
          </w:tcPr>
          <w:p>
            <w:pPr>
              <w:pStyle w:val="44"/>
              <w:rPr>
                <w:rFonts w:ascii="Times New Roman" w:hAnsi="Times New Roman" w:cs="宋体"/>
                <w:sz w:val="22"/>
              </w:rPr>
            </w:pPr>
            <w:r>
              <w:rPr>
                <w:rFonts w:hint="eastAsia" w:ascii="Times New Roman" w:hAnsi="Times New Roman" w:cs="宋体"/>
                <w:sz w:val="22"/>
              </w:rPr>
              <w:t>预约及排队情况</w:t>
            </w:r>
          </w:p>
        </w:tc>
        <w:tc>
          <w:tcPr>
            <w:tcW w:w="233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预约量分析</w:t>
            </w:r>
          </w:p>
        </w:tc>
        <w:tc>
          <w:tcPr>
            <w:tcW w:w="372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根据区域、业务分类、预约时段，分析预约情况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717" w:type="dxa"/>
            <w:shd w:val="clear" w:color="auto" w:fill="auto"/>
          </w:tcPr>
          <w:p>
            <w:pPr>
              <w:pStyle w:val="44"/>
              <w:jc w:val="center"/>
              <w:rPr>
                <w:rFonts w:ascii="Times New Roman" w:hAnsi="Times New Roman" w:cs="宋体"/>
                <w:sz w:val="22"/>
              </w:rPr>
            </w:pPr>
            <w:r>
              <w:rPr>
                <w:rFonts w:hint="eastAsia" w:ascii="Times New Roman" w:hAnsi="Times New Roman" w:cs="宋体"/>
                <w:sz w:val="22"/>
              </w:rPr>
              <w:t>14</w:t>
            </w:r>
          </w:p>
        </w:tc>
        <w:tc>
          <w:tcPr>
            <w:tcW w:w="1752" w:type="dxa"/>
            <w:vMerge w:val="continue"/>
            <w:vAlign w:val="center"/>
          </w:tcPr>
          <w:p>
            <w:pPr>
              <w:pStyle w:val="44"/>
              <w:ind w:firstLine="480"/>
              <w:rPr>
                <w:rFonts w:ascii="Times New Roman" w:hAnsi="Times New Roman" w:cs="宋体"/>
                <w:sz w:val="22"/>
              </w:rPr>
            </w:pPr>
          </w:p>
        </w:tc>
        <w:tc>
          <w:tcPr>
            <w:tcW w:w="233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大厅排队情况</w:t>
            </w:r>
          </w:p>
        </w:tc>
        <w:tc>
          <w:tcPr>
            <w:tcW w:w="372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分析政务大厅的实时排队情况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17" w:type="dxa"/>
            <w:shd w:val="clear" w:color="auto" w:fill="auto"/>
          </w:tcPr>
          <w:p>
            <w:pPr>
              <w:pStyle w:val="44"/>
              <w:jc w:val="center"/>
              <w:rPr>
                <w:rFonts w:ascii="Times New Roman" w:hAnsi="Times New Roman" w:cs="宋体"/>
                <w:sz w:val="22"/>
              </w:rPr>
            </w:pPr>
            <w:r>
              <w:rPr>
                <w:rFonts w:hint="eastAsia" w:ascii="Times New Roman" w:hAnsi="Times New Roman" w:cs="宋体"/>
                <w:sz w:val="22"/>
              </w:rPr>
              <w:t>15</w:t>
            </w:r>
          </w:p>
        </w:tc>
        <w:tc>
          <w:tcPr>
            <w:tcW w:w="1752" w:type="dxa"/>
            <w:vMerge w:val="continue"/>
            <w:vAlign w:val="center"/>
          </w:tcPr>
          <w:p>
            <w:pPr>
              <w:pStyle w:val="44"/>
              <w:ind w:firstLine="480"/>
              <w:rPr>
                <w:rFonts w:ascii="Times New Roman" w:hAnsi="Times New Roman" w:cs="宋体"/>
                <w:sz w:val="22"/>
              </w:rPr>
            </w:pPr>
          </w:p>
        </w:tc>
        <w:tc>
          <w:tcPr>
            <w:tcW w:w="233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大厅人流量情况</w:t>
            </w:r>
          </w:p>
        </w:tc>
        <w:tc>
          <w:tcPr>
            <w:tcW w:w="372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按区域统计大厅人流量情况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17" w:type="dxa"/>
            <w:shd w:val="clear" w:color="auto" w:fill="auto"/>
          </w:tcPr>
          <w:p>
            <w:pPr>
              <w:pStyle w:val="44"/>
              <w:jc w:val="center"/>
              <w:rPr>
                <w:rFonts w:ascii="Times New Roman" w:hAnsi="Times New Roman" w:cs="宋体"/>
                <w:sz w:val="22"/>
              </w:rPr>
            </w:pPr>
            <w:r>
              <w:rPr>
                <w:rFonts w:hint="eastAsia" w:ascii="Times New Roman" w:hAnsi="Times New Roman" w:cs="宋体"/>
                <w:sz w:val="22"/>
              </w:rPr>
              <w:t>16</w:t>
            </w:r>
          </w:p>
        </w:tc>
        <w:tc>
          <w:tcPr>
            <w:tcW w:w="1752" w:type="dxa"/>
            <w:vMerge w:val="restart"/>
            <w:shd w:val="clear" w:color="auto" w:fill="auto"/>
            <w:vAlign w:val="center"/>
          </w:tcPr>
          <w:p>
            <w:pPr>
              <w:pStyle w:val="44"/>
              <w:rPr>
                <w:rFonts w:ascii="Times New Roman" w:hAnsi="Times New Roman" w:cs="宋体"/>
                <w:sz w:val="22"/>
              </w:rPr>
            </w:pPr>
            <w:r>
              <w:rPr>
                <w:rFonts w:hint="eastAsia" w:ascii="Times New Roman" w:hAnsi="Times New Roman" w:cs="宋体"/>
                <w:sz w:val="22"/>
              </w:rPr>
              <w:t>好差评分析</w:t>
            </w:r>
          </w:p>
        </w:tc>
        <w:tc>
          <w:tcPr>
            <w:tcW w:w="233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满意度分析</w:t>
            </w:r>
          </w:p>
        </w:tc>
        <w:tc>
          <w:tcPr>
            <w:tcW w:w="372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按区域、事项，对好差评满意度进行分析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17" w:type="dxa"/>
            <w:shd w:val="clear" w:color="auto" w:fill="auto"/>
          </w:tcPr>
          <w:p>
            <w:pPr>
              <w:pStyle w:val="44"/>
              <w:jc w:val="center"/>
              <w:rPr>
                <w:rFonts w:ascii="Times New Roman" w:hAnsi="Times New Roman" w:cs="宋体"/>
                <w:sz w:val="22"/>
              </w:rPr>
            </w:pPr>
            <w:r>
              <w:rPr>
                <w:rFonts w:hint="eastAsia" w:ascii="Times New Roman" w:hAnsi="Times New Roman" w:cs="宋体"/>
                <w:sz w:val="22"/>
              </w:rPr>
              <w:t>17</w:t>
            </w:r>
          </w:p>
        </w:tc>
        <w:tc>
          <w:tcPr>
            <w:tcW w:w="1752" w:type="dxa"/>
            <w:vMerge w:val="continue"/>
            <w:vAlign w:val="center"/>
          </w:tcPr>
          <w:p>
            <w:pPr>
              <w:pStyle w:val="44"/>
              <w:ind w:firstLine="480"/>
              <w:rPr>
                <w:rFonts w:ascii="Times New Roman" w:hAnsi="Times New Roman" w:cs="宋体"/>
                <w:sz w:val="22"/>
              </w:rPr>
            </w:pPr>
          </w:p>
        </w:tc>
        <w:tc>
          <w:tcPr>
            <w:tcW w:w="233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好差评综合得分分析</w:t>
            </w:r>
          </w:p>
        </w:tc>
        <w:tc>
          <w:tcPr>
            <w:tcW w:w="3721" w:type="dxa"/>
            <w:shd w:val="clear" w:color="auto" w:fill="auto"/>
            <w:vAlign w:val="center"/>
          </w:tcPr>
          <w:p>
            <w:pPr>
              <w:pStyle w:val="44"/>
              <w:rPr>
                <w:rFonts w:ascii="Times New Roman" w:hAnsi="Times New Roman" w:cs="宋体"/>
                <w:sz w:val="22"/>
              </w:rPr>
            </w:pPr>
            <w:r>
              <w:rPr>
                <w:rFonts w:hint="eastAsia" w:ascii="Times New Roman" w:hAnsi="Times New Roman" w:cs="宋体"/>
                <w:sz w:val="22"/>
              </w:rPr>
              <w:t>结合各地市情况，分析江门市好差评排名情况</w:t>
            </w:r>
          </w:p>
        </w:tc>
      </w:tr>
    </w:tbl>
    <w:p>
      <w:pPr>
        <w:spacing w:line="560" w:lineRule="exact"/>
        <w:jc w:val="center"/>
        <w:rPr>
          <w:rFonts w:ascii="宋体" w:hAnsi="宋体" w:eastAsia="宋体" w:cs="宋体"/>
        </w:rPr>
      </w:pPr>
      <w:r>
        <w:rPr>
          <w:rFonts w:hint="eastAsia" w:ascii="宋体" w:hAnsi="宋体" w:eastAsia="宋体" w:cs="宋体"/>
        </w:rPr>
        <w:t>基础性数据分析服务指标表</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2.2.2考核数据分析服务</w:t>
      </w:r>
    </w:p>
    <w:p>
      <w:pPr>
        <w:pStyle w:val="20"/>
        <w:spacing w:after="0" w:line="560" w:lineRule="exact"/>
        <w:ind w:left="0" w:leftChars="0" w:firstLine="640" w:firstLineChars="200"/>
        <w:rPr>
          <w:rFonts w:eastAsia="仿宋"/>
          <w:sz w:val="32"/>
          <w:szCs w:val="32"/>
        </w:rPr>
      </w:pPr>
      <w:r>
        <w:rPr>
          <w:rFonts w:hint="eastAsia" w:eastAsia="仿宋"/>
          <w:sz w:val="32"/>
          <w:szCs w:val="32"/>
        </w:rPr>
        <w:t>针对每年数字政府国家级、省级相应考核方案，开展考核指标细化及数据动态分析服务。</w:t>
      </w:r>
    </w:p>
    <w:tbl>
      <w:tblPr>
        <w:tblStyle w:val="22"/>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052"/>
        <w:gridCol w:w="2529"/>
        <w:gridCol w:w="2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pStyle w:val="20"/>
              <w:spacing w:after="0"/>
              <w:ind w:left="0" w:leftChars="0" w:firstLine="0"/>
              <w:jc w:val="center"/>
            </w:pPr>
            <w:r>
              <w:rPr>
                <w:rFonts w:hint="eastAsia" w:cs="宋体"/>
                <w:b/>
                <w:bCs/>
                <w:color w:val="000000"/>
              </w:rPr>
              <w:t>序号</w:t>
            </w:r>
          </w:p>
        </w:tc>
        <w:tc>
          <w:tcPr>
            <w:tcW w:w="2052" w:type="dxa"/>
            <w:vAlign w:val="center"/>
          </w:tcPr>
          <w:p>
            <w:pPr>
              <w:pStyle w:val="20"/>
              <w:spacing w:after="0"/>
              <w:ind w:left="0" w:leftChars="0" w:firstLine="0"/>
              <w:jc w:val="center"/>
            </w:pPr>
            <w:r>
              <w:rPr>
                <w:rFonts w:hint="eastAsia" w:cs="宋体"/>
                <w:b/>
                <w:bCs/>
                <w:color w:val="000000"/>
              </w:rPr>
              <w:t>分析大类</w:t>
            </w:r>
          </w:p>
        </w:tc>
        <w:tc>
          <w:tcPr>
            <w:tcW w:w="2529" w:type="dxa"/>
            <w:vAlign w:val="center"/>
          </w:tcPr>
          <w:p>
            <w:pPr>
              <w:pStyle w:val="20"/>
              <w:spacing w:after="0"/>
              <w:ind w:left="0" w:leftChars="0" w:firstLine="0"/>
              <w:jc w:val="center"/>
            </w:pPr>
            <w:r>
              <w:rPr>
                <w:rFonts w:hint="eastAsia" w:cs="宋体"/>
                <w:b/>
                <w:bCs/>
                <w:color w:val="000000"/>
              </w:rPr>
              <w:t>分析项</w:t>
            </w:r>
          </w:p>
        </w:tc>
        <w:tc>
          <w:tcPr>
            <w:tcW w:w="2727" w:type="dxa"/>
            <w:vAlign w:val="center"/>
          </w:tcPr>
          <w:p>
            <w:pPr>
              <w:pStyle w:val="20"/>
              <w:spacing w:after="0"/>
              <w:ind w:left="0" w:leftChars="0" w:firstLine="0"/>
              <w:jc w:val="center"/>
            </w:pPr>
            <w:r>
              <w:rPr>
                <w:rFonts w:hint="eastAsia" w:cs="宋体"/>
                <w:b/>
                <w:bCs/>
                <w:color w:val="00000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pStyle w:val="44"/>
              <w:jc w:val="center"/>
              <w:rPr>
                <w:rFonts w:ascii="Times New Roman" w:hAnsi="Times New Roman" w:cs="宋体"/>
                <w:sz w:val="22"/>
              </w:rPr>
            </w:pPr>
            <w:r>
              <w:rPr>
                <w:rFonts w:hint="eastAsia" w:ascii="Times New Roman" w:hAnsi="Times New Roman" w:cs="宋体"/>
                <w:sz w:val="22"/>
              </w:rPr>
              <w:t>1</w:t>
            </w:r>
          </w:p>
        </w:tc>
        <w:tc>
          <w:tcPr>
            <w:tcW w:w="2052" w:type="dxa"/>
            <w:vMerge w:val="restart"/>
            <w:vAlign w:val="center"/>
          </w:tcPr>
          <w:p>
            <w:pPr>
              <w:pStyle w:val="44"/>
              <w:rPr>
                <w:rFonts w:ascii="Times New Roman" w:hAnsi="Times New Roman" w:cs="宋体"/>
                <w:sz w:val="22"/>
              </w:rPr>
            </w:pPr>
            <w:r>
              <w:rPr>
                <w:rFonts w:hint="eastAsia" w:ascii="Times New Roman" w:hAnsi="Times New Roman" w:cs="宋体"/>
                <w:sz w:val="22"/>
              </w:rPr>
              <w:t>国家级、省级对地市指标</w:t>
            </w:r>
          </w:p>
        </w:tc>
        <w:tc>
          <w:tcPr>
            <w:tcW w:w="2529" w:type="dxa"/>
            <w:vAlign w:val="center"/>
          </w:tcPr>
          <w:p>
            <w:pPr>
              <w:pStyle w:val="44"/>
              <w:rPr>
                <w:rFonts w:ascii="Times New Roman" w:hAnsi="Times New Roman" w:cs="宋体"/>
                <w:sz w:val="22"/>
              </w:rPr>
            </w:pPr>
            <w:r>
              <w:rPr>
                <w:rFonts w:hint="eastAsia" w:ascii="Times New Roman" w:hAnsi="Times New Roman" w:cs="宋体"/>
                <w:sz w:val="22"/>
              </w:rPr>
              <w:t>主动评价和差评整改</w:t>
            </w:r>
          </w:p>
        </w:tc>
        <w:tc>
          <w:tcPr>
            <w:tcW w:w="2727" w:type="dxa"/>
            <w:vAlign w:val="center"/>
          </w:tcPr>
          <w:p>
            <w:pPr>
              <w:pStyle w:val="44"/>
              <w:rPr>
                <w:rFonts w:ascii="Times New Roman" w:hAnsi="Times New Roman" w:cs="宋体"/>
                <w:sz w:val="22"/>
              </w:rPr>
            </w:pPr>
            <w:r>
              <w:rPr>
                <w:rFonts w:hint="eastAsia" w:ascii="Times New Roman" w:hAnsi="Times New Roman" w:cs="宋体"/>
                <w:sz w:val="22"/>
              </w:rPr>
              <w:t>主动评价数量、主动好评率、差评整改率等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pStyle w:val="44"/>
              <w:jc w:val="center"/>
              <w:rPr>
                <w:rFonts w:ascii="Times New Roman" w:hAnsi="Times New Roman" w:cs="宋体"/>
                <w:sz w:val="22"/>
              </w:rPr>
            </w:pPr>
            <w:r>
              <w:rPr>
                <w:rFonts w:hint="eastAsia" w:ascii="Times New Roman" w:hAnsi="Times New Roman" w:cs="宋体"/>
                <w:sz w:val="22"/>
              </w:rPr>
              <w:t>2</w:t>
            </w:r>
          </w:p>
        </w:tc>
        <w:tc>
          <w:tcPr>
            <w:tcW w:w="2052" w:type="dxa"/>
            <w:vMerge w:val="continue"/>
            <w:vAlign w:val="center"/>
          </w:tcPr>
          <w:p>
            <w:pPr>
              <w:pStyle w:val="44"/>
              <w:ind w:firstLine="480"/>
              <w:rPr>
                <w:rFonts w:ascii="Times New Roman" w:hAnsi="Times New Roman" w:cs="宋体"/>
                <w:sz w:val="22"/>
              </w:rPr>
            </w:pPr>
          </w:p>
        </w:tc>
        <w:tc>
          <w:tcPr>
            <w:tcW w:w="2529" w:type="dxa"/>
            <w:vAlign w:val="center"/>
          </w:tcPr>
          <w:p>
            <w:pPr>
              <w:pStyle w:val="44"/>
              <w:rPr>
                <w:rFonts w:ascii="Times New Roman" w:hAnsi="Times New Roman" w:cs="宋体"/>
                <w:sz w:val="22"/>
              </w:rPr>
            </w:pPr>
            <w:r>
              <w:rPr>
                <w:rFonts w:hint="eastAsia" w:ascii="Times New Roman" w:hAnsi="Times New Roman" w:cs="宋体"/>
                <w:sz w:val="22"/>
              </w:rPr>
              <w:t>减时间、减跑动、即办程度</w:t>
            </w:r>
          </w:p>
        </w:tc>
        <w:tc>
          <w:tcPr>
            <w:tcW w:w="2727" w:type="dxa"/>
            <w:vAlign w:val="center"/>
          </w:tcPr>
          <w:p>
            <w:pPr>
              <w:pStyle w:val="44"/>
              <w:rPr>
                <w:rFonts w:ascii="Times New Roman" w:hAnsi="Times New Roman" w:cs="宋体"/>
                <w:sz w:val="22"/>
              </w:rPr>
            </w:pPr>
            <w:r>
              <w:rPr>
                <w:rFonts w:hint="eastAsia" w:ascii="Times New Roman" w:hAnsi="Times New Roman" w:cs="宋体"/>
                <w:sz w:val="22"/>
              </w:rPr>
              <w:t>时限压减率(市级)、时限压减率(区县)、平均跑动次数(市级)、平均跑动次数(区县)、即办件事项数（市级）、即办件事项数（区级）、即办件占比(市级)、即办件占比(区县)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pStyle w:val="44"/>
              <w:jc w:val="center"/>
              <w:rPr>
                <w:rFonts w:ascii="Times New Roman" w:hAnsi="Times New Roman" w:cs="宋体"/>
                <w:sz w:val="22"/>
              </w:rPr>
            </w:pPr>
            <w:r>
              <w:rPr>
                <w:rFonts w:hint="eastAsia" w:ascii="Times New Roman" w:hAnsi="Times New Roman" w:cs="宋体"/>
                <w:sz w:val="22"/>
              </w:rPr>
              <w:t>3</w:t>
            </w:r>
          </w:p>
        </w:tc>
        <w:tc>
          <w:tcPr>
            <w:tcW w:w="2052" w:type="dxa"/>
            <w:vMerge w:val="continue"/>
            <w:vAlign w:val="center"/>
          </w:tcPr>
          <w:p>
            <w:pPr>
              <w:pStyle w:val="44"/>
              <w:ind w:firstLine="480"/>
              <w:rPr>
                <w:rFonts w:ascii="Times New Roman" w:hAnsi="Times New Roman" w:cs="宋体"/>
                <w:sz w:val="22"/>
              </w:rPr>
            </w:pPr>
          </w:p>
        </w:tc>
        <w:tc>
          <w:tcPr>
            <w:tcW w:w="2529" w:type="dxa"/>
            <w:vAlign w:val="center"/>
          </w:tcPr>
          <w:p>
            <w:pPr>
              <w:pStyle w:val="44"/>
              <w:rPr>
                <w:rFonts w:ascii="Times New Roman" w:hAnsi="Times New Roman" w:cs="宋体"/>
                <w:sz w:val="22"/>
              </w:rPr>
            </w:pPr>
            <w:r>
              <w:rPr>
                <w:rFonts w:hint="eastAsia" w:ascii="Times New Roman" w:hAnsi="Times New Roman" w:cs="宋体"/>
                <w:sz w:val="22"/>
              </w:rPr>
              <w:t>区域通办</w:t>
            </w:r>
          </w:p>
        </w:tc>
        <w:tc>
          <w:tcPr>
            <w:tcW w:w="2727" w:type="dxa"/>
            <w:vAlign w:val="center"/>
          </w:tcPr>
          <w:p>
            <w:pPr>
              <w:pStyle w:val="44"/>
              <w:rPr>
                <w:rFonts w:ascii="Times New Roman" w:hAnsi="Times New Roman" w:cs="宋体"/>
                <w:sz w:val="22"/>
              </w:rPr>
            </w:pPr>
            <w:r>
              <w:rPr>
                <w:rFonts w:hint="eastAsia" w:ascii="Times New Roman" w:hAnsi="Times New Roman" w:cs="宋体"/>
                <w:sz w:val="22"/>
              </w:rPr>
              <w:t>已实施的跨省通办事项数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pStyle w:val="44"/>
              <w:jc w:val="center"/>
              <w:rPr>
                <w:rFonts w:ascii="Times New Roman" w:hAnsi="Times New Roman" w:cs="宋体"/>
                <w:sz w:val="22"/>
              </w:rPr>
            </w:pPr>
            <w:r>
              <w:rPr>
                <w:rFonts w:hint="eastAsia" w:ascii="Times New Roman" w:hAnsi="Times New Roman" w:cs="宋体"/>
                <w:sz w:val="22"/>
              </w:rPr>
              <w:t>4</w:t>
            </w:r>
          </w:p>
        </w:tc>
        <w:tc>
          <w:tcPr>
            <w:tcW w:w="2052" w:type="dxa"/>
            <w:vMerge w:val="continue"/>
            <w:vAlign w:val="center"/>
          </w:tcPr>
          <w:p>
            <w:pPr>
              <w:pStyle w:val="44"/>
              <w:ind w:firstLine="480"/>
              <w:rPr>
                <w:rFonts w:ascii="Times New Roman" w:hAnsi="Times New Roman" w:cs="宋体"/>
                <w:sz w:val="22"/>
              </w:rPr>
            </w:pPr>
          </w:p>
        </w:tc>
        <w:tc>
          <w:tcPr>
            <w:tcW w:w="2529" w:type="dxa"/>
            <w:vAlign w:val="center"/>
          </w:tcPr>
          <w:p>
            <w:pPr>
              <w:pStyle w:val="44"/>
              <w:rPr>
                <w:rFonts w:ascii="Times New Roman" w:hAnsi="Times New Roman" w:cs="宋体"/>
                <w:sz w:val="22"/>
              </w:rPr>
            </w:pPr>
            <w:r>
              <w:rPr>
                <w:rFonts w:hint="eastAsia" w:ascii="Times New Roman" w:hAnsi="Times New Roman" w:cs="宋体"/>
                <w:sz w:val="22"/>
              </w:rPr>
              <w:t>主题集成服务</w:t>
            </w:r>
          </w:p>
        </w:tc>
        <w:tc>
          <w:tcPr>
            <w:tcW w:w="2727" w:type="dxa"/>
            <w:vAlign w:val="center"/>
          </w:tcPr>
          <w:p>
            <w:pPr>
              <w:pStyle w:val="44"/>
              <w:rPr>
                <w:rFonts w:ascii="Times New Roman" w:hAnsi="Times New Roman" w:cs="宋体"/>
                <w:sz w:val="22"/>
              </w:rPr>
            </w:pPr>
            <w:r>
              <w:rPr>
                <w:rFonts w:hint="eastAsia" w:ascii="Times New Roman" w:hAnsi="Times New Roman" w:cs="宋体"/>
                <w:sz w:val="22"/>
              </w:rPr>
              <w:t>主题集成服务数量、在线可办数量、在线可办率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pStyle w:val="44"/>
              <w:jc w:val="center"/>
              <w:rPr>
                <w:rFonts w:ascii="Times New Roman" w:hAnsi="Times New Roman" w:cs="宋体"/>
                <w:sz w:val="22"/>
              </w:rPr>
            </w:pPr>
            <w:r>
              <w:rPr>
                <w:rFonts w:hint="eastAsia" w:ascii="Times New Roman" w:hAnsi="Times New Roman" w:cs="宋体"/>
                <w:sz w:val="22"/>
              </w:rPr>
              <w:t>5</w:t>
            </w:r>
          </w:p>
        </w:tc>
        <w:tc>
          <w:tcPr>
            <w:tcW w:w="2052" w:type="dxa"/>
            <w:vMerge w:val="continue"/>
            <w:vAlign w:val="center"/>
          </w:tcPr>
          <w:p>
            <w:pPr>
              <w:pStyle w:val="44"/>
              <w:ind w:firstLine="480"/>
              <w:rPr>
                <w:rFonts w:ascii="Times New Roman" w:hAnsi="Times New Roman" w:cs="宋体"/>
                <w:sz w:val="22"/>
              </w:rPr>
            </w:pPr>
          </w:p>
        </w:tc>
        <w:tc>
          <w:tcPr>
            <w:tcW w:w="2529" w:type="dxa"/>
            <w:vAlign w:val="center"/>
          </w:tcPr>
          <w:p>
            <w:pPr>
              <w:pStyle w:val="44"/>
              <w:rPr>
                <w:rFonts w:ascii="Times New Roman" w:hAnsi="Times New Roman" w:cs="宋体"/>
                <w:sz w:val="22"/>
              </w:rPr>
            </w:pPr>
            <w:r>
              <w:rPr>
                <w:rFonts w:hint="eastAsia" w:ascii="Times New Roman" w:hAnsi="Times New Roman" w:cs="宋体"/>
                <w:sz w:val="22"/>
              </w:rPr>
              <w:t>电子印章</w:t>
            </w:r>
          </w:p>
        </w:tc>
        <w:tc>
          <w:tcPr>
            <w:tcW w:w="2727" w:type="dxa"/>
            <w:vAlign w:val="center"/>
          </w:tcPr>
          <w:p>
            <w:pPr>
              <w:pStyle w:val="44"/>
              <w:rPr>
                <w:rFonts w:ascii="Times New Roman" w:hAnsi="Times New Roman" w:cs="宋体"/>
                <w:sz w:val="22"/>
              </w:rPr>
            </w:pPr>
            <w:r>
              <w:rPr>
                <w:rFonts w:hint="eastAsia" w:ascii="Times New Roman" w:hAnsi="Times New Roman" w:cs="宋体"/>
                <w:sz w:val="22"/>
              </w:rPr>
              <w:t>电子印章使用量、电子印章覆盖率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pStyle w:val="44"/>
              <w:jc w:val="center"/>
              <w:rPr>
                <w:rFonts w:ascii="Times New Roman" w:hAnsi="Times New Roman" w:cs="宋体"/>
                <w:sz w:val="22"/>
              </w:rPr>
            </w:pPr>
            <w:r>
              <w:rPr>
                <w:rFonts w:hint="eastAsia" w:ascii="Times New Roman" w:hAnsi="Times New Roman" w:cs="宋体"/>
                <w:sz w:val="22"/>
              </w:rPr>
              <w:t>6</w:t>
            </w:r>
          </w:p>
        </w:tc>
        <w:tc>
          <w:tcPr>
            <w:tcW w:w="2052" w:type="dxa"/>
            <w:vMerge w:val="continue"/>
            <w:vAlign w:val="center"/>
          </w:tcPr>
          <w:p>
            <w:pPr>
              <w:pStyle w:val="44"/>
              <w:ind w:firstLine="480"/>
              <w:rPr>
                <w:rFonts w:ascii="Times New Roman" w:hAnsi="Times New Roman" w:cs="宋体"/>
                <w:sz w:val="22"/>
              </w:rPr>
            </w:pPr>
          </w:p>
        </w:tc>
        <w:tc>
          <w:tcPr>
            <w:tcW w:w="2529" w:type="dxa"/>
            <w:vAlign w:val="center"/>
          </w:tcPr>
          <w:p>
            <w:pPr>
              <w:pStyle w:val="44"/>
              <w:rPr>
                <w:rFonts w:ascii="Times New Roman" w:hAnsi="Times New Roman" w:cs="宋体"/>
                <w:sz w:val="22"/>
              </w:rPr>
            </w:pPr>
            <w:r>
              <w:rPr>
                <w:rFonts w:hint="eastAsia" w:ascii="Times New Roman" w:hAnsi="Times New Roman" w:cs="宋体"/>
                <w:sz w:val="22"/>
              </w:rPr>
              <w:t>办件信息汇聚</w:t>
            </w:r>
          </w:p>
        </w:tc>
        <w:tc>
          <w:tcPr>
            <w:tcW w:w="2727" w:type="dxa"/>
            <w:vAlign w:val="center"/>
          </w:tcPr>
          <w:p>
            <w:pPr>
              <w:pStyle w:val="44"/>
              <w:rPr>
                <w:rFonts w:ascii="Times New Roman" w:hAnsi="Times New Roman" w:cs="宋体"/>
                <w:sz w:val="22"/>
              </w:rPr>
            </w:pPr>
            <w:r>
              <w:rPr>
                <w:rFonts w:hint="eastAsia" w:ascii="Times New Roman" w:hAnsi="Times New Roman" w:cs="宋体"/>
                <w:sz w:val="22"/>
              </w:rPr>
              <w:t>本年度报送办件量、本年度质检</w:t>
            </w:r>
          </w:p>
          <w:p>
            <w:pPr>
              <w:pStyle w:val="44"/>
              <w:rPr>
                <w:rFonts w:ascii="Times New Roman" w:hAnsi="Times New Roman" w:cs="宋体"/>
                <w:sz w:val="22"/>
              </w:rPr>
            </w:pPr>
            <w:r>
              <w:rPr>
                <w:rFonts w:hint="eastAsia" w:ascii="Times New Roman" w:hAnsi="Times New Roman" w:cs="宋体"/>
                <w:sz w:val="22"/>
              </w:rPr>
              <w:t>通过率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pStyle w:val="44"/>
              <w:jc w:val="center"/>
              <w:rPr>
                <w:rFonts w:ascii="Times New Roman" w:hAnsi="Times New Roman" w:cs="宋体"/>
                <w:sz w:val="22"/>
              </w:rPr>
            </w:pPr>
            <w:r>
              <w:rPr>
                <w:rFonts w:hint="eastAsia" w:ascii="Times New Roman" w:hAnsi="Times New Roman" w:cs="宋体"/>
                <w:sz w:val="22"/>
              </w:rPr>
              <w:t>7</w:t>
            </w:r>
          </w:p>
        </w:tc>
        <w:tc>
          <w:tcPr>
            <w:tcW w:w="2052" w:type="dxa"/>
            <w:vMerge w:val="continue"/>
            <w:vAlign w:val="center"/>
          </w:tcPr>
          <w:p>
            <w:pPr>
              <w:pStyle w:val="44"/>
              <w:ind w:firstLine="480"/>
              <w:rPr>
                <w:rFonts w:ascii="Times New Roman" w:hAnsi="Times New Roman" w:cs="宋体"/>
                <w:sz w:val="22"/>
              </w:rPr>
            </w:pPr>
          </w:p>
        </w:tc>
        <w:tc>
          <w:tcPr>
            <w:tcW w:w="2529" w:type="dxa"/>
            <w:vAlign w:val="center"/>
          </w:tcPr>
          <w:p>
            <w:pPr>
              <w:pStyle w:val="44"/>
              <w:rPr>
                <w:rFonts w:ascii="Times New Roman" w:hAnsi="Times New Roman" w:cs="宋体"/>
                <w:sz w:val="22"/>
              </w:rPr>
            </w:pPr>
            <w:r>
              <w:rPr>
                <w:rFonts w:hint="eastAsia" w:ascii="Times New Roman" w:hAnsi="Times New Roman" w:cs="宋体"/>
                <w:sz w:val="22"/>
              </w:rPr>
              <w:t>综合受理</w:t>
            </w:r>
          </w:p>
        </w:tc>
        <w:tc>
          <w:tcPr>
            <w:tcW w:w="2727" w:type="dxa"/>
            <w:vAlign w:val="center"/>
          </w:tcPr>
          <w:p>
            <w:pPr>
              <w:pStyle w:val="44"/>
              <w:rPr>
                <w:rFonts w:ascii="Times New Roman" w:hAnsi="Times New Roman" w:cs="宋体"/>
                <w:sz w:val="22"/>
              </w:rPr>
            </w:pPr>
            <w:r>
              <w:rPr>
                <w:rFonts w:hint="eastAsia" w:ascii="Times New Roman" w:hAnsi="Times New Roman" w:cs="宋体"/>
                <w:sz w:val="22"/>
              </w:rPr>
              <w:t>事项总数、“综窗受理”事项数、“综窗受理”率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pStyle w:val="44"/>
              <w:jc w:val="center"/>
              <w:rPr>
                <w:rFonts w:ascii="Times New Roman" w:hAnsi="Times New Roman" w:cs="宋体"/>
                <w:sz w:val="22"/>
              </w:rPr>
            </w:pPr>
            <w:r>
              <w:rPr>
                <w:rFonts w:hint="eastAsia" w:ascii="Times New Roman" w:hAnsi="Times New Roman" w:cs="宋体"/>
                <w:sz w:val="22"/>
              </w:rPr>
              <w:t>8</w:t>
            </w:r>
          </w:p>
        </w:tc>
        <w:tc>
          <w:tcPr>
            <w:tcW w:w="2052" w:type="dxa"/>
            <w:vMerge w:val="continue"/>
            <w:vAlign w:val="center"/>
          </w:tcPr>
          <w:p>
            <w:pPr>
              <w:pStyle w:val="44"/>
              <w:ind w:firstLine="480"/>
              <w:rPr>
                <w:rFonts w:ascii="Times New Roman" w:hAnsi="Times New Roman" w:cs="宋体"/>
                <w:sz w:val="22"/>
              </w:rPr>
            </w:pPr>
          </w:p>
        </w:tc>
        <w:tc>
          <w:tcPr>
            <w:tcW w:w="2529" w:type="dxa"/>
            <w:vAlign w:val="center"/>
          </w:tcPr>
          <w:p>
            <w:pPr>
              <w:pStyle w:val="44"/>
              <w:rPr>
                <w:rFonts w:ascii="Times New Roman" w:hAnsi="Times New Roman" w:cs="宋体"/>
                <w:sz w:val="22"/>
              </w:rPr>
            </w:pPr>
            <w:r>
              <w:rPr>
                <w:rFonts w:hint="eastAsia" w:ascii="Times New Roman" w:hAnsi="Times New Roman" w:cs="宋体"/>
                <w:sz w:val="22"/>
              </w:rPr>
              <w:t>业务融合</w:t>
            </w:r>
          </w:p>
        </w:tc>
        <w:tc>
          <w:tcPr>
            <w:tcW w:w="2727" w:type="dxa"/>
            <w:vAlign w:val="center"/>
          </w:tcPr>
          <w:p>
            <w:pPr>
              <w:pStyle w:val="44"/>
              <w:rPr>
                <w:rFonts w:ascii="Times New Roman" w:hAnsi="Times New Roman" w:cs="宋体"/>
                <w:sz w:val="22"/>
              </w:rPr>
            </w:pPr>
            <w:r>
              <w:rPr>
                <w:rFonts w:hint="eastAsia" w:ascii="Times New Roman" w:hAnsi="Times New Roman" w:cs="宋体"/>
                <w:sz w:val="22"/>
              </w:rPr>
              <w:t>跨域办率、预约办率、自助办率、自助办率</w:t>
            </w:r>
          </w:p>
        </w:tc>
      </w:tr>
    </w:tbl>
    <w:p>
      <w:pPr>
        <w:spacing w:line="560" w:lineRule="exact"/>
        <w:jc w:val="center"/>
        <w:rPr>
          <w:rFonts w:ascii="宋体" w:hAnsi="宋体" w:eastAsia="宋体" w:cs="宋体"/>
          <w:lang w:val="zh-CN"/>
        </w:rPr>
      </w:pPr>
      <w:r>
        <w:rPr>
          <w:rFonts w:hint="eastAsia" w:ascii="宋体" w:hAnsi="宋体" w:eastAsia="宋体" w:cs="宋体"/>
        </w:rPr>
        <w:t>考核数据分析服务指标表</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2.2.3常态化监测服务</w:t>
      </w:r>
    </w:p>
    <w:p>
      <w:pPr>
        <w:spacing w:line="560" w:lineRule="exact"/>
        <w:ind w:firstLine="640" w:firstLineChars="200"/>
      </w:pPr>
      <w:r>
        <w:rPr>
          <w:rFonts w:hint="eastAsia" w:eastAsia="仿宋"/>
          <w:sz w:val="32"/>
          <w:szCs w:val="32"/>
        </w:rPr>
        <w:t>针对数字政府常态化监测各项指标，开展常态化监测。包括政务服务网办事指南要素检测、在线申办易用度体验检测、政务服务网专栏链接有效性可用性等，并形成问题清单反馈及协助各部门配置整改。</w:t>
      </w:r>
    </w:p>
    <w:tbl>
      <w:tblPr>
        <w:tblStyle w:val="22"/>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985"/>
        <w:gridCol w:w="2268"/>
        <w:gridCol w:w="2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pPr>
              <w:pStyle w:val="20"/>
              <w:spacing w:after="0"/>
              <w:ind w:left="0" w:leftChars="0" w:firstLine="0"/>
              <w:jc w:val="center"/>
            </w:pPr>
            <w:r>
              <w:rPr>
                <w:rFonts w:hint="eastAsia" w:cs="宋体"/>
                <w:b/>
                <w:bCs/>
                <w:color w:val="000000"/>
              </w:rPr>
              <w:t>序号</w:t>
            </w:r>
          </w:p>
        </w:tc>
        <w:tc>
          <w:tcPr>
            <w:tcW w:w="1985" w:type="dxa"/>
            <w:vAlign w:val="center"/>
          </w:tcPr>
          <w:p>
            <w:pPr>
              <w:pStyle w:val="20"/>
              <w:spacing w:after="0"/>
              <w:ind w:left="0" w:leftChars="0" w:firstLine="0"/>
              <w:jc w:val="center"/>
            </w:pPr>
            <w:r>
              <w:rPr>
                <w:rFonts w:hint="eastAsia" w:cs="宋体"/>
                <w:b/>
                <w:bCs/>
                <w:color w:val="000000"/>
              </w:rPr>
              <w:t>分析大类</w:t>
            </w:r>
          </w:p>
        </w:tc>
        <w:tc>
          <w:tcPr>
            <w:tcW w:w="2268" w:type="dxa"/>
            <w:vAlign w:val="center"/>
          </w:tcPr>
          <w:p>
            <w:pPr>
              <w:pStyle w:val="20"/>
              <w:spacing w:after="0"/>
              <w:ind w:left="0" w:leftChars="0" w:firstLine="0"/>
              <w:jc w:val="center"/>
            </w:pPr>
            <w:r>
              <w:rPr>
                <w:rFonts w:hint="eastAsia" w:cs="宋体"/>
                <w:b/>
                <w:bCs/>
                <w:color w:val="000000"/>
              </w:rPr>
              <w:t>分析项</w:t>
            </w:r>
          </w:p>
        </w:tc>
        <w:tc>
          <w:tcPr>
            <w:tcW w:w="2914" w:type="dxa"/>
            <w:vAlign w:val="center"/>
          </w:tcPr>
          <w:p>
            <w:pPr>
              <w:pStyle w:val="20"/>
              <w:spacing w:after="0"/>
              <w:ind w:left="0" w:leftChars="0" w:firstLine="0"/>
              <w:jc w:val="center"/>
            </w:pPr>
            <w:r>
              <w:rPr>
                <w:rFonts w:hint="eastAsia" w:cs="宋体"/>
                <w:b/>
                <w:bCs/>
                <w:color w:val="00000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pPr>
              <w:pStyle w:val="34"/>
              <w:ind w:firstLine="0" w:firstLineChars="0"/>
              <w:jc w:val="center"/>
              <w:rPr>
                <w:rFonts w:cs="宋体" w:eastAsiaTheme="minorEastAsia"/>
                <w:szCs w:val="22"/>
              </w:rPr>
            </w:pPr>
            <w:r>
              <w:rPr>
                <w:rFonts w:hint="eastAsia"/>
              </w:rPr>
              <w:t>1</w:t>
            </w:r>
          </w:p>
        </w:tc>
        <w:tc>
          <w:tcPr>
            <w:tcW w:w="1985" w:type="dxa"/>
            <w:vMerge w:val="restart"/>
            <w:vAlign w:val="center"/>
          </w:tcPr>
          <w:p>
            <w:pPr>
              <w:pStyle w:val="44"/>
              <w:rPr>
                <w:rFonts w:ascii="Times New Roman" w:hAnsi="Times New Roman" w:cs="宋体"/>
                <w:sz w:val="22"/>
              </w:rPr>
            </w:pPr>
            <w:r>
              <w:rPr>
                <w:rFonts w:hint="eastAsia" w:ascii="Times New Roman" w:hAnsi="Times New Roman" w:cs="宋体"/>
                <w:sz w:val="22"/>
              </w:rPr>
              <w:t>政务服务网常态化监测</w:t>
            </w:r>
          </w:p>
        </w:tc>
        <w:tc>
          <w:tcPr>
            <w:tcW w:w="2268" w:type="dxa"/>
            <w:vAlign w:val="center"/>
          </w:tcPr>
          <w:p>
            <w:pPr>
              <w:pStyle w:val="44"/>
              <w:rPr>
                <w:rFonts w:ascii="Times New Roman" w:hAnsi="Times New Roman" w:cs="宋体"/>
                <w:sz w:val="22"/>
              </w:rPr>
            </w:pPr>
            <w:r>
              <w:rPr>
                <w:rFonts w:hint="eastAsia" w:ascii="Times New Roman" w:hAnsi="Times New Roman" w:cs="宋体"/>
                <w:sz w:val="22"/>
              </w:rPr>
              <w:t>办事指南要素规范性常态化监测。</w:t>
            </w:r>
          </w:p>
        </w:tc>
        <w:tc>
          <w:tcPr>
            <w:tcW w:w="2914" w:type="dxa"/>
            <w:vAlign w:val="center"/>
          </w:tcPr>
          <w:p>
            <w:pPr>
              <w:pStyle w:val="44"/>
              <w:rPr>
                <w:rFonts w:ascii="Times New Roman" w:hAnsi="Times New Roman" w:cs="宋体"/>
                <w:sz w:val="22"/>
              </w:rPr>
            </w:pPr>
            <w:r>
              <w:rPr>
                <w:rFonts w:hint="eastAsia" w:ascii="Times New Roman" w:hAnsi="Times New Roman" w:cs="宋体"/>
                <w:sz w:val="22"/>
              </w:rPr>
              <w:t>针对办事指南办事地点、办事时间等指引要素进行人工体验检测，并记录形成问题清单供参考整改。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pPr>
              <w:pStyle w:val="44"/>
              <w:ind w:firstLine="480"/>
              <w:rPr>
                <w:rFonts w:ascii="Times New Roman" w:hAnsi="Times New Roman" w:eastAsia="宋体" w:cs="Times New Roman"/>
                <w:szCs w:val="24"/>
              </w:rPr>
            </w:pPr>
            <w:r>
              <w:rPr>
                <w:rFonts w:hint="eastAsia" w:ascii="Times New Roman" w:hAnsi="Times New Roman" w:eastAsia="宋体" w:cs="Times New Roman"/>
                <w:szCs w:val="24"/>
              </w:rPr>
              <w:t>2</w:t>
            </w:r>
          </w:p>
        </w:tc>
        <w:tc>
          <w:tcPr>
            <w:tcW w:w="1985" w:type="dxa"/>
            <w:vMerge w:val="continue"/>
            <w:vAlign w:val="center"/>
          </w:tcPr>
          <w:p>
            <w:pPr>
              <w:pStyle w:val="44"/>
              <w:ind w:firstLine="480"/>
              <w:rPr>
                <w:rFonts w:ascii="Times New Roman" w:hAnsi="Times New Roman" w:cs="宋体"/>
                <w:sz w:val="22"/>
              </w:rPr>
            </w:pPr>
          </w:p>
        </w:tc>
        <w:tc>
          <w:tcPr>
            <w:tcW w:w="2268" w:type="dxa"/>
            <w:vAlign w:val="center"/>
          </w:tcPr>
          <w:p>
            <w:pPr>
              <w:pStyle w:val="44"/>
              <w:rPr>
                <w:rFonts w:ascii="Times New Roman" w:hAnsi="Times New Roman" w:cs="宋体"/>
                <w:sz w:val="22"/>
              </w:rPr>
            </w:pPr>
            <w:r>
              <w:rPr>
                <w:rFonts w:hint="eastAsia" w:ascii="Times New Roman" w:hAnsi="Times New Roman" w:cs="宋体"/>
                <w:sz w:val="22"/>
              </w:rPr>
              <w:t>政务服务网地市专栏日常监测及日常更新配置性工作</w:t>
            </w:r>
          </w:p>
        </w:tc>
        <w:tc>
          <w:tcPr>
            <w:tcW w:w="2914" w:type="dxa"/>
            <w:vAlign w:val="center"/>
          </w:tcPr>
          <w:p>
            <w:pPr>
              <w:pStyle w:val="44"/>
              <w:rPr>
                <w:rFonts w:ascii="Times New Roman" w:hAnsi="Times New Roman" w:cs="宋体"/>
                <w:sz w:val="22"/>
              </w:rPr>
            </w:pPr>
            <w:r>
              <w:rPr>
                <w:rFonts w:hint="eastAsia" w:ascii="Times New Roman" w:hAnsi="Times New Roman" w:cs="宋体"/>
                <w:sz w:val="22"/>
              </w:rPr>
              <w:t>（1）对江门门户地市政务服务专栏进行日常巡检，确保链接有效性可用性，并将问题记录于运营日报问题清单进行跟进整改。</w:t>
            </w:r>
          </w:p>
          <w:p>
            <w:pPr>
              <w:pStyle w:val="44"/>
              <w:rPr>
                <w:rFonts w:ascii="Times New Roman" w:hAnsi="Times New Roman" w:cs="宋体"/>
                <w:sz w:val="22"/>
              </w:rPr>
            </w:pPr>
            <w:r>
              <w:rPr>
                <w:rFonts w:hint="eastAsia" w:ascii="Times New Roman" w:hAnsi="Times New Roman" w:cs="宋体"/>
                <w:sz w:val="22"/>
              </w:rPr>
              <w:t>（2）提供政务服务网门户运营平台配置性服务，包括地市专栏封面背景图美工设计服务、跳转链接配置、专栏页面排版等。</w:t>
            </w:r>
          </w:p>
        </w:tc>
      </w:tr>
    </w:tbl>
    <w:p>
      <w:pPr>
        <w:spacing w:line="560" w:lineRule="exact"/>
        <w:jc w:val="center"/>
        <w:rPr>
          <w:rFonts w:ascii="宋体" w:hAnsi="宋体" w:eastAsia="宋体" w:cs="宋体"/>
        </w:rPr>
      </w:pPr>
      <w:r>
        <w:rPr>
          <w:rFonts w:hint="eastAsia" w:ascii="宋体" w:hAnsi="宋体" w:eastAsia="宋体" w:cs="宋体"/>
        </w:rPr>
        <w:t>常态化监测服务指标表</w:t>
      </w:r>
    </w:p>
    <w:p>
      <w:pPr>
        <w:pStyle w:val="11"/>
      </w:pP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2.2.4数据提升服务</w:t>
      </w:r>
    </w:p>
    <w:p>
      <w:pPr>
        <w:pStyle w:val="44"/>
        <w:spacing w:line="560" w:lineRule="exact"/>
        <w:ind w:firstLine="640" w:firstLineChars="200"/>
        <w:rPr>
          <w:rFonts w:ascii="Times New Roman" w:hAnsi="Times New Roman" w:eastAsia="仿宋" w:cs="Times New Roman"/>
          <w:sz w:val="32"/>
          <w:szCs w:val="32"/>
          <w:lang w:val="zh-CN"/>
        </w:rPr>
      </w:pPr>
      <w:r>
        <w:rPr>
          <w:rFonts w:hint="eastAsia" w:ascii="Times New Roman" w:hAnsi="Times New Roman" w:eastAsia="仿宋" w:cs="Times New Roman"/>
          <w:sz w:val="32"/>
          <w:szCs w:val="32"/>
          <w:lang w:val="zh-CN"/>
        </w:rPr>
        <w:t>针对运营团队数据分析结果，提供决策建议服务，以实现更多的赋能以及应用，提升数字政府政务服务考核各项指标效能。</w:t>
      </w:r>
    </w:p>
    <w:tbl>
      <w:tblPr>
        <w:tblStyle w:val="22"/>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985"/>
        <w:gridCol w:w="2268"/>
        <w:gridCol w:w="2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pPr>
              <w:pStyle w:val="20"/>
              <w:spacing w:after="0"/>
              <w:ind w:left="0" w:leftChars="0" w:firstLine="0"/>
              <w:jc w:val="center"/>
            </w:pPr>
            <w:r>
              <w:rPr>
                <w:rFonts w:hint="eastAsia" w:cs="宋体"/>
                <w:b/>
                <w:bCs/>
                <w:color w:val="000000"/>
              </w:rPr>
              <w:t>序号</w:t>
            </w:r>
          </w:p>
        </w:tc>
        <w:tc>
          <w:tcPr>
            <w:tcW w:w="1985" w:type="dxa"/>
            <w:vAlign w:val="center"/>
          </w:tcPr>
          <w:p>
            <w:pPr>
              <w:pStyle w:val="20"/>
              <w:spacing w:after="0"/>
              <w:ind w:left="0" w:leftChars="0" w:firstLine="0"/>
              <w:jc w:val="center"/>
            </w:pPr>
            <w:r>
              <w:rPr>
                <w:rFonts w:hint="eastAsia" w:cs="宋体"/>
                <w:b/>
                <w:bCs/>
                <w:color w:val="000000"/>
              </w:rPr>
              <w:t>分析大类</w:t>
            </w:r>
          </w:p>
        </w:tc>
        <w:tc>
          <w:tcPr>
            <w:tcW w:w="2268" w:type="dxa"/>
            <w:vAlign w:val="center"/>
          </w:tcPr>
          <w:p>
            <w:pPr>
              <w:pStyle w:val="20"/>
              <w:spacing w:after="0"/>
              <w:ind w:left="0" w:leftChars="0" w:firstLine="0"/>
              <w:jc w:val="center"/>
            </w:pPr>
            <w:r>
              <w:rPr>
                <w:rFonts w:hint="eastAsia" w:cs="宋体"/>
                <w:b/>
                <w:bCs/>
                <w:color w:val="000000"/>
              </w:rPr>
              <w:t>分析项</w:t>
            </w:r>
          </w:p>
        </w:tc>
        <w:tc>
          <w:tcPr>
            <w:tcW w:w="2914" w:type="dxa"/>
            <w:vAlign w:val="center"/>
          </w:tcPr>
          <w:p>
            <w:pPr>
              <w:pStyle w:val="20"/>
              <w:spacing w:after="0"/>
              <w:ind w:left="0" w:leftChars="0" w:firstLine="0"/>
              <w:jc w:val="center"/>
            </w:pPr>
            <w:r>
              <w:rPr>
                <w:rFonts w:hint="eastAsia" w:cs="宋体"/>
                <w:b/>
                <w:bCs/>
                <w:color w:val="00000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pPr>
              <w:pStyle w:val="44"/>
              <w:ind w:firstLine="480"/>
              <w:rPr>
                <w:rFonts w:ascii="Times New Roman" w:hAnsi="Times New Roman" w:cs="宋体"/>
                <w:sz w:val="22"/>
                <w:lang w:val="zh-CN"/>
              </w:rPr>
            </w:pPr>
            <w:r>
              <w:rPr>
                <w:rFonts w:hint="eastAsia" w:ascii="Times New Roman" w:hAnsi="Times New Roman" w:cs="宋体"/>
                <w:sz w:val="22"/>
                <w:lang w:val="zh-CN"/>
              </w:rPr>
              <w:t>1</w:t>
            </w:r>
          </w:p>
        </w:tc>
        <w:tc>
          <w:tcPr>
            <w:tcW w:w="1985" w:type="dxa"/>
            <w:vMerge w:val="restart"/>
            <w:vAlign w:val="center"/>
          </w:tcPr>
          <w:p>
            <w:pPr>
              <w:pStyle w:val="44"/>
              <w:ind w:firstLine="480"/>
              <w:rPr>
                <w:rFonts w:ascii="Times New Roman" w:hAnsi="Times New Roman" w:cs="宋体"/>
                <w:sz w:val="22"/>
                <w:lang w:val="zh-CN"/>
              </w:rPr>
            </w:pPr>
            <w:r>
              <w:rPr>
                <w:rFonts w:hint="eastAsia" w:ascii="Times New Roman" w:hAnsi="Times New Roman" w:cs="宋体"/>
                <w:sz w:val="22"/>
                <w:lang w:val="zh-CN"/>
              </w:rPr>
              <w:t>省统一能力一体化深化运用</w:t>
            </w:r>
          </w:p>
        </w:tc>
        <w:tc>
          <w:tcPr>
            <w:tcW w:w="2268" w:type="dxa"/>
            <w:vAlign w:val="center"/>
          </w:tcPr>
          <w:p>
            <w:pPr>
              <w:pStyle w:val="44"/>
              <w:ind w:firstLine="480"/>
              <w:rPr>
                <w:rFonts w:ascii="Times New Roman" w:hAnsi="Times New Roman" w:cs="宋体"/>
                <w:sz w:val="22"/>
                <w:lang w:val="zh-CN"/>
              </w:rPr>
            </w:pPr>
            <w:r>
              <w:rPr>
                <w:rFonts w:hint="eastAsia" w:ascii="Times New Roman" w:hAnsi="Times New Roman" w:cs="宋体"/>
                <w:sz w:val="22"/>
                <w:lang w:val="zh-CN"/>
              </w:rPr>
              <w:t>过程数据接入优化</w:t>
            </w:r>
          </w:p>
        </w:tc>
        <w:tc>
          <w:tcPr>
            <w:tcW w:w="2914" w:type="dxa"/>
            <w:vAlign w:val="center"/>
          </w:tcPr>
          <w:p>
            <w:pPr>
              <w:pStyle w:val="44"/>
              <w:ind w:firstLine="480"/>
              <w:rPr>
                <w:rFonts w:ascii="Times New Roman" w:hAnsi="Times New Roman" w:cs="宋体"/>
                <w:sz w:val="22"/>
                <w:lang w:val="zh-CN"/>
              </w:rPr>
            </w:pPr>
            <w:r>
              <w:rPr>
                <w:rFonts w:hint="eastAsia" w:ascii="Times New Roman" w:hAnsi="Times New Roman" w:cs="宋体"/>
                <w:sz w:val="22"/>
                <w:lang w:val="zh-CN"/>
              </w:rPr>
              <w:t>根据过程数据的监测数据，配合提升过程数据覆盖度、过程数据业务量等考核数据。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pPr>
              <w:pStyle w:val="44"/>
              <w:ind w:firstLine="480"/>
              <w:rPr>
                <w:rFonts w:ascii="Times New Roman" w:hAnsi="Times New Roman" w:cs="宋体"/>
                <w:sz w:val="22"/>
                <w:lang w:val="zh-CN"/>
              </w:rPr>
            </w:pPr>
            <w:r>
              <w:rPr>
                <w:rFonts w:hint="eastAsia" w:ascii="Times New Roman" w:hAnsi="Times New Roman" w:cs="宋体"/>
                <w:sz w:val="22"/>
                <w:lang w:val="zh-CN"/>
              </w:rPr>
              <w:t>2</w:t>
            </w:r>
          </w:p>
        </w:tc>
        <w:tc>
          <w:tcPr>
            <w:tcW w:w="1985" w:type="dxa"/>
            <w:vMerge w:val="continue"/>
            <w:vAlign w:val="center"/>
          </w:tcPr>
          <w:p>
            <w:pPr>
              <w:pStyle w:val="44"/>
              <w:ind w:firstLine="480"/>
              <w:rPr>
                <w:rFonts w:ascii="Times New Roman" w:hAnsi="Times New Roman" w:cs="宋体"/>
                <w:sz w:val="22"/>
                <w:lang w:val="zh-CN"/>
              </w:rPr>
            </w:pPr>
          </w:p>
        </w:tc>
        <w:tc>
          <w:tcPr>
            <w:tcW w:w="2268" w:type="dxa"/>
            <w:vAlign w:val="center"/>
          </w:tcPr>
          <w:p>
            <w:pPr>
              <w:pStyle w:val="44"/>
              <w:ind w:firstLine="480"/>
              <w:rPr>
                <w:rFonts w:ascii="Times New Roman" w:hAnsi="Times New Roman" w:cs="宋体"/>
                <w:sz w:val="22"/>
                <w:lang w:val="zh-CN"/>
              </w:rPr>
            </w:pPr>
            <w:r>
              <w:rPr>
                <w:rFonts w:hint="eastAsia" w:ascii="Times New Roman" w:hAnsi="Times New Roman" w:cs="宋体"/>
                <w:sz w:val="22"/>
                <w:lang w:val="zh-CN"/>
              </w:rPr>
              <w:t>电子印章应用深化</w:t>
            </w:r>
          </w:p>
        </w:tc>
        <w:tc>
          <w:tcPr>
            <w:tcW w:w="2914" w:type="dxa"/>
            <w:vAlign w:val="center"/>
          </w:tcPr>
          <w:p>
            <w:pPr>
              <w:pStyle w:val="44"/>
              <w:ind w:firstLine="480"/>
              <w:rPr>
                <w:rFonts w:ascii="Times New Roman" w:hAnsi="Times New Roman" w:cs="宋体"/>
                <w:sz w:val="22"/>
                <w:lang w:val="zh-CN"/>
              </w:rPr>
            </w:pPr>
            <w:r>
              <w:rPr>
                <w:rFonts w:hint="eastAsia" w:ascii="Times New Roman" w:hAnsi="Times New Roman" w:cs="宋体"/>
                <w:sz w:val="22"/>
                <w:lang w:val="zh-CN"/>
              </w:rPr>
              <w:t>提升电子印章应用能力，包括：</w:t>
            </w:r>
          </w:p>
          <w:p>
            <w:pPr>
              <w:pStyle w:val="44"/>
              <w:ind w:firstLine="480"/>
              <w:rPr>
                <w:rFonts w:ascii="Times New Roman" w:hAnsi="Times New Roman" w:cs="宋体"/>
                <w:sz w:val="22"/>
                <w:lang w:val="zh-CN"/>
              </w:rPr>
            </w:pPr>
            <w:r>
              <w:rPr>
                <w:rFonts w:hint="eastAsia" w:ascii="Times New Roman" w:hAnsi="Times New Roman" w:cs="宋体"/>
                <w:sz w:val="22"/>
                <w:lang w:val="zh-CN"/>
              </w:rPr>
              <w:t>1）对受理通知书、预约信息加盖统一印章</w:t>
            </w:r>
          </w:p>
          <w:p>
            <w:pPr>
              <w:pStyle w:val="44"/>
              <w:ind w:firstLine="480"/>
              <w:rPr>
                <w:rFonts w:ascii="Times New Roman" w:hAnsi="Times New Roman" w:cs="宋体"/>
                <w:sz w:val="22"/>
                <w:lang w:val="zh-CN"/>
              </w:rPr>
            </w:pPr>
            <w:r>
              <w:rPr>
                <w:rFonts w:hint="eastAsia" w:ascii="Times New Roman" w:hAnsi="Times New Roman" w:cs="宋体"/>
                <w:sz w:val="22"/>
                <w:lang w:val="zh-CN"/>
              </w:rPr>
              <w:t>2）定期监控电子印章应用数并提升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pPr>
              <w:pStyle w:val="44"/>
              <w:ind w:firstLine="480"/>
              <w:rPr>
                <w:rFonts w:ascii="Times New Roman" w:hAnsi="Times New Roman" w:cs="宋体"/>
                <w:sz w:val="22"/>
                <w:lang w:val="zh-CN"/>
              </w:rPr>
            </w:pPr>
            <w:r>
              <w:rPr>
                <w:rFonts w:hint="eastAsia" w:ascii="Times New Roman" w:hAnsi="Times New Roman" w:cs="宋体"/>
                <w:sz w:val="22"/>
                <w:lang w:val="zh-CN"/>
              </w:rPr>
              <w:t>3</w:t>
            </w:r>
          </w:p>
        </w:tc>
        <w:tc>
          <w:tcPr>
            <w:tcW w:w="1985" w:type="dxa"/>
            <w:vMerge w:val="continue"/>
            <w:vAlign w:val="center"/>
          </w:tcPr>
          <w:p>
            <w:pPr>
              <w:pStyle w:val="44"/>
              <w:ind w:firstLine="480"/>
              <w:rPr>
                <w:rFonts w:ascii="Times New Roman" w:hAnsi="Times New Roman" w:cs="宋体"/>
                <w:sz w:val="22"/>
                <w:lang w:val="zh-CN"/>
              </w:rPr>
            </w:pPr>
          </w:p>
        </w:tc>
        <w:tc>
          <w:tcPr>
            <w:tcW w:w="2268" w:type="dxa"/>
            <w:vAlign w:val="center"/>
          </w:tcPr>
          <w:p>
            <w:pPr>
              <w:pStyle w:val="44"/>
              <w:ind w:firstLine="480"/>
              <w:rPr>
                <w:rFonts w:ascii="Times New Roman" w:hAnsi="Times New Roman" w:cs="宋体"/>
                <w:sz w:val="22"/>
                <w:lang w:val="zh-CN"/>
              </w:rPr>
            </w:pPr>
            <w:r>
              <w:rPr>
                <w:rFonts w:hint="eastAsia" w:ascii="Times New Roman" w:hAnsi="Times New Roman" w:cs="宋体"/>
                <w:sz w:val="22"/>
                <w:lang w:val="zh-CN"/>
              </w:rPr>
              <w:t>好差评应用深化</w:t>
            </w:r>
          </w:p>
        </w:tc>
        <w:tc>
          <w:tcPr>
            <w:tcW w:w="2914" w:type="dxa"/>
            <w:vAlign w:val="center"/>
          </w:tcPr>
          <w:p>
            <w:pPr>
              <w:pStyle w:val="44"/>
              <w:ind w:firstLine="480"/>
              <w:rPr>
                <w:rFonts w:ascii="Times New Roman" w:hAnsi="Times New Roman" w:cs="宋体"/>
                <w:sz w:val="22"/>
                <w:lang w:val="zh-CN"/>
              </w:rPr>
            </w:pPr>
            <w:r>
              <w:rPr>
                <w:rFonts w:hint="eastAsia" w:ascii="Times New Roman" w:hAnsi="Times New Roman" w:cs="宋体"/>
                <w:sz w:val="22"/>
                <w:lang w:val="zh-CN"/>
              </w:rPr>
              <w:t>提升好差评应用能力，包括：</w:t>
            </w:r>
          </w:p>
          <w:p>
            <w:pPr>
              <w:pStyle w:val="44"/>
              <w:ind w:firstLine="480"/>
              <w:rPr>
                <w:rFonts w:ascii="Times New Roman" w:hAnsi="Times New Roman" w:cs="宋体"/>
                <w:sz w:val="22"/>
                <w:lang w:val="zh-CN"/>
              </w:rPr>
            </w:pPr>
            <w:r>
              <w:rPr>
                <w:rFonts w:hint="eastAsia" w:ascii="Times New Roman" w:hAnsi="Times New Roman" w:cs="宋体"/>
                <w:sz w:val="22"/>
                <w:lang w:val="zh-CN"/>
              </w:rPr>
              <w:t>1）对各业务系统受理、办结阶段增加好差评渠道应用场景</w:t>
            </w:r>
          </w:p>
          <w:p>
            <w:pPr>
              <w:pStyle w:val="44"/>
              <w:ind w:firstLine="480"/>
              <w:rPr>
                <w:rFonts w:ascii="Times New Roman" w:hAnsi="Times New Roman" w:cs="宋体"/>
                <w:sz w:val="22"/>
                <w:lang w:val="zh-CN"/>
              </w:rPr>
            </w:pPr>
            <w:r>
              <w:rPr>
                <w:rFonts w:hint="eastAsia" w:ascii="Times New Roman" w:hAnsi="Times New Roman" w:cs="宋体"/>
                <w:sz w:val="22"/>
                <w:lang w:val="zh-CN"/>
              </w:rPr>
              <w:t>2）定期监控全市各个业务系统主动评价率、政务服务质量评分、大厅推广度、差评整改率、主动评价数量等数据并提升</w:t>
            </w:r>
          </w:p>
        </w:tc>
      </w:tr>
    </w:tbl>
    <w:p>
      <w:pPr>
        <w:spacing w:line="560" w:lineRule="exact"/>
        <w:jc w:val="center"/>
        <w:rPr>
          <w:rFonts w:ascii="宋体" w:hAnsi="宋体" w:eastAsia="宋体" w:cs="宋体"/>
        </w:rPr>
      </w:pPr>
      <w:r>
        <w:rPr>
          <w:rFonts w:hint="eastAsia" w:ascii="宋体" w:hAnsi="宋体" w:eastAsia="宋体" w:cs="宋体"/>
          <w:lang w:val="zh-CN"/>
        </w:rPr>
        <w:t>数据提升服务指标表</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2.2.5就近办体验优化分析服务</w:t>
      </w:r>
    </w:p>
    <w:p>
      <w:pPr>
        <w:pStyle w:val="43"/>
        <w:spacing w:line="560" w:lineRule="exact"/>
        <w:ind w:firstLine="640" w:firstLineChars="200"/>
        <w:rPr>
          <w:rFonts w:eastAsia="仿宋" w:cs="Times New Roman"/>
          <w:color w:val="auto"/>
          <w:sz w:val="32"/>
          <w:szCs w:val="32"/>
          <w:lang w:val="zh-CN"/>
        </w:rPr>
      </w:pPr>
      <w:r>
        <w:rPr>
          <w:rFonts w:hint="eastAsia" w:eastAsia="仿宋" w:cs="Times New Roman"/>
          <w:color w:val="auto"/>
          <w:sz w:val="32"/>
          <w:szCs w:val="32"/>
          <w:lang w:val="zh-CN"/>
        </w:rPr>
        <w:t>（1）区、市就近办分析报告。</w:t>
      </w:r>
    </w:p>
    <w:p>
      <w:pPr>
        <w:pStyle w:val="43"/>
        <w:spacing w:line="560" w:lineRule="exact"/>
        <w:ind w:firstLine="640" w:firstLineChars="200"/>
        <w:rPr>
          <w:rFonts w:eastAsia="仿宋" w:cs="Times New Roman"/>
          <w:color w:val="auto"/>
          <w:sz w:val="32"/>
          <w:szCs w:val="32"/>
          <w:lang w:val="zh-CN"/>
        </w:rPr>
      </w:pPr>
      <w:r>
        <w:rPr>
          <w:rFonts w:hint="eastAsia" w:eastAsia="仿宋" w:cs="Times New Roman"/>
          <w:color w:val="auto"/>
          <w:sz w:val="32"/>
          <w:szCs w:val="32"/>
          <w:lang w:val="zh-CN"/>
        </w:rPr>
        <w:t>（2）区、市特色事项横向对比分析报告。</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2.2.6管理决策建议分析服务</w:t>
      </w:r>
    </w:p>
    <w:p>
      <w:pPr>
        <w:pStyle w:val="43"/>
        <w:spacing w:line="560" w:lineRule="exact"/>
        <w:ind w:firstLine="640" w:firstLineChars="200"/>
        <w:rPr>
          <w:rFonts w:eastAsia="仿宋" w:cs="Times New Roman"/>
          <w:color w:val="auto"/>
          <w:sz w:val="32"/>
          <w:szCs w:val="32"/>
          <w:lang w:val="zh-CN"/>
        </w:rPr>
      </w:pPr>
      <w:r>
        <w:rPr>
          <w:rFonts w:hint="eastAsia" w:eastAsia="仿宋" w:cs="Times New Roman"/>
          <w:color w:val="auto"/>
          <w:sz w:val="32"/>
          <w:szCs w:val="32"/>
          <w:lang w:val="zh-CN"/>
        </w:rPr>
        <w:t>（1）综合窗口人员配比分析与优化建议报告。</w:t>
      </w:r>
    </w:p>
    <w:p>
      <w:pPr>
        <w:pStyle w:val="43"/>
        <w:spacing w:line="560" w:lineRule="exact"/>
        <w:ind w:firstLine="640" w:firstLineChars="200"/>
        <w:rPr>
          <w:rFonts w:eastAsia="仿宋" w:cs="Times New Roman"/>
          <w:color w:val="auto"/>
          <w:sz w:val="32"/>
          <w:szCs w:val="32"/>
          <w:lang w:val="zh-CN"/>
        </w:rPr>
      </w:pPr>
      <w:r>
        <w:rPr>
          <w:rFonts w:hint="eastAsia" w:eastAsia="仿宋" w:cs="Times New Roman"/>
          <w:color w:val="auto"/>
          <w:sz w:val="32"/>
          <w:szCs w:val="32"/>
          <w:lang w:val="zh-CN"/>
        </w:rPr>
        <w:t>（2）法人业务量趋势分析报告。</w:t>
      </w:r>
    </w:p>
    <w:p>
      <w:pPr>
        <w:pStyle w:val="43"/>
        <w:spacing w:line="560" w:lineRule="exact"/>
        <w:ind w:firstLine="640" w:firstLineChars="200"/>
        <w:rPr>
          <w:rFonts w:eastAsia="仿宋" w:cs="Times New Roman"/>
          <w:color w:val="auto"/>
          <w:sz w:val="32"/>
          <w:szCs w:val="32"/>
          <w:lang w:val="zh-CN"/>
        </w:rPr>
      </w:pPr>
      <w:r>
        <w:rPr>
          <w:rFonts w:hint="eastAsia" w:eastAsia="仿宋" w:cs="Times New Roman"/>
          <w:color w:val="auto"/>
          <w:sz w:val="32"/>
          <w:szCs w:val="32"/>
          <w:lang w:val="zh-CN"/>
        </w:rPr>
        <w:t>（3）个人业务量趋势分析报告。</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2.3服务反馈</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2.3.1服务反馈信息收集</w:t>
      </w:r>
    </w:p>
    <w:p>
      <w:pPr>
        <w:pStyle w:val="43"/>
        <w:spacing w:line="560" w:lineRule="exact"/>
        <w:ind w:firstLine="640" w:firstLineChars="200"/>
        <w:rPr>
          <w:rFonts w:eastAsia="仿宋" w:cs="Times New Roman"/>
          <w:color w:val="auto"/>
          <w:sz w:val="32"/>
          <w:szCs w:val="32"/>
          <w:lang w:val="zh-CN"/>
        </w:rPr>
      </w:pPr>
      <w:r>
        <w:rPr>
          <w:rFonts w:hint="eastAsia" w:eastAsia="仿宋" w:cs="Times New Roman"/>
          <w:color w:val="auto"/>
          <w:sz w:val="32"/>
          <w:szCs w:val="32"/>
          <w:lang w:val="zh-CN"/>
        </w:rPr>
        <w:t>一是定期对各实体大厅现场工作人员实行回访收集意见，并形成服务确认单记录跟进意见问题</w:t>
      </w:r>
    </w:p>
    <w:p>
      <w:pPr>
        <w:pStyle w:val="43"/>
        <w:spacing w:line="560" w:lineRule="exact"/>
        <w:ind w:firstLine="640" w:firstLineChars="200"/>
        <w:rPr>
          <w:rFonts w:eastAsia="宋体"/>
          <w:color w:val="auto"/>
          <w:sz w:val="24"/>
          <w:szCs w:val="24"/>
          <w:lang w:val="zh-CN"/>
        </w:rPr>
      </w:pPr>
      <w:r>
        <w:rPr>
          <w:rFonts w:hint="eastAsia" w:eastAsia="仿宋" w:cs="Times New Roman"/>
          <w:color w:val="auto"/>
          <w:sz w:val="32"/>
          <w:szCs w:val="32"/>
          <w:lang w:val="zh-CN"/>
        </w:rPr>
        <w:t>二是积极及时响应各渠道反馈信息，并以服务反馈信息问题清单形式记录于运营报告中跟进问题。</w:t>
      </w:r>
    </w:p>
    <w:p>
      <w:pPr>
        <w:pStyle w:val="6"/>
        <w:keepNext w:val="0"/>
        <w:keepLines w:val="0"/>
        <w:numPr>
          <w:ilvl w:val="4"/>
          <w:numId w:val="0"/>
        </w:numPr>
        <w:spacing w:before="0" w:beforeLines="0" w:after="0" w:afterLines="0" w:line="560" w:lineRule="exact"/>
        <w:ind w:firstLine="643" w:firstLineChars="200"/>
        <w:rPr>
          <w:rFonts w:eastAsia="仿宋"/>
          <w:b/>
          <w:bCs/>
          <w:sz w:val="32"/>
          <w:szCs w:val="32"/>
        </w:rPr>
      </w:pPr>
      <w:r>
        <w:rPr>
          <w:rFonts w:hint="eastAsia" w:eastAsia="仿宋"/>
          <w:b/>
          <w:bCs/>
          <w:sz w:val="32"/>
          <w:szCs w:val="32"/>
        </w:rPr>
        <w:t>2.3.2服务反馈处理流程</w:t>
      </w:r>
    </w:p>
    <w:p>
      <w:pPr>
        <w:pStyle w:val="12"/>
        <w:ind w:firstLine="0" w:firstLineChars="0"/>
      </w:pPr>
      <w:r>
        <w:drawing>
          <wp:inline distT="0" distB="0" distL="0" distR="0">
            <wp:extent cx="5400040" cy="2986405"/>
            <wp:effectExtent l="0" t="0" r="1016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a:srcRect/>
                    <a:stretch>
                      <a:fillRect/>
                    </a:stretch>
                  </pic:blipFill>
                  <pic:spPr>
                    <a:xfrm>
                      <a:off x="0" y="0"/>
                      <a:ext cx="5400040" cy="2986405"/>
                    </a:xfrm>
                    <a:prstGeom prst="rect">
                      <a:avLst/>
                    </a:prstGeom>
                  </pic:spPr>
                </pic:pic>
              </a:graphicData>
            </a:graphic>
          </wp:inline>
        </w:drawing>
      </w:r>
    </w:p>
    <w:p>
      <w:pPr>
        <w:pStyle w:val="10"/>
        <w:spacing w:after="156"/>
        <w:ind w:left="420" w:firstLine="240"/>
        <w:rPr>
          <w:rFonts w:ascii="Times New Roman" w:hAnsi="Times New Roman"/>
        </w:rPr>
      </w:pPr>
      <w:r>
        <w:rPr>
          <w:rFonts w:hint="eastAsia" w:ascii="Times New Roman" w:hAnsi="Times New Roman"/>
        </w:rPr>
        <w:t>服务反馈处理流程图</w:t>
      </w:r>
    </w:p>
    <w:p>
      <w:r>
        <w:rPr>
          <w:rFonts w:hint="eastAsia"/>
        </w:rPr>
        <w:br w:type="page"/>
      </w:r>
    </w:p>
    <w:p>
      <w:pPr>
        <w:pStyle w:val="11"/>
      </w:pPr>
    </w:p>
    <w:tbl>
      <w:tblPr>
        <w:tblStyle w:val="21"/>
        <w:tblW w:w="8380" w:type="dxa"/>
        <w:jc w:val="center"/>
        <w:tblLayout w:type="fixed"/>
        <w:tblCellMar>
          <w:top w:w="0" w:type="dxa"/>
          <w:left w:w="108" w:type="dxa"/>
          <w:bottom w:w="0" w:type="dxa"/>
          <w:right w:w="108" w:type="dxa"/>
        </w:tblCellMar>
      </w:tblPr>
      <w:tblGrid>
        <w:gridCol w:w="960"/>
        <w:gridCol w:w="1587"/>
        <w:gridCol w:w="2673"/>
        <w:gridCol w:w="3160"/>
      </w:tblGrid>
      <w:tr>
        <w:tblPrEx>
          <w:tblCellMar>
            <w:top w:w="0" w:type="dxa"/>
            <w:left w:w="108" w:type="dxa"/>
            <w:bottom w:w="0" w:type="dxa"/>
            <w:right w:w="108" w:type="dxa"/>
          </w:tblCellMar>
        </w:tblPrEx>
        <w:trPr>
          <w:jc w:val="center"/>
        </w:trPr>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宋体"/>
                <w:b/>
                <w:bCs/>
                <w:sz w:val="22"/>
                <w:szCs w:val="22"/>
              </w:rPr>
            </w:pPr>
            <w:r>
              <w:rPr>
                <w:rFonts w:hint="eastAsia" w:cs="宋体"/>
                <w:b/>
                <w:bCs/>
                <w:sz w:val="22"/>
                <w:szCs w:val="22"/>
              </w:rPr>
              <w:t>序号</w:t>
            </w:r>
          </w:p>
        </w:tc>
        <w:tc>
          <w:tcPr>
            <w:tcW w:w="1587" w:type="dxa"/>
            <w:tcBorders>
              <w:top w:val="single" w:color="auto" w:sz="4" w:space="0"/>
              <w:left w:val="nil"/>
              <w:bottom w:val="single" w:color="auto" w:sz="4" w:space="0"/>
              <w:right w:val="single" w:color="auto" w:sz="4" w:space="0"/>
            </w:tcBorders>
            <w:shd w:val="clear" w:color="auto" w:fill="auto"/>
            <w:vAlign w:val="center"/>
          </w:tcPr>
          <w:p>
            <w:pPr>
              <w:jc w:val="center"/>
              <w:rPr>
                <w:rFonts w:cs="宋体"/>
                <w:b/>
                <w:bCs/>
                <w:sz w:val="22"/>
                <w:szCs w:val="22"/>
              </w:rPr>
            </w:pPr>
            <w:r>
              <w:rPr>
                <w:rFonts w:hint="eastAsia" w:cs="宋体"/>
                <w:b/>
                <w:bCs/>
                <w:sz w:val="22"/>
                <w:szCs w:val="22"/>
              </w:rPr>
              <w:t>角色</w:t>
            </w:r>
          </w:p>
        </w:tc>
        <w:tc>
          <w:tcPr>
            <w:tcW w:w="2673" w:type="dxa"/>
            <w:tcBorders>
              <w:top w:val="single" w:color="auto" w:sz="4" w:space="0"/>
              <w:left w:val="nil"/>
              <w:bottom w:val="single" w:color="auto" w:sz="4" w:space="0"/>
              <w:right w:val="single" w:color="auto" w:sz="4" w:space="0"/>
            </w:tcBorders>
            <w:shd w:val="clear" w:color="auto" w:fill="auto"/>
            <w:vAlign w:val="center"/>
          </w:tcPr>
          <w:p>
            <w:pPr>
              <w:jc w:val="center"/>
              <w:rPr>
                <w:rFonts w:cs="宋体"/>
                <w:b/>
                <w:bCs/>
                <w:sz w:val="22"/>
                <w:szCs w:val="22"/>
              </w:rPr>
            </w:pPr>
            <w:r>
              <w:rPr>
                <w:rFonts w:hint="eastAsia" w:cs="宋体"/>
                <w:b/>
                <w:bCs/>
                <w:sz w:val="22"/>
                <w:szCs w:val="22"/>
              </w:rPr>
              <w:t>角色定义</w:t>
            </w:r>
          </w:p>
        </w:tc>
        <w:tc>
          <w:tcPr>
            <w:tcW w:w="3160" w:type="dxa"/>
            <w:tcBorders>
              <w:top w:val="single" w:color="auto" w:sz="4" w:space="0"/>
              <w:left w:val="nil"/>
              <w:bottom w:val="single" w:color="auto" w:sz="4" w:space="0"/>
              <w:right w:val="single" w:color="auto" w:sz="4" w:space="0"/>
            </w:tcBorders>
            <w:shd w:val="clear" w:color="auto" w:fill="auto"/>
            <w:vAlign w:val="center"/>
          </w:tcPr>
          <w:p>
            <w:pPr>
              <w:jc w:val="center"/>
              <w:rPr>
                <w:rFonts w:cs="宋体"/>
                <w:b/>
                <w:bCs/>
                <w:sz w:val="22"/>
                <w:szCs w:val="22"/>
              </w:rPr>
            </w:pPr>
            <w:r>
              <w:rPr>
                <w:rFonts w:hint="eastAsia" w:cs="宋体"/>
                <w:b/>
                <w:bCs/>
                <w:sz w:val="22"/>
                <w:szCs w:val="22"/>
              </w:rPr>
              <w:t>职责</w:t>
            </w:r>
          </w:p>
        </w:tc>
      </w:tr>
      <w:tr>
        <w:tblPrEx>
          <w:tblCellMar>
            <w:top w:w="0" w:type="dxa"/>
            <w:left w:w="108" w:type="dxa"/>
            <w:bottom w:w="0" w:type="dxa"/>
            <w:right w:w="108" w:type="dxa"/>
          </w:tblCellMar>
        </w:tblPrEx>
        <w:trPr>
          <w:jc w:val="center"/>
        </w:trPr>
        <w:tc>
          <w:tcPr>
            <w:tcW w:w="960" w:type="dxa"/>
            <w:tcBorders>
              <w:top w:val="nil"/>
              <w:left w:val="single" w:color="auto" w:sz="4" w:space="0"/>
              <w:bottom w:val="single" w:color="auto" w:sz="4" w:space="0"/>
              <w:right w:val="single" w:color="auto" w:sz="4" w:space="0"/>
            </w:tcBorders>
            <w:shd w:val="clear" w:color="auto" w:fill="auto"/>
            <w:vAlign w:val="center"/>
          </w:tcPr>
          <w:p>
            <w:pPr>
              <w:jc w:val="center"/>
              <w:rPr>
                <w:rFonts w:cs="宋体"/>
                <w:sz w:val="22"/>
                <w:szCs w:val="22"/>
              </w:rPr>
            </w:pPr>
            <w:r>
              <w:rPr>
                <w:rFonts w:hint="eastAsia" w:cs="宋体"/>
                <w:sz w:val="22"/>
                <w:szCs w:val="22"/>
              </w:rPr>
              <w:t>1</w:t>
            </w:r>
          </w:p>
        </w:tc>
        <w:tc>
          <w:tcPr>
            <w:tcW w:w="1587" w:type="dxa"/>
            <w:tcBorders>
              <w:top w:val="nil"/>
              <w:left w:val="nil"/>
              <w:bottom w:val="nil"/>
              <w:right w:val="nil"/>
            </w:tcBorders>
            <w:shd w:val="clear" w:color="auto" w:fill="auto"/>
            <w:vAlign w:val="center"/>
          </w:tcPr>
          <w:p>
            <w:pPr>
              <w:jc w:val="center"/>
              <w:rPr>
                <w:rFonts w:cs="宋体"/>
                <w:sz w:val="22"/>
                <w:szCs w:val="22"/>
              </w:rPr>
            </w:pPr>
            <w:r>
              <w:rPr>
                <w:rFonts w:hint="eastAsia" w:cs="宋体"/>
                <w:sz w:val="22"/>
                <w:szCs w:val="22"/>
              </w:rPr>
              <w:t>反馈人</w:t>
            </w:r>
          </w:p>
        </w:tc>
        <w:tc>
          <w:tcPr>
            <w:tcW w:w="2673" w:type="dxa"/>
            <w:tcBorders>
              <w:top w:val="nil"/>
              <w:left w:val="single" w:color="auto" w:sz="4" w:space="0"/>
              <w:bottom w:val="single" w:color="auto" w:sz="4" w:space="0"/>
              <w:right w:val="single" w:color="auto" w:sz="4" w:space="0"/>
            </w:tcBorders>
            <w:shd w:val="clear" w:color="auto" w:fill="auto"/>
            <w:vAlign w:val="center"/>
          </w:tcPr>
          <w:p>
            <w:pPr>
              <w:rPr>
                <w:rFonts w:cs="宋体"/>
                <w:sz w:val="22"/>
                <w:szCs w:val="22"/>
              </w:rPr>
            </w:pPr>
            <w:r>
              <w:rPr>
                <w:rFonts w:hint="eastAsia" w:cs="宋体"/>
                <w:sz w:val="22"/>
                <w:szCs w:val="22"/>
              </w:rPr>
              <w:t>使用系统的相关人，分为：办事群众和工作人员两类</w:t>
            </w:r>
          </w:p>
        </w:tc>
        <w:tc>
          <w:tcPr>
            <w:tcW w:w="3160" w:type="dxa"/>
            <w:tcBorders>
              <w:top w:val="nil"/>
              <w:left w:val="nil"/>
              <w:bottom w:val="single" w:color="auto" w:sz="4" w:space="0"/>
              <w:right w:val="single" w:color="auto" w:sz="4" w:space="0"/>
            </w:tcBorders>
            <w:shd w:val="clear" w:color="auto" w:fill="auto"/>
            <w:vAlign w:val="center"/>
          </w:tcPr>
          <w:p>
            <w:pPr>
              <w:rPr>
                <w:rFonts w:cs="宋体"/>
                <w:sz w:val="22"/>
                <w:szCs w:val="22"/>
              </w:rPr>
            </w:pPr>
            <w:r>
              <w:rPr>
                <w:rFonts w:hint="eastAsia" w:cs="宋体"/>
                <w:sz w:val="22"/>
                <w:szCs w:val="22"/>
              </w:rPr>
              <w:t>咨询或投诉系统的相关问题；对系统提出相关的改进建议</w:t>
            </w:r>
          </w:p>
        </w:tc>
      </w:tr>
      <w:tr>
        <w:tblPrEx>
          <w:tblCellMar>
            <w:top w:w="0" w:type="dxa"/>
            <w:left w:w="108" w:type="dxa"/>
            <w:bottom w:w="0" w:type="dxa"/>
            <w:right w:w="108" w:type="dxa"/>
          </w:tblCellMar>
        </w:tblPrEx>
        <w:trPr>
          <w:jc w:val="center"/>
        </w:trPr>
        <w:tc>
          <w:tcPr>
            <w:tcW w:w="960" w:type="dxa"/>
            <w:tcBorders>
              <w:top w:val="nil"/>
              <w:left w:val="single" w:color="auto" w:sz="4" w:space="0"/>
              <w:bottom w:val="single" w:color="auto" w:sz="4" w:space="0"/>
              <w:right w:val="single" w:color="auto" w:sz="4" w:space="0"/>
            </w:tcBorders>
            <w:shd w:val="clear" w:color="auto" w:fill="auto"/>
            <w:vAlign w:val="center"/>
          </w:tcPr>
          <w:p>
            <w:pPr>
              <w:jc w:val="center"/>
              <w:rPr>
                <w:rFonts w:cs="宋体"/>
                <w:sz w:val="22"/>
                <w:szCs w:val="22"/>
              </w:rPr>
            </w:pPr>
            <w:r>
              <w:rPr>
                <w:rFonts w:hint="eastAsia" w:cs="宋体"/>
                <w:sz w:val="22"/>
                <w:szCs w:val="22"/>
              </w:rPr>
              <w:t>2</w:t>
            </w:r>
          </w:p>
        </w:tc>
        <w:tc>
          <w:tcPr>
            <w:tcW w:w="1587" w:type="dxa"/>
            <w:tcBorders>
              <w:top w:val="single" w:color="auto" w:sz="4" w:space="0"/>
              <w:left w:val="nil"/>
              <w:bottom w:val="single" w:color="auto" w:sz="4" w:space="0"/>
              <w:right w:val="single" w:color="auto" w:sz="4" w:space="0"/>
            </w:tcBorders>
            <w:shd w:val="clear" w:color="auto" w:fill="auto"/>
            <w:vAlign w:val="center"/>
          </w:tcPr>
          <w:p>
            <w:pPr>
              <w:jc w:val="center"/>
              <w:rPr>
                <w:rFonts w:cs="宋体"/>
                <w:sz w:val="22"/>
                <w:szCs w:val="22"/>
              </w:rPr>
            </w:pPr>
            <w:r>
              <w:rPr>
                <w:rFonts w:hint="eastAsia" w:cs="宋体"/>
                <w:sz w:val="22"/>
                <w:szCs w:val="22"/>
              </w:rPr>
              <w:t>一体化运营组</w:t>
            </w:r>
          </w:p>
        </w:tc>
        <w:tc>
          <w:tcPr>
            <w:tcW w:w="2673" w:type="dxa"/>
            <w:tcBorders>
              <w:top w:val="nil"/>
              <w:left w:val="nil"/>
              <w:bottom w:val="single" w:color="auto" w:sz="4" w:space="0"/>
              <w:right w:val="single" w:color="auto" w:sz="4" w:space="0"/>
            </w:tcBorders>
            <w:shd w:val="clear" w:color="auto" w:fill="auto"/>
            <w:vAlign w:val="center"/>
          </w:tcPr>
          <w:p>
            <w:pPr>
              <w:rPr>
                <w:rFonts w:cs="宋体"/>
                <w:sz w:val="22"/>
                <w:szCs w:val="22"/>
              </w:rPr>
            </w:pPr>
            <w:r>
              <w:rPr>
                <w:rFonts w:hint="eastAsia" w:cs="宋体"/>
                <w:sz w:val="22"/>
                <w:szCs w:val="22"/>
              </w:rPr>
              <w:t>一体化平台的运营人员；包括市本级、三区四市运营小组</w:t>
            </w:r>
          </w:p>
        </w:tc>
        <w:tc>
          <w:tcPr>
            <w:tcW w:w="3160" w:type="dxa"/>
            <w:tcBorders>
              <w:top w:val="nil"/>
              <w:left w:val="nil"/>
              <w:bottom w:val="single" w:color="auto" w:sz="4" w:space="0"/>
              <w:right w:val="single" w:color="auto" w:sz="4" w:space="0"/>
            </w:tcBorders>
            <w:shd w:val="clear" w:color="auto" w:fill="auto"/>
            <w:vAlign w:val="center"/>
          </w:tcPr>
          <w:p>
            <w:pPr>
              <w:numPr>
                <w:ilvl w:val="0"/>
                <w:numId w:val="2"/>
              </w:numPr>
              <w:rPr>
                <w:rFonts w:cs="宋体"/>
                <w:sz w:val="22"/>
              </w:rPr>
            </w:pPr>
            <w:r>
              <w:rPr>
                <w:rFonts w:hint="eastAsia" w:cs="宋体"/>
                <w:sz w:val="22"/>
              </w:rPr>
              <w:t>对反馈信息进行分类</w:t>
            </w:r>
          </w:p>
          <w:p>
            <w:pPr>
              <w:numPr>
                <w:ilvl w:val="0"/>
                <w:numId w:val="2"/>
              </w:numPr>
              <w:ind w:left="0" w:firstLine="0"/>
              <w:rPr>
                <w:rFonts w:cs="宋体"/>
                <w:sz w:val="22"/>
              </w:rPr>
            </w:pPr>
            <w:r>
              <w:rPr>
                <w:rFonts w:hint="eastAsia" w:cs="宋体"/>
                <w:sz w:val="22"/>
              </w:rPr>
              <w:t>对资讯类反馈进行直接处理</w:t>
            </w:r>
          </w:p>
          <w:p>
            <w:pPr>
              <w:numPr>
                <w:ilvl w:val="0"/>
                <w:numId w:val="2"/>
              </w:numPr>
              <w:ind w:left="0" w:firstLine="0"/>
              <w:rPr>
                <w:rFonts w:cs="宋体"/>
                <w:sz w:val="22"/>
              </w:rPr>
            </w:pPr>
            <w:r>
              <w:rPr>
                <w:rFonts w:hint="eastAsia" w:cs="宋体"/>
                <w:sz w:val="22"/>
              </w:rPr>
              <w:t>需要后台处理的提交技术研发进行处理</w:t>
            </w:r>
          </w:p>
        </w:tc>
      </w:tr>
      <w:tr>
        <w:tblPrEx>
          <w:tblCellMar>
            <w:top w:w="0" w:type="dxa"/>
            <w:left w:w="108" w:type="dxa"/>
            <w:bottom w:w="0" w:type="dxa"/>
            <w:right w:w="108" w:type="dxa"/>
          </w:tblCellMar>
        </w:tblPrEx>
        <w:trPr>
          <w:jc w:val="center"/>
        </w:trPr>
        <w:tc>
          <w:tcPr>
            <w:tcW w:w="960" w:type="dxa"/>
            <w:tcBorders>
              <w:top w:val="nil"/>
              <w:left w:val="single" w:color="auto" w:sz="4" w:space="0"/>
              <w:bottom w:val="single" w:color="auto" w:sz="4" w:space="0"/>
              <w:right w:val="single" w:color="auto" w:sz="4" w:space="0"/>
            </w:tcBorders>
            <w:shd w:val="clear" w:color="auto" w:fill="auto"/>
            <w:vAlign w:val="center"/>
          </w:tcPr>
          <w:p>
            <w:pPr>
              <w:jc w:val="center"/>
              <w:rPr>
                <w:rFonts w:cs="宋体"/>
                <w:sz w:val="22"/>
                <w:szCs w:val="22"/>
              </w:rPr>
            </w:pPr>
            <w:r>
              <w:rPr>
                <w:rFonts w:hint="eastAsia" w:cs="宋体"/>
                <w:sz w:val="22"/>
                <w:szCs w:val="22"/>
              </w:rPr>
              <w:t>3</w:t>
            </w:r>
          </w:p>
        </w:tc>
        <w:tc>
          <w:tcPr>
            <w:tcW w:w="1587" w:type="dxa"/>
            <w:tcBorders>
              <w:top w:val="nil"/>
              <w:left w:val="nil"/>
              <w:bottom w:val="single" w:color="auto" w:sz="4" w:space="0"/>
              <w:right w:val="single" w:color="auto" w:sz="4" w:space="0"/>
            </w:tcBorders>
            <w:shd w:val="clear" w:color="auto" w:fill="auto"/>
            <w:vAlign w:val="center"/>
          </w:tcPr>
          <w:p>
            <w:pPr>
              <w:jc w:val="center"/>
              <w:rPr>
                <w:rFonts w:cs="宋体"/>
                <w:sz w:val="22"/>
                <w:szCs w:val="22"/>
              </w:rPr>
            </w:pPr>
            <w:r>
              <w:rPr>
                <w:rFonts w:hint="eastAsia" w:cs="宋体"/>
                <w:sz w:val="22"/>
                <w:szCs w:val="22"/>
              </w:rPr>
              <w:t>研发技术支持</w:t>
            </w:r>
          </w:p>
        </w:tc>
        <w:tc>
          <w:tcPr>
            <w:tcW w:w="2673" w:type="dxa"/>
            <w:tcBorders>
              <w:top w:val="nil"/>
              <w:left w:val="nil"/>
              <w:bottom w:val="single" w:color="auto" w:sz="4" w:space="0"/>
              <w:right w:val="single" w:color="auto" w:sz="4" w:space="0"/>
            </w:tcBorders>
            <w:shd w:val="clear" w:color="auto" w:fill="auto"/>
            <w:vAlign w:val="center"/>
          </w:tcPr>
          <w:p>
            <w:pPr>
              <w:rPr>
                <w:rFonts w:cs="宋体"/>
                <w:sz w:val="22"/>
                <w:szCs w:val="22"/>
              </w:rPr>
            </w:pPr>
            <w:r>
              <w:rPr>
                <w:rFonts w:hint="eastAsia" w:cs="宋体"/>
                <w:sz w:val="22"/>
                <w:szCs w:val="22"/>
              </w:rPr>
              <w:t>一体化平台的研发技术支撑团队，包括系统分析人员、系统开发人员、测试人员等</w:t>
            </w:r>
          </w:p>
        </w:tc>
        <w:tc>
          <w:tcPr>
            <w:tcW w:w="3160" w:type="dxa"/>
            <w:tcBorders>
              <w:top w:val="nil"/>
              <w:left w:val="nil"/>
              <w:bottom w:val="single" w:color="auto" w:sz="4" w:space="0"/>
              <w:right w:val="single" w:color="auto" w:sz="4" w:space="0"/>
            </w:tcBorders>
            <w:shd w:val="clear" w:color="auto" w:fill="auto"/>
            <w:vAlign w:val="center"/>
          </w:tcPr>
          <w:p>
            <w:pPr>
              <w:rPr>
                <w:rFonts w:cs="宋体"/>
                <w:sz w:val="22"/>
                <w:szCs w:val="22"/>
              </w:rPr>
            </w:pPr>
            <w:r>
              <w:rPr>
                <w:rFonts w:hint="eastAsia" w:cs="宋体"/>
                <w:sz w:val="22"/>
                <w:szCs w:val="22"/>
              </w:rPr>
              <w:t>对相关反馈信息进行技术处理</w:t>
            </w:r>
          </w:p>
        </w:tc>
      </w:tr>
      <w:tr>
        <w:tblPrEx>
          <w:tblCellMar>
            <w:top w:w="0" w:type="dxa"/>
            <w:left w:w="108" w:type="dxa"/>
            <w:bottom w:w="0" w:type="dxa"/>
            <w:right w:w="108" w:type="dxa"/>
          </w:tblCellMar>
        </w:tblPrEx>
        <w:trPr>
          <w:jc w:val="center"/>
        </w:trPr>
        <w:tc>
          <w:tcPr>
            <w:tcW w:w="960" w:type="dxa"/>
            <w:tcBorders>
              <w:top w:val="nil"/>
              <w:left w:val="single" w:color="auto" w:sz="4" w:space="0"/>
              <w:bottom w:val="single" w:color="auto" w:sz="4" w:space="0"/>
              <w:right w:val="single" w:color="auto" w:sz="4" w:space="0"/>
            </w:tcBorders>
            <w:shd w:val="clear" w:color="auto" w:fill="auto"/>
            <w:vAlign w:val="center"/>
          </w:tcPr>
          <w:p>
            <w:pPr>
              <w:jc w:val="center"/>
              <w:rPr>
                <w:rFonts w:cs="宋体"/>
                <w:sz w:val="22"/>
                <w:szCs w:val="22"/>
              </w:rPr>
            </w:pPr>
            <w:r>
              <w:rPr>
                <w:rFonts w:hint="eastAsia" w:cs="宋体"/>
                <w:sz w:val="22"/>
                <w:szCs w:val="22"/>
              </w:rPr>
              <w:t>4</w:t>
            </w:r>
          </w:p>
        </w:tc>
        <w:tc>
          <w:tcPr>
            <w:tcW w:w="1587" w:type="dxa"/>
            <w:tcBorders>
              <w:top w:val="nil"/>
              <w:left w:val="nil"/>
              <w:bottom w:val="single" w:color="auto" w:sz="4" w:space="0"/>
              <w:right w:val="single" w:color="auto" w:sz="4" w:space="0"/>
            </w:tcBorders>
            <w:shd w:val="clear" w:color="auto" w:fill="auto"/>
            <w:vAlign w:val="center"/>
          </w:tcPr>
          <w:p>
            <w:pPr>
              <w:jc w:val="center"/>
              <w:rPr>
                <w:rFonts w:cs="宋体"/>
                <w:sz w:val="22"/>
                <w:szCs w:val="22"/>
              </w:rPr>
            </w:pPr>
            <w:r>
              <w:rPr>
                <w:rFonts w:hint="eastAsia" w:cs="宋体"/>
                <w:sz w:val="22"/>
                <w:szCs w:val="22"/>
              </w:rPr>
              <w:t>领导小组</w:t>
            </w:r>
          </w:p>
        </w:tc>
        <w:tc>
          <w:tcPr>
            <w:tcW w:w="2673" w:type="dxa"/>
            <w:tcBorders>
              <w:top w:val="nil"/>
              <w:left w:val="nil"/>
              <w:bottom w:val="single" w:color="auto" w:sz="4" w:space="0"/>
              <w:right w:val="single" w:color="auto" w:sz="4" w:space="0"/>
            </w:tcBorders>
            <w:shd w:val="clear" w:color="auto" w:fill="auto"/>
            <w:vAlign w:val="center"/>
          </w:tcPr>
          <w:p>
            <w:pPr>
              <w:rPr>
                <w:rFonts w:cs="宋体"/>
                <w:sz w:val="22"/>
                <w:szCs w:val="22"/>
              </w:rPr>
            </w:pPr>
            <w:r>
              <w:rPr>
                <w:rFonts w:hint="eastAsia" w:cs="宋体"/>
                <w:sz w:val="22"/>
                <w:szCs w:val="22"/>
              </w:rPr>
              <w:t>项目的业主方、监理方和承建方相关领导</w:t>
            </w:r>
          </w:p>
        </w:tc>
        <w:tc>
          <w:tcPr>
            <w:tcW w:w="3160" w:type="dxa"/>
            <w:tcBorders>
              <w:top w:val="nil"/>
              <w:left w:val="nil"/>
              <w:bottom w:val="single" w:color="auto" w:sz="4" w:space="0"/>
              <w:right w:val="single" w:color="auto" w:sz="4" w:space="0"/>
            </w:tcBorders>
            <w:shd w:val="clear" w:color="auto" w:fill="auto"/>
            <w:vAlign w:val="center"/>
          </w:tcPr>
          <w:p>
            <w:pPr>
              <w:numPr>
                <w:ilvl w:val="0"/>
                <w:numId w:val="3"/>
              </w:numPr>
              <w:rPr>
                <w:rFonts w:cs="宋体"/>
                <w:sz w:val="22"/>
              </w:rPr>
            </w:pPr>
            <w:r>
              <w:rPr>
                <w:rFonts w:hint="eastAsia" w:cs="宋体"/>
                <w:sz w:val="22"/>
              </w:rPr>
              <w:t>对建议类反馈进行评审，并确定相关改进计划</w:t>
            </w:r>
          </w:p>
          <w:p>
            <w:pPr>
              <w:numPr>
                <w:ilvl w:val="0"/>
                <w:numId w:val="3"/>
              </w:numPr>
              <w:ind w:left="0" w:firstLine="0"/>
              <w:rPr>
                <w:rFonts w:cs="宋体"/>
                <w:sz w:val="22"/>
              </w:rPr>
            </w:pPr>
            <w:r>
              <w:rPr>
                <w:rFonts w:hint="eastAsia" w:cs="宋体"/>
                <w:sz w:val="22"/>
              </w:rPr>
              <w:t>定期关注反馈信息信息处理情况，对重点事项进行督办</w:t>
            </w:r>
          </w:p>
        </w:tc>
      </w:tr>
    </w:tbl>
    <w:p>
      <w:pPr>
        <w:pStyle w:val="10"/>
        <w:spacing w:after="156"/>
        <w:ind w:left="420" w:firstLine="240"/>
        <w:rPr>
          <w:rFonts w:ascii="Times New Roman" w:hAnsi="Times New Roman"/>
        </w:rPr>
      </w:pPr>
      <w:r>
        <w:rPr>
          <w:rFonts w:hint="eastAsia" w:ascii="Times New Roman" w:hAnsi="Times New Roman"/>
        </w:rPr>
        <w:t>故障反馈处理角色表</w:t>
      </w:r>
    </w:p>
    <w:p>
      <w:pPr>
        <w:spacing w:line="560" w:lineRule="exact"/>
        <w:ind w:firstLine="640" w:firstLineChars="200"/>
        <w:rPr>
          <w:rFonts w:ascii="楷体" w:hAnsi="楷体" w:eastAsia="楷体" w:cs="楷体"/>
          <w:bCs/>
          <w:sz w:val="32"/>
          <w:szCs w:val="32"/>
        </w:rPr>
      </w:pPr>
      <w:r>
        <w:rPr>
          <w:rFonts w:hint="eastAsia" w:ascii="楷体" w:hAnsi="楷体" w:eastAsia="楷体" w:cs="楷体"/>
          <w:bCs/>
          <w:sz w:val="32"/>
          <w:szCs w:val="32"/>
        </w:rPr>
        <w:t>（二）运营内容一览表</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
        <w:gridCol w:w="1476"/>
        <w:gridCol w:w="6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72" w:type="dxa"/>
            <w:shd w:val="clear" w:color="auto" w:fill="auto"/>
            <w:vAlign w:val="center"/>
          </w:tcPr>
          <w:p>
            <w:pPr>
              <w:jc w:val="center"/>
              <w:rPr>
                <w:rFonts w:eastAsia="宋体" w:cs="宋体"/>
                <w:b/>
                <w:bCs/>
                <w:color w:val="000000"/>
              </w:rPr>
            </w:pPr>
            <w:r>
              <w:rPr>
                <w:rFonts w:hint="eastAsia" w:eastAsia="宋体" w:cs="宋体"/>
                <w:b/>
                <w:bCs/>
                <w:color w:val="000000"/>
              </w:rPr>
              <w:t>序号</w:t>
            </w:r>
          </w:p>
        </w:tc>
        <w:tc>
          <w:tcPr>
            <w:tcW w:w="1476" w:type="dxa"/>
            <w:shd w:val="clear" w:color="auto" w:fill="auto"/>
            <w:vAlign w:val="center"/>
          </w:tcPr>
          <w:p>
            <w:pPr>
              <w:jc w:val="center"/>
              <w:rPr>
                <w:rFonts w:eastAsia="宋体" w:cs="宋体"/>
                <w:b/>
                <w:bCs/>
                <w:color w:val="000000"/>
              </w:rPr>
            </w:pPr>
            <w:r>
              <w:rPr>
                <w:rFonts w:hint="eastAsia" w:eastAsia="宋体" w:cs="宋体"/>
                <w:b/>
                <w:bCs/>
                <w:color w:val="000000"/>
              </w:rPr>
              <w:t>对应服务</w:t>
            </w:r>
          </w:p>
        </w:tc>
        <w:tc>
          <w:tcPr>
            <w:tcW w:w="6574" w:type="dxa"/>
            <w:shd w:val="clear" w:color="auto" w:fill="auto"/>
            <w:vAlign w:val="center"/>
          </w:tcPr>
          <w:p>
            <w:pPr>
              <w:jc w:val="center"/>
              <w:rPr>
                <w:rFonts w:eastAsia="宋体" w:cs="宋体"/>
                <w:b/>
                <w:bCs/>
                <w:color w:val="000000"/>
              </w:rPr>
            </w:pPr>
            <w:r>
              <w:rPr>
                <w:rFonts w:hint="eastAsia" w:eastAsia="宋体" w:cs="宋体"/>
                <w:b/>
                <w:bCs/>
                <w:color w:val="000000"/>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2" w:type="dxa"/>
            <w:shd w:val="clear" w:color="auto" w:fill="auto"/>
            <w:vAlign w:val="center"/>
          </w:tcPr>
          <w:p>
            <w:pPr>
              <w:jc w:val="center"/>
              <w:rPr>
                <w:rFonts w:eastAsia="宋体" w:cs="宋体"/>
                <w:color w:val="000000"/>
              </w:rPr>
            </w:pPr>
            <w:r>
              <w:rPr>
                <w:rFonts w:hint="eastAsia" w:eastAsia="宋体" w:cs="宋体"/>
                <w:color w:val="000000"/>
              </w:rPr>
              <w:t>1</w:t>
            </w:r>
          </w:p>
        </w:tc>
        <w:tc>
          <w:tcPr>
            <w:tcW w:w="1476" w:type="dxa"/>
            <w:vMerge w:val="restart"/>
            <w:shd w:val="clear" w:color="auto" w:fill="auto"/>
            <w:vAlign w:val="center"/>
          </w:tcPr>
          <w:p>
            <w:pPr>
              <w:jc w:val="center"/>
              <w:rPr>
                <w:rFonts w:eastAsia="宋体" w:cs="宋体"/>
                <w:color w:val="000000"/>
              </w:rPr>
            </w:pPr>
            <w:r>
              <w:rPr>
                <w:rFonts w:hint="eastAsia" w:eastAsia="宋体" w:cs="宋体"/>
                <w:color w:val="000000"/>
              </w:rPr>
              <w:t>运营工作支撑</w:t>
            </w:r>
          </w:p>
        </w:tc>
        <w:tc>
          <w:tcPr>
            <w:tcW w:w="6574" w:type="dxa"/>
            <w:shd w:val="clear" w:color="auto" w:fill="auto"/>
            <w:vAlign w:val="center"/>
          </w:tcPr>
          <w:p>
            <w:pPr>
              <w:rPr>
                <w:rFonts w:eastAsia="宋体" w:cs="宋体"/>
                <w:color w:val="000000"/>
              </w:rPr>
            </w:pPr>
            <w:r>
              <w:rPr>
                <w:rFonts w:hint="eastAsia" w:eastAsia="宋体" w:cs="宋体"/>
                <w:color w:val="000000"/>
              </w:rPr>
              <w:t>业务问题跟踪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2" w:type="dxa"/>
            <w:shd w:val="clear" w:color="auto" w:fill="auto"/>
            <w:vAlign w:val="center"/>
          </w:tcPr>
          <w:p>
            <w:pPr>
              <w:jc w:val="center"/>
              <w:rPr>
                <w:rFonts w:eastAsia="宋体" w:cs="宋体"/>
                <w:color w:val="000000"/>
              </w:rPr>
            </w:pPr>
            <w:r>
              <w:rPr>
                <w:rFonts w:hint="eastAsia" w:eastAsia="宋体" w:cs="宋体"/>
                <w:color w:val="000000"/>
              </w:rPr>
              <w:t>2</w:t>
            </w:r>
          </w:p>
        </w:tc>
        <w:tc>
          <w:tcPr>
            <w:tcW w:w="1476" w:type="dxa"/>
            <w:vMerge w:val="continue"/>
            <w:vAlign w:val="center"/>
          </w:tcPr>
          <w:p>
            <w:pPr>
              <w:rPr>
                <w:rFonts w:eastAsia="宋体" w:cs="宋体"/>
                <w:color w:val="000000"/>
              </w:rPr>
            </w:pPr>
          </w:p>
        </w:tc>
        <w:tc>
          <w:tcPr>
            <w:tcW w:w="6574" w:type="dxa"/>
            <w:shd w:val="clear" w:color="auto" w:fill="auto"/>
            <w:vAlign w:val="center"/>
          </w:tcPr>
          <w:p>
            <w:pPr>
              <w:rPr>
                <w:rFonts w:eastAsia="宋体" w:cs="宋体"/>
                <w:color w:val="000000"/>
              </w:rPr>
            </w:pPr>
            <w:r>
              <w:rPr>
                <w:rFonts w:hint="eastAsia" w:eastAsia="宋体" w:cs="宋体"/>
                <w:color w:val="000000"/>
              </w:rPr>
              <w:t>业务应急处理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2" w:type="dxa"/>
            <w:shd w:val="clear" w:color="auto" w:fill="auto"/>
            <w:vAlign w:val="center"/>
          </w:tcPr>
          <w:p>
            <w:pPr>
              <w:jc w:val="center"/>
              <w:rPr>
                <w:rFonts w:eastAsia="宋体" w:cs="宋体"/>
                <w:color w:val="000000"/>
              </w:rPr>
            </w:pPr>
            <w:r>
              <w:rPr>
                <w:rFonts w:hint="eastAsia" w:eastAsia="宋体" w:cs="宋体"/>
                <w:color w:val="000000"/>
              </w:rPr>
              <w:t>3</w:t>
            </w:r>
          </w:p>
        </w:tc>
        <w:tc>
          <w:tcPr>
            <w:tcW w:w="1476" w:type="dxa"/>
            <w:vMerge w:val="restart"/>
            <w:shd w:val="clear" w:color="auto" w:fill="auto"/>
            <w:vAlign w:val="center"/>
          </w:tcPr>
          <w:p>
            <w:pPr>
              <w:jc w:val="center"/>
              <w:rPr>
                <w:rFonts w:eastAsia="宋体" w:cs="宋体"/>
                <w:color w:val="000000"/>
              </w:rPr>
            </w:pPr>
            <w:r>
              <w:rPr>
                <w:rFonts w:hint="eastAsia" w:eastAsia="宋体" w:cs="宋体"/>
                <w:color w:val="000000"/>
              </w:rPr>
              <w:t>业务梳理服务</w:t>
            </w:r>
          </w:p>
        </w:tc>
        <w:tc>
          <w:tcPr>
            <w:tcW w:w="6574" w:type="dxa"/>
            <w:shd w:val="clear" w:color="auto" w:fill="auto"/>
            <w:vAlign w:val="center"/>
          </w:tcPr>
          <w:p>
            <w:pPr>
              <w:rPr>
                <w:rFonts w:eastAsia="宋体" w:cs="宋体"/>
                <w:color w:val="000000"/>
              </w:rPr>
            </w:pPr>
            <w:r>
              <w:rPr>
                <w:rFonts w:hint="eastAsia" w:eastAsia="宋体" w:cs="宋体"/>
                <w:color w:val="000000"/>
              </w:rPr>
              <w:t>区、市个性化事项梳理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2" w:type="dxa"/>
            <w:shd w:val="clear" w:color="auto" w:fill="auto"/>
            <w:vAlign w:val="center"/>
          </w:tcPr>
          <w:p>
            <w:pPr>
              <w:jc w:val="center"/>
              <w:rPr>
                <w:rFonts w:eastAsia="宋体" w:cs="宋体"/>
                <w:color w:val="000000"/>
              </w:rPr>
            </w:pPr>
            <w:r>
              <w:rPr>
                <w:rFonts w:hint="eastAsia" w:eastAsia="宋体" w:cs="宋体"/>
                <w:color w:val="000000"/>
              </w:rPr>
              <w:t>4</w:t>
            </w:r>
          </w:p>
        </w:tc>
        <w:tc>
          <w:tcPr>
            <w:tcW w:w="1476" w:type="dxa"/>
            <w:vMerge w:val="continue"/>
            <w:vAlign w:val="center"/>
          </w:tcPr>
          <w:p>
            <w:pPr>
              <w:rPr>
                <w:rFonts w:eastAsia="宋体" w:cs="宋体"/>
                <w:color w:val="000000"/>
              </w:rPr>
            </w:pPr>
          </w:p>
        </w:tc>
        <w:tc>
          <w:tcPr>
            <w:tcW w:w="6574" w:type="dxa"/>
            <w:shd w:val="clear" w:color="auto" w:fill="auto"/>
            <w:vAlign w:val="center"/>
          </w:tcPr>
          <w:p>
            <w:pPr>
              <w:rPr>
                <w:rFonts w:eastAsia="宋体" w:cs="宋体"/>
                <w:color w:val="000000"/>
              </w:rPr>
            </w:pPr>
            <w:r>
              <w:rPr>
                <w:rFonts w:hint="eastAsia" w:eastAsia="宋体" w:cs="宋体"/>
                <w:color w:val="000000"/>
              </w:rPr>
              <w:t>基于江门市跨域通办事项，进行区县跨域通办事项梳理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2" w:type="dxa"/>
            <w:shd w:val="clear" w:color="auto" w:fill="auto"/>
            <w:vAlign w:val="center"/>
          </w:tcPr>
          <w:p>
            <w:pPr>
              <w:jc w:val="center"/>
              <w:rPr>
                <w:rFonts w:eastAsia="宋体" w:cs="宋体"/>
                <w:color w:val="000000"/>
              </w:rPr>
            </w:pPr>
            <w:r>
              <w:rPr>
                <w:rFonts w:hint="eastAsia" w:eastAsia="宋体" w:cs="宋体"/>
                <w:color w:val="000000"/>
              </w:rPr>
              <w:t>5</w:t>
            </w:r>
          </w:p>
        </w:tc>
        <w:tc>
          <w:tcPr>
            <w:tcW w:w="1476" w:type="dxa"/>
            <w:vMerge w:val="continue"/>
            <w:vAlign w:val="center"/>
          </w:tcPr>
          <w:p>
            <w:pPr>
              <w:rPr>
                <w:rFonts w:eastAsia="宋体" w:cs="宋体"/>
                <w:color w:val="000000"/>
              </w:rPr>
            </w:pPr>
          </w:p>
        </w:tc>
        <w:tc>
          <w:tcPr>
            <w:tcW w:w="6574" w:type="dxa"/>
            <w:shd w:val="clear" w:color="auto" w:fill="auto"/>
            <w:vAlign w:val="center"/>
          </w:tcPr>
          <w:p>
            <w:pPr>
              <w:rPr>
                <w:rFonts w:eastAsia="宋体" w:cs="宋体"/>
                <w:color w:val="000000"/>
              </w:rPr>
            </w:pPr>
            <w:r>
              <w:rPr>
                <w:rFonts w:hint="eastAsia" w:eastAsia="宋体" w:cs="宋体"/>
                <w:color w:val="000000"/>
              </w:rPr>
              <w:t>基于江门市跨域通办事项，进行区县数据共享梳理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2" w:type="dxa"/>
            <w:shd w:val="clear" w:color="auto" w:fill="auto"/>
            <w:vAlign w:val="center"/>
          </w:tcPr>
          <w:p>
            <w:pPr>
              <w:jc w:val="center"/>
              <w:rPr>
                <w:rFonts w:eastAsia="宋体" w:cs="宋体"/>
                <w:color w:val="000000"/>
              </w:rPr>
            </w:pPr>
            <w:r>
              <w:rPr>
                <w:rFonts w:hint="eastAsia" w:eastAsia="宋体" w:cs="宋体"/>
                <w:color w:val="000000"/>
              </w:rPr>
              <w:t>6</w:t>
            </w:r>
          </w:p>
        </w:tc>
        <w:tc>
          <w:tcPr>
            <w:tcW w:w="1476" w:type="dxa"/>
            <w:vMerge w:val="continue"/>
            <w:vAlign w:val="center"/>
          </w:tcPr>
          <w:p>
            <w:pPr>
              <w:rPr>
                <w:rFonts w:eastAsia="宋体" w:cs="宋体"/>
                <w:color w:val="000000"/>
              </w:rPr>
            </w:pPr>
          </w:p>
        </w:tc>
        <w:tc>
          <w:tcPr>
            <w:tcW w:w="6574" w:type="dxa"/>
            <w:shd w:val="clear" w:color="auto" w:fill="auto"/>
            <w:vAlign w:val="center"/>
          </w:tcPr>
          <w:p>
            <w:pPr>
              <w:rPr>
                <w:rFonts w:eastAsia="宋体" w:cs="宋体"/>
                <w:color w:val="000000"/>
              </w:rPr>
            </w:pPr>
            <w:r>
              <w:rPr>
                <w:rFonts w:hint="eastAsia" w:eastAsia="宋体" w:cs="宋体"/>
                <w:color w:val="000000"/>
              </w:rPr>
              <w:t>“数字政府”平台对接及推广应用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72" w:type="dxa"/>
            <w:shd w:val="clear" w:color="auto" w:fill="auto"/>
            <w:vAlign w:val="center"/>
          </w:tcPr>
          <w:p>
            <w:pPr>
              <w:jc w:val="center"/>
              <w:rPr>
                <w:rFonts w:eastAsia="宋体" w:cs="宋体"/>
                <w:color w:val="000000"/>
              </w:rPr>
            </w:pPr>
            <w:r>
              <w:rPr>
                <w:rFonts w:hint="eastAsia" w:eastAsia="宋体" w:cs="宋体"/>
                <w:color w:val="000000"/>
              </w:rPr>
              <w:t>7</w:t>
            </w:r>
          </w:p>
        </w:tc>
        <w:tc>
          <w:tcPr>
            <w:tcW w:w="1476" w:type="dxa"/>
            <w:shd w:val="clear" w:color="000000" w:fill="FFFFFF"/>
            <w:vAlign w:val="center"/>
          </w:tcPr>
          <w:p>
            <w:pPr>
              <w:jc w:val="center"/>
              <w:rPr>
                <w:rFonts w:eastAsia="宋体" w:cs="宋体"/>
                <w:color w:val="000000"/>
              </w:rPr>
            </w:pPr>
            <w:r>
              <w:rPr>
                <w:rFonts w:hint="eastAsia" w:eastAsia="宋体" w:cs="宋体"/>
                <w:color w:val="000000"/>
              </w:rPr>
              <w:t>实施配置管理</w:t>
            </w:r>
          </w:p>
        </w:tc>
        <w:tc>
          <w:tcPr>
            <w:tcW w:w="6574" w:type="dxa"/>
            <w:shd w:val="clear" w:color="000000" w:fill="FFFFFF"/>
            <w:vAlign w:val="center"/>
          </w:tcPr>
          <w:p>
            <w:pPr>
              <w:rPr>
                <w:rFonts w:eastAsia="宋体" w:cs="宋体"/>
                <w:color w:val="000000"/>
              </w:rPr>
            </w:pPr>
            <w:r>
              <w:rPr>
                <w:rFonts w:hint="eastAsia" w:eastAsia="宋体" w:cs="宋体"/>
                <w:color w:val="000000"/>
              </w:rPr>
              <w:t>对区县特有的个性化事项、区县部门信息、人员信息及操作权限数据的配置服务以及集成测试、业务验证。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72" w:type="dxa"/>
            <w:shd w:val="clear" w:color="auto" w:fill="auto"/>
            <w:vAlign w:val="center"/>
          </w:tcPr>
          <w:p>
            <w:pPr>
              <w:jc w:val="center"/>
              <w:rPr>
                <w:rFonts w:eastAsia="宋体" w:cs="宋体"/>
                <w:color w:val="000000"/>
              </w:rPr>
            </w:pPr>
            <w:r>
              <w:rPr>
                <w:rFonts w:hint="eastAsia" w:eastAsia="宋体" w:cs="宋体"/>
                <w:color w:val="000000"/>
              </w:rPr>
              <w:t>8</w:t>
            </w:r>
          </w:p>
        </w:tc>
        <w:tc>
          <w:tcPr>
            <w:tcW w:w="1476" w:type="dxa"/>
            <w:vMerge w:val="restart"/>
            <w:shd w:val="clear" w:color="auto" w:fill="auto"/>
            <w:vAlign w:val="center"/>
          </w:tcPr>
          <w:p>
            <w:pPr>
              <w:jc w:val="center"/>
              <w:rPr>
                <w:rFonts w:eastAsia="宋体" w:cs="宋体"/>
                <w:color w:val="000000"/>
              </w:rPr>
            </w:pPr>
            <w:r>
              <w:rPr>
                <w:rFonts w:hint="eastAsia" w:eastAsia="宋体" w:cs="宋体"/>
                <w:color w:val="000000"/>
              </w:rPr>
              <w:t>综合数据</w:t>
            </w:r>
          </w:p>
        </w:tc>
        <w:tc>
          <w:tcPr>
            <w:tcW w:w="6574" w:type="dxa"/>
            <w:shd w:val="clear" w:color="auto" w:fill="auto"/>
            <w:vAlign w:val="center"/>
          </w:tcPr>
          <w:p>
            <w:pPr>
              <w:rPr>
                <w:rFonts w:eastAsia="宋体" w:cs="宋体"/>
                <w:color w:val="000000"/>
              </w:rPr>
            </w:pPr>
            <w:r>
              <w:rPr>
                <w:rFonts w:hint="eastAsia" w:eastAsia="宋体" w:cs="宋体"/>
                <w:color w:val="000000"/>
              </w:rPr>
              <w:t>基础性分析服务：包括对办理量、事项精细化情况、预约叫号情况、好差评情况进行的基础性数据分析服务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72" w:type="dxa"/>
            <w:shd w:val="clear" w:color="auto" w:fill="auto"/>
            <w:vAlign w:val="center"/>
          </w:tcPr>
          <w:p>
            <w:pPr>
              <w:jc w:val="center"/>
              <w:rPr>
                <w:rFonts w:eastAsia="宋体" w:cs="宋体"/>
                <w:color w:val="000000"/>
              </w:rPr>
            </w:pPr>
            <w:r>
              <w:rPr>
                <w:rFonts w:hint="eastAsia" w:eastAsia="宋体" w:cs="宋体"/>
                <w:color w:val="000000"/>
              </w:rPr>
              <w:t>9</w:t>
            </w:r>
          </w:p>
        </w:tc>
        <w:tc>
          <w:tcPr>
            <w:tcW w:w="1476" w:type="dxa"/>
            <w:vMerge w:val="continue"/>
            <w:vAlign w:val="center"/>
          </w:tcPr>
          <w:p>
            <w:pPr>
              <w:rPr>
                <w:rFonts w:eastAsia="宋体" w:cs="宋体"/>
                <w:color w:val="000000"/>
              </w:rPr>
            </w:pPr>
          </w:p>
        </w:tc>
        <w:tc>
          <w:tcPr>
            <w:tcW w:w="6574" w:type="dxa"/>
            <w:shd w:val="clear" w:color="auto" w:fill="auto"/>
            <w:vAlign w:val="center"/>
          </w:tcPr>
          <w:p>
            <w:pPr>
              <w:rPr>
                <w:rFonts w:eastAsia="宋体" w:cs="宋体"/>
                <w:color w:val="000000"/>
              </w:rPr>
            </w:pPr>
            <w:r>
              <w:rPr>
                <w:rFonts w:hint="eastAsia" w:eastAsia="宋体" w:cs="宋体"/>
                <w:color w:val="000000"/>
              </w:rPr>
              <w:t>考核数据分析服务：针对每年数字政府国家级、省级相应考核方案，开展考核指标细化及数据动态分析服务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72" w:type="dxa"/>
            <w:shd w:val="clear" w:color="auto" w:fill="auto"/>
            <w:vAlign w:val="center"/>
          </w:tcPr>
          <w:p>
            <w:pPr>
              <w:jc w:val="center"/>
              <w:rPr>
                <w:rFonts w:eastAsia="宋体" w:cs="宋体"/>
                <w:color w:val="000000"/>
              </w:rPr>
            </w:pPr>
            <w:r>
              <w:rPr>
                <w:rFonts w:hint="eastAsia" w:eastAsia="宋体" w:cs="宋体"/>
                <w:color w:val="000000"/>
              </w:rPr>
              <w:t>10</w:t>
            </w:r>
          </w:p>
        </w:tc>
        <w:tc>
          <w:tcPr>
            <w:tcW w:w="1476" w:type="dxa"/>
            <w:vMerge w:val="continue"/>
            <w:vAlign w:val="center"/>
          </w:tcPr>
          <w:p>
            <w:pPr>
              <w:rPr>
                <w:rFonts w:eastAsia="宋体" w:cs="宋体"/>
                <w:color w:val="000000"/>
              </w:rPr>
            </w:pPr>
          </w:p>
        </w:tc>
        <w:tc>
          <w:tcPr>
            <w:tcW w:w="6574" w:type="dxa"/>
            <w:shd w:val="clear" w:color="auto" w:fill="auto"/>
            <w:vAlign w:val="center"/>
          </w:tcPr>
          <w:p>
            <w:pPr>
              <w:rPr>
                <w:rFonts w:eastAsia="宋体" w:cs="宋体"/>
                <w:color w:val="000000"/>
              </w:rPr>
            </w:pPr>
            <w:r>
              <w:rPr>
                <w:rFonts w:hint="eastAsia" w:eastAsia="宋体" w:cs="宋体"/>
                <w:color w:val="000000"/>
              </w:rPr>
              <w:t>常态化监测服务：包括政务服务网办事指南要素检测、政务服务网专栏链接有效性可用性等数字政府常态化监测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72" w:type="dxa"/>
            <w:shd w:val="clear" w:color="auto" w:fill="auto"/>
            <w:vAlign w:val="center"/>
          </w:tcPr>
          <w:p>
            <w:pPr>
              <w:jc w:val="center"/>
              <w:rPr>
                <w:rFonts w:eastAsia="宋体" w:cs="宋体"/>
                <w:color w:val="000000"/>
              </w:rPr>
            </w:pPr>
            <w:r>
              <w:rPr>
                <w:rFonts w:hint="eastAsia" w:eastAsia="宋体" w:cs="宋体"/>
                <w:color w:val="000000"/>
              </w:rPr>
              <w:t>11</w:t>
            </w:r>
          </w:p>
        </w:tc>
        <w:tc>
          <w:tcPr>
            <w:tcW w:w="1476" w:type="dxa"/>
            <w:vMerge w:val="continue"/>
            <w:vAlign w:val="center"/>
          </w:tcPr>
          <w:p>
            <w:pPr>
              <w:rPr>
                <w:rFonts w:eastAsia="宋体" w:cs="宋体"/>
                <w:color w:val="000000"/>
              </w:rPr>
            </w:pPr>
          </w:p>
        </w:tc>
        <w:tc>
          <w:tcPr>
            <w:tcW w:w="6574" w:type="dxa"/>
            <w:shd w:val="clear" w:color="auto" w:fill="auto"/>
            <w:vAlign w:val="center"/>
          </w:tcPr>
          <w:p>
            <w:pPr>
              <w:rPr>
                <w:rFonts w:eastAsia="宋体" w:cs="宋体"/>
                <w:color w:val="000000"/>
              </w:rPr>
            </w:pPr>
            <w:r>
              <w:rPr>
                <w:rFonts w:hint="eastAsia" w:eastAsia="宋体" w:cs="宋体"/>
                <w:color w:val="000000"/>
              </w:rPr>
              <w:t>数据提升服务：针对运营团队数据分析结果，提供决策建议服务，提升数字政府政务服务考核各项指标效能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72" w:type="dxa"/>
            <w:shd w:val="clear" w:color="auto" w:fill="auto"/>
            <w:vAlign w:val="center"/>
          </w:tcPr>
          <w:p>
            <w:pPr>
              <w:jc w:val="center"/>
              <w:rPr>
                <w:rFonts w:eastAsia="宋体" w:cs="宋体"/>
                <w:color w:val="000000"/>
              </w:rPr>
            </w:pPr>
            <w:r>
              <w:rPr>
                <w:rFonts w:hint="eastAsia" w:eastAsia="宋体" w:cs="宋体"/>
                <w:color w:val="000000"/>
              </w:rPr>
              <w:t>12</w:t>
            </w:r>
          </w:p>
        </w:tc>
        <w:tc>
          <w:tcPr>
            <w:tcW w:w="1476" w:type="dxa"/>
            <w:vMerge w:val="continue"/>
            <w:vAlign w:val="center"/>
          </w:tcPr>
          <w:p>
            <w:pPr>
              <w:rPr>
                <w:rFonts w:eastAsia="宋体" w:cs="宋体"/>
                <w:color w:val="000000"/>
              </w:rPr>
            </w:pPr>
          </w:p>
        </w:tc>
        <w:tc>
          <w:tcPr>
            <w:tcW w:w="6574" w:type="dxa"/>
            <w:shd w:val="clear" w:color="auto" w:fill="auto"/>
            <w:vAlign w:val="center"/>
          </w:tcPr>
          <w:p>
            <w:pPr>
              <w:rPr>
                <w:rFonts w:eastAsia="宋体" w:cs="宋体"/>
                <w:color w:val="000000"/>
              </w:rPr>
            </w:pPr>
            <w:r>
              <w:rPr>
                <w:rFonts w:hint="eastAsia" w:eastAsia="宋体" w:cs="宋体"/>
                <w:color w:val="000000"/>
              </w:rPr>
              <w:t>管理决策建议分析服务：提供综合窗口人员配比分析与优化、法人和个人业务量趋势分析相关管理决策建议分析服务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2" w:type="dxa"/>
            <w:shd w:val="clear" w:color="auto" w:fill="auto"/>
            <w:vAlign w:val="center"/>
          </w:tcPr>
          <w:p>
            <w:pPr>
              <w:jc w:val="center"/>
              <w:rPr>
                <w:rFonts w:eastAsia="宋体" w:cs="宋体"/>
                <w:color w:val="000000"/>
              </w:rPr>
            </w:pPr>
            <w:r>
              <w:rPr>
                <w:rFonts w:hint="eastAsia" w:eastAsia="宋体" w:cs="宋体"/>
                <w:color w:val="000000"/>
              </w:rPr>
              <w:t>13</w:t>
            </w:r>
          </w:p>
        </w:tc>
        <w:tc>
          <w:tcPr>
            <w:tcW w:w="1476" w:type="dxa"/>
            <w:vMerge w:val="restart"/>
            <w:shd w:val="clear" w:color="auto" w:fill="auto"/>
            <w:vAlign w:val="center"/>
          </w:tcPr>
          <w:p>
            <w:pPr>
              <w:jc w:val="center"/>
              <w:rPr>
                <w:rFonts w:eastAsia="宋体" w:cs="宋体"/>
                <w:color w:val="000000"/>
              </w:rPr>
            </w:pPr>
            <w:r>
              <w:rPr>
                <w:rFonts w:hint="eastAsia" w:eastAsia="宋体" w:cs="宋体"/>
                <w:color w:val="000000"/>
              </w:rPr>
              <w:t>服务反馈</w:t>
            </w:r>
          </w:p>
        </w:tc>
        <w:tc>
          <w:tcPr>
            <w:tcW w:w="6574" w:type="dxa"/>
            <w:shd w:val="clear" w:color="auto" w:fill="auto"/>
            <w:vAlign w:val="center"/>
          </w:tcPr>
          <w:p>
            <w:pPr>
              <w:rPr>
                <w:rFonts w:eastAsia="宋体" w:cs="宋体"/>
                <w:color w:val="000000"/>
              </w:rPr>
            </w:pPr>
            <w:r>
              <w:rPr>
                <w:rFonts w:hint="eastAsia" w:eastAsia="宋体" w:cs="宋体"/>
                <w:color w:val="000000"/>
              </w:rPr>
              <w:t>服务反馈信息收集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2" w:type="dxa"/>
            <w:shd w:val="clear" w:color="auto" w:fill="auto"/>
            <w:vAlign w:val="center"/>
          </w:tcPr>
          <w:p>
            <w:pPr>
              <w:jc w:val="center"/>
              <w:rPr>
                <w:rFonts w:eastAsia="宋体" w:cs="宋体"/>
                <w:color w:val="000000"/>
              </w:rPr>
            </w:pPr>
            <w:r>
              <w:rPr>
                <w:rFonts w:hint="eastAsia" w:eastAsia="宋体" w:cs="宋体"/>
                <w:color w:val="000000"/>
              </w:rPr>
              <w:t>14</w:t>
            </w:r>
          </w:p>
        </w:tc>
        <w:tc>
          <w:tcPr>
            <w:tcW w:w="1476" w:type="dxa"/>
            <w:vMerge w:val="continue"/>
            <w:vAlign w:val="center"/>
          </w:tcPr>
          <w:p>
            <w:pPr>
              <w:rPr>
                <w:rFonts w:eastAsia="宋体" w:cs="宋体"/>
                <w:color w:val="000000"/>
              </w:rPr>
            </w:pPr>
          </w:p>
        </w:tc>
        <w:tc>
          <w:tcPr>
            <w:tcW w:w="6574" w:type="dxa"/>
            <w:shd w:val="clear" w:color="auto" w:fill="auto"/>
            <w:vAlign w:val="center"/>
          </w:tcPr>
          <w:p>
            <w:pPr>
              <w:rPr>
                <w:rFonts w:eastAsia="宋体" w:cs="宋体"/>
                <w:color w:val="000000"/>
              </w:rPr>
            </w:pPr>
            <w:r>
              <w:rPr>
                <w:rFonts w:hint="eastAsia" w:eastAsia="宋体" w:cs="宋体"/>
                <w:color w:val="000000"/>
              </w:rPr>
              <w:t>服务反馈处理流程管理</w:t>
            </w:r>
          </w:p>
        </w:tc>
      </w:tr>
    </w:tbl>
    <w:p>
      <w:pPr>
        <w:spacing w:line="276" w:lineRule="auto"/>
        <w:rPr>
          <w:rFonts w:eastAsia="仿宋"/>
          <w:sz w:val="32"/>
          <w:szCs w:val="32"/>
        </w:rPr>
      </w:pPr>
    </w:p>
    <w:p>
      <w:pPr>
        <w:spacing w:line="560" w:lineRule="exact"/>
        <w:ind w:firstLine="640" w:firstLineChars="200"/>
        <w:rPr>
          <w:rFonts w:eastAsia="黑体" w:cs="黑体"/>
          <w:bCs/>
          <w:sz w:val="32"/>
          <w:szCs w:val="32"/>
        </w:rPr>
      </w:pPr>
      <w:r>
        <w:rPr>
          <w:rFonts w:hint="eastAsia" w:eastAsia="黑体" w:cs="黑体"/>
          <w:bCs/>
          <w:sz w:val="32"/>
          <w:szCs w:val="32"/>
        </w:rPr>
        <w:t>三、项目的质量要求</w:t>
      </w:r>
    </w:p>
    <w:p>
      <w:pPr>
        <w:spacing w:line="560" w:lineRule="exact"/>
        <w:ind w:firstLine="640" w:firstLineChars="200"/>
      </w:pPr>
      <w:r>
        <w:rPr>
          <w:rFonts w:hint="eastAsia" w:eastAsia="仿宋"/>
          <w:sz w:val="32"/>
          <w:szCs w:val="32"/>
        </w:rPr>
        <w:t>按照《江门市新型智慧城市（一期）建设项目政务服务中台升级和政务一体化平台运营子项目建设方案》的要求执行。</w:t>
      </w:r>
    </w:p>
    <w:p>
      <w:pPr>
        <w:spacing w:line="560" w:lineRule="exact"/>
        <w:ind w:firstLine="640" w:firstLineChars="200"/>
        <w:rPr>
          <w:rFonts w:eastAsia="黑体" w:cs="黑体"/>
          <w:bCs/>
          <w:sz w:val="32"/>
          <w:szCs w:val="32"/>
        </w:rPr>
      </w:pPr>
      <w:r>
        <w:rPr>
          <w:rFonts w:hint="eastAsia" w:eastAsia="黑体" w:cs="黑体"/>
          <w:bCs/>
          <w:sz w:val="32"/>
          <w:szCs w:val="32"/>
        </w:rPr>
        <w:t>四、项目的售后服务</w:t>
      </w:r>
    </w:p>
    <w:p>
      <w:pPr>
        <w:spacing w:line="560" w:lineRule="exact"/>
        <w:ind w:firstLine="640" w:firstLineChars="200"/>
        <w:rPr>
          <w:rFonts w:eastAsia="仿宋"/>
          <w:sz w:val="32"/>
          <w:szCs w:val="32"/>
        </w:rPr>
      </w:pPr>
      <w:r>
        <w:rPr>
          <w:rFonts w:hint="eastAsia" w:eastAsia="仿宋"/>
          <w:sz w:val="32"/>
          <w:szCs w:val="32"/>
        </w:rPr>
        <w:t>1、供应商须有属本公司的可随时上门作维护的工程师，本项目平台出现故障时能在【4】小时内上门维修；</w:t>
      </w:r>
    </w:p>
    <w:p>
      <w:pPr>
        <w:spacing w:line="560" w:lineRule="exact"/>
        <w:ind w:firstLine="640" w:firstLineChars="200"/>
        <w:rPr>
          <w:rFonts w:eastAsia="仿宋"/>
          <w:sz w:val="32"/>
          <w:szCs w:val="32"/>
        </w:rPr>
      </w:pPr>
      <w:r>
        <w:rPr>
          <w:rFonts w:hint="eastAsia" w:eastAsia="仿宋"/>
          <w:sz w:val="32"/>
          <w:szCs w:val="32"/>
        </w:rPr>
        <w:t>2、供应商自本项目通过验收合格之日起须负责保修【1】年，终身提供技术咨询；</w:t>
      </w:r>
    </w:p>
    <w:p>
      <w:pPr>
        <w:spacing w:line="560" w:lineRule="exact"/>
        <w:ind w:firstLine="640" w:firstLineChars="200"/>
        <w:rPr>
          <w:rFonts w:eastAsia="仿宋"/>
          <w:sz w:val="32"/>
          <w:szCs w:val="32"/>
        </w:rPr>
      </w:pPr>
      <w:r>
        <w:rPr>
          <w:rFonts w:hint="eastAsia" w:eastAsia="仿宋"/>
          <w:sz w:val="32"/>
          <w:szCs w:val="32"/>
        </w:rPr>
        <w:t>3、供应商负责现场或厂家培训采购人有关技术人员，</w:t>
      </w:r>
      <w:r>
        <w:rPr>
          <w:rFonts w:hint="eastAsia" w:eastAsia="仿宋"/>
          <w:sz w:val="32"/>
          <w:szCs w:val="32"/>
          <w:lang w:eastAsia="zh-Hans"/>
        </w:rPr>
        <w:t>使其</w:t>
      </w:r>
      <w:r>
        <w:rPr>
          <w:rFonts w:hint="eastAsia" w:eastAsia="仿宋"/>
          <w:sz w:val="32"/>
          <w:szCs w:val="32"/>
        </w:rPr>
        <w:t>掌握操作技术。</w:t>
      </w:r>
    </w:p>
    <w:p>
      <w:pPr>
        <w:spacing w:line="560" w:lineRule="exact"/>
        <w:ind w:firstLine="640" w:firstLineChars="200"/>
        <w:rPr>
          <w:rFonts w:eastAsia="仿宋"/>
          <w:sz w:val="32"/>
          <w:szCs w:val="32"/>
          <w:lang w:eastAsia="zh-Hans"/>
        </w:rPr>
      </w:pPr>
      <w:r>
        <w:rPr>
          <w:rFonts w:hint="eastAsia" w:eastAsia="仿宋"/>
          <w:sz w:val="32"/>
          <w:szCs w:val="32"/>
        </w:rPr>
        <w:t>4、具体售后服务要求：</w:t>
      </w:r>
      <w:r>
        <w:rPr>
          <w:rFonts w:hint="eastAsia" w:eastAsia="仿宋"/>
          <w:sz w:val="32"/>
          <w:szCs w:val="32"/>
          <w:lang w:eastAsia="zh-Hans"/>
        </w:rPr>
        <w:t>①</w:t>
      </w:r>
      <w:r>
        <w:rPr>
          <w:rFonts w:hint="eastAsia" w:eastAsia="仿宋"/>
          <w:sz w:val="32"/>
          <w:szCs w:val="32"/>
        </w:rPr>
        <w:t>如因供应商原因（包括但不限于产品质量或设计原因），导致采购人损失，供应商应予以赔偿。</w:t>
      </w:r>
      <w:r>
        <w:rPr>
          <w:rFonts w:hint="eastAsia" w:eastAsia="仿宋"/>
          <w:sz w:val="32"/>
          <w:szCs w:val="32"/>
          <w:lang w:eastAsia="zh-Hans"/>
        </w:rPr>
        <w:t>②本子项目总价已包含</w:t>
      </w:r>
      <w:r>
        <w:rPr>
          <w:rFonts w:hint="eastAsia" w:eastAsia="仿宋"/>
          <w:sz w:val="32"/>
          <w:szCs w:val="32"/>
        </w:rPr>
        <w:t>供应商</w:t>
      </w:r>
      <w:r>
        <w:rPr>
          <w:rFonts w:hint="eastAsia" w:eastAsia="仿宋"/>
          <w:sz w:val="32"/>
          <w:szCs w:val="32"/>
          <w:lang w:eastAsia="zh-Hans"/>
        </w:rPr>
        <w:t>提供售后服务的费用。</w:t>
      </w:r>
    </w:p>
    <w:p>
      <w:pPr>
        <w:pStyle w:val="11"/>
      </w:pPr>
    </w:p>
    <w:p>
      <w:pPr>
        <w:spacing w:line="560" w:lineRule="exact"/>
        <w:ind w:firstLine="640" w:firstLineChars="200"/>
        <w:rPr>
          <w:rFonts w:eastAsia="黑体" w:cs="黑体"/>
          <w:bCs/>
          <w:sz w:val="32"/>
          <w:szCs w:val="32"/>
        </w:rPr>
      </w:pPr>
      <w:r>
        <w:rPr>
          <w:rFonts w:hint="eastAsia" w:eastAsia="黑体" w:cs="黑体"/>
          <w:bCs/>
          <w:sz w:val="32"/>
          <w:szCs w:val="32"/>
        </w:rPr>
        <w:t>五、供应商资格条件</w:t>
      </w:r>
    </w:p>
    <w:p>
      <w:pPr>
        <w:spacing w:line="560" w:lineRule="exact"/>
        <w:ind w:firstLine="640"/>
        <w:rPr>
          <w:rFonts w:eastAsia="仿宋"/>
          <w:sz w:val="32"/>
          <w:szCs w:val="32"/>
        </w:rPr>
      </w:pPr>
      <w:r>
        <w:rPr>
          <w:rFonts w:hint="eastAsia" w:eastAsia="仿宋"/>
          <w:sz w:val="32"/>
          <w:szCs w:val="32"/>
        </w:rPr>
        <w:t>（一）</w:t>
      </w:r>
      <w:r>
        <w:rPr>
          <w:rFonts w:hint="eastAsia" w:eastAsia="仿宋"/>
          <w:sz w:val="32"/>
          <w:szCs w:val="32"/>
          <w:lang w:val="hr-HR"/>
        </w:rPr>
        <w:t>供应商应是具有合法经营资格的法人，具有良好的信誉</w:t>
      </w:r>
      <w:r>
        <w:rPr>
          <w:rFonts w:hint="eastAsia" w:eastAsia="仿宋"/>
          <w:sz w:val="32"/>
          <w:szCs w:val="32"/>
        </w:rPr>
        <w:t>;</w:t>
      </w:r>
    </w:p>
    <w:p>
      <w:pPr>
        <w:spacing w:line="560" w:lineRule="exact"/>
        <w:ind w:firstLine="640"/>
      </w:pPr>
      <w:r>
        <w:rPr>
          <w:rFonts w:hint="eastAsia" w:eastAsia="仿宋"/>
          <w:sz w:val="32"/>
          <w:szCs w:val="32"/>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pPr>
        <w:spacing w:line="560" w:lineRule="exact"/>
        <w:ind w:firstLine="640" w:firstLineChars="200"/>
        <w:rPr>
          <w:rFonts w:eastAsia="黑体" w:cs="黑体"/>
          <w:bCs/>
          <w:sz w:val="32"/>
          <w:szCs w:val="32"/>
        </w:rPr>
      </w:pPr>
      <w:r>
        <w:rPr>
          <w:rFonts w:hint="eastAsia" w:eastAsia="黑体" w:cs="黑体"/>
          <w:bCs/>
          <w:sz w:val="32"/>
          <w:szCs w:val="32"/>
        </w:rPr>
        <w:t>六、服务时间</w:t>
      </w:r>
    </w:p>
    <w:p>
      <w:pPr>
        <w:snapToGrid w:val="0"/>
        <w:spacing w:line="560" w:lineRule="exact"/>
        <w:ind w:firstLine="611" w:firstLineChars="196"/>
        <w:rPr>
          <w:rFonts w:eastAsia="仿宋"/>
          <w:spacing w:val="-4"/>
          <w:kern w:val="0"/>
          <w:sz w:val="32"/>
          <w:szCs w:val="32"/>
        </w:rPr>
      </w:pPr>
      <w:r>
        <w:rPr>
          <w:rFonts w:hint="eastAsia" w:eastAsia="仿宋"/>
          <w:spacing w:val="-4"/>
          <w:kern w:val="0"/>
          <w:sz w:val="32"/>
          <w:szCs w:val="32"/>
        </w:rPr>
        <w:t>服务期：本项目运营周期为12个月。</w:t>
      </w:r>
    </w:p>
    <w:p>
      <w:pPr>
        <w:spacing w:line="560" w:lineRule="exact"/>
        <w:ind w:firstLine="640" w:firstLineChars="200"/>
        <w:rPr>
          <w:rFonts w:eastAsia="黑体" w:cs="黑体"/>
          <w:bCs/>
          <w:sz w:val="32"/>
          <w:szCs w:val="32"/>
        </w:rPr>
      </w:pPr>
      <w:r>
        <w:rPr>
          <w:rFonts w:hint="eastAsia" w:eastAsia="黑体" w:cs="黑体"/>
          <w:bCs/>
          <w:sz w:val="32"/>
          <w:szCs w:val="32"/>
        </w:rPr>
        <w:t>七、项目限价</w:t>
      </w:r>
    </w:p>
    <w:p>
      <w:pPr>
        <w:spacing w:line="560" w:lineRule="exact"/>
        <w:ind w:firstLine="640" w:firstLineChars="200"/>
      </w:pPr>
      <w:bookmarkStart w:id="0" w:name="_Hlk20664594"/>
      <w:r>
        <w:rPr>
          <w:rFonts w:hint="eastAsia" w:eastAsia="仿宋" w:cstheme="minorEastAsia"/>
          <w:kern w:val="0"/>
          <w:sz w:val="32"/>
          <w:szCs w:val="32"/>
        </w:rPr>
        <w:t>本</w:t>
      </w:r>
      <w:r>
        <w:rPr>
          <w:rFonts w:hint="eastAsia" w:eastAsia="仿宋" w:cstheme="minorEastAsia"/>
          <w:kern w:val="0"/>
          <w:sz w:val="32"/>
          <w:szCs w:val="32"/>
          <w:lang w:val="zh-CN"/>
        </w:rPr>
        <w:t>项目</w:t>
      </w:r>
      <w:r>
        <w:rPr>
          <w:rFonts w:hint="eastAsia" w:eastAsia="仿宋" w:cstheme="minorEastAsia"/>
          <w:kern w:val="0"/>
          <w:sz w:val="32"/>
          <w:szCs w:val="32"/>
        </w:rPr>
        <w:t>（含税）最高限价为人民币40万元整（报价不得超过最高限价），成交供应商需根据实际成交价提供增值税专用发票。</w:t>
      </w:r>
      <w:bookmarkEnd w:id="0"/>
    </w:p>
    <w:p>
      <w:pPr>
        <w:spacing w:line="560" w:lineRule="exact"/>
        <w:ind w:firstLine="640" w:firstLineChars="200"/>
        <w:rPr>
          <w:rFonts w:eastAsia="黑体" w:cs="黑体"/>
          <w:bCs/>
          <w:sz w:val="32"/>
          <w:szCs w:val="32"/>
        </w:rPr>
      </w:pPr>
      <w:r>
        <w:rPr>
          <w:rFonts w:hint="eastAsia" w:eastAsia="黑体" w:cs="黑体"/>
          <w:bCs/>
          <w:sz w:val="32"/>
          <w:szCs w:val="32"/>
        </w:rPr>
        <w:t>八、确定供应商</w:t>
      </w:r>
    </w:p>
    <w:p>
      <w:pPr>
        <w:pStyle w:val="45"/>
        <w:keepNext w:val="0"/>
        <w:keepLines w:val="0"/>
        <w:pageBreakBefore w:val="0"/>
        <w:kinsoku/>
        <w:wordWrap/>
        <w:overflowPunct/>
        <w:topLinePunct w:val="0"/>
        <w:autoSpaceDE/>
        <w:autoSpaceDN/>
        <w:bidi w:val="0"/>
        <w:adjustRightInd/>
        <w:snapToGrid/>
        <w:spacing w:afterLines="0" w:line="560" w:lineRule="exact"/>
        <w:ind w:firstLine="640" w:firstLineChars="200"/>
        <w:textAlignment w:val="auto"/>
        <w:rPr>
          <w:rFonts w:hint="eastAsia" w:ascii="仿宋_GB2312" w:hAnsi="仿宋_GB2312" w:eastAsia="仿宋_GB2312" w:cs="仿宋_GB2312"/>
          <w:kern w:val="2"/>
          <w:sz w:val="32"/>
          <w:szCs w:val="32"/>
          <w:highlight w:val="none"/>
          <w:shd w:val="clear"/>
          <w:lang w:val="en-US" w:eastAsia="zh-CN" w:bidi="ar-SA"/>
        </w:rPr>
      </w:pPr>
      <w:r>
        <w:rPr>
          <w:rFonts w:hint="eastAsia" w:ascii="仿宋_GB2312" w:hAnsi="仿宋_GB2312" w:eastAsia="仿宋_GB2312" w:cs="仿宋_GB2312"/>
          <w:kern w:val="2"/>
          <w:sz w:val="32"/>
          <w:szCs w:val="32"/>
          <w:highlight w:val="none"/>
          <w:shd w:val="clear"/>
          <w:lang w:val="en-US" w:eastAsia="zh-CN" w:bidi="ar-SA"/>
        </w:rPr>
        <w:t>若有多家供应商竞价，采购人将综合考虑供应商的服务质量、技术力量、采购信誉度、成功案例（需提供相关的证明材料）等方面进行择优选择，确定为成交供应商。</w:t>
      </w:r>
    </w:p>
    <w:p>
      <w:pPr>
        <w:spacing w:line="560" w:lineRule="exact"/>
        <w:ind w:firstLine="640" w:firstLineChars="200"/>
        <w:rPr>
          <w:rFonts w:eastAsia="黑体" w:cs="黑体"/>
          <w:bCs/>
          <w:sz w:val="32"/>
          <w:szCs w:val="32"/>
        </w:rPr>
      </w:pPr>
      <w:r>
        <w:rPr>
          <w:rFonts w:hint="eastAsia" w:eastAsia="黑体" w:cs="黑体"/>
          <w:bCs/>
          <w:sz w:val="32"/>
          <w:szCs w:val="32"/>
        </w:rPr>
        <w:t>九、报价要求</w:t>
      </w:r>
    </w:p>
    <w:p>
      <w:pPr>
        <w:pStyle w:val="11"/>
        <w:spacing w:line="560" w:lineRule="exact"/>
        <w:ind w:firstLine="627" w:firstLineChars="196"/>
      </w:pPr>
      <w:r>
        <w:rPr>
          <w:rFonts w:hint="eastAsia" w:eastAsia="仿宋"/>
          <w:kern w:val="0"/>
          <w:sz w:val="32"/>
          <w:szCs w:val="32"/>
        </w:rPr>
        <w:t>供应商应对服务内容及工作量有充分预估，报价不得高于采购预算，且应为人民币含税全包价, 包含开发、软件、技术服务、人工费、检测、试验、项目验收、劳务、保险、税费等一切费用。项目履约期内，采购人不再支付其他任何费用。</w:t>
      </w:r>
    </w:p>
    <w:p>
      <w:pPr>
        <w:spacing w:line="560" w:lineRule="exact"/>
        <w:ind w:firstLine="640" w:firstLineChars="200"/>
        <w:rPr>
          <w:rFonts w:eastAsia="黑体" w:cs="黑体"/>
          <w:bCs/>
          <w:sz w:val="32"/>
          <w:szCs w:val="32"/>
        </w:rPr>
      </w:pPr>
      <w:r>
        <w:rPr>
          <w:rFonts w:hint="eastAsia" w:eastAsia="黑体" w:cs="黑体"/>
          <w:bCs/>
          <w:sz w:val="32"/>
          <w:szCs w:val="32"/>
        </w:rPr>
        <w:t>十、结算方式</w:t>
      </w:r>
    </w:p>
    <w:p>
      <w:pPr>
        <w:tabs>
          <w:tab w:val="left" w:pos="0"/>
        </w:tabs>
        <w:adjustRightInd w:val="0"/>
        <w:spacing w:line="560" w:lineRule="exact"/>
        <w:ind w:firstLine="640" w:firstLineChars="200"/>
        <w:textAlignment w:val="top"/>
        <w:rPr>
          <w:rFonts w:eastAsia="仿宋"/>
          <w:kern w:val="0"/>
          <w:sz w:val="32"/>
          <w:szCs w:val="32"/>
          <w:lang w:eastAsia="zh-Hans"/>
        </w:rPr>
      </w:pPr>
      <w:r>
        <w:rPr>
          <w:rFonts w:hint="eastAsia" w:eastAsia="仿宋"/>
          <w:kern w:val="0"/>
          <w:sz w:val="32"/>
          <w:szCs w:val="32"/>
          <w:lang w:eastAsia="zh-Hans"/>
        </w:rPr>
        <w:t>本子项目付款原则上按以下方式支付，如有特殊情况以合同双方共同协商为准。</w:t>
      </w:r>
    </w:p>
    <w:p>
      <w:pPr>
        <w:tabs>
          <w:tab w:val="left" w:pos="0"/>
        </w:tabs>
        <w:adjustRightInd w:val="0"/>
        <w:spacing w:line="560" w:lineRule="exact"/>
        <w:ind w:firstLine="640" w:firstLineChars="200"/>
        <w:textAlignment w:val="top"/>
        <w:rPr>
          <w:rFonts w:eastAsia="仿宋"/>
          <w:kern w:val="0"/>
          <w:sz w:val="32"/>
          <w:szCs w:val="32"/>
        </w:rPr>
      </w:pPr>
      <w:r>
        <w:rPr>
          <w:rFonts w:hint="eastAsia" w:eastAsia="仿宋"/>
          <w:kern w:val="0"/>
          <w:sz w:val="32"/>
          <w:szCs w:val="32"/>
          <w:lang w:eastAsia="zh-Hans"/>
        </w:rPr>
        <w:t>（一）项目协议签订生效且</w:t>
      </w:r>
      <w:r>
        <w:rPr>
          <w:rFonts w:hint="eastAsia" w:eastAsia="仿宋"/>
          <w:kern w:val="0"/>
          <w:sz w:val="32"/>
          <w:szCs w:val="32"/>
        </w:rPr>
        <w:t>供应商</w:t>
      </w:r>
      <w:r>
        <w:rPr>
          <w:rFonts w:hint="eastAsia" w:eastAsia="仿宋"/>
          <w:kern w:val="0"/>
          <w:sz w:val="32"/>
          <w:szCs w:val="32"/>
          <w:lang w:eastAsia="zh-Hans"/>
        </w:rPr>
        <w:t>向</w:t>
      </w:r>
      <w:r>
        <w:rPr>
          <w:rFonts w:hint="eastAsia" w:eastAsia="仿宋"/>
          <w:kern w:val="0"/>
          <w:sz w:val="32"/>
          <w:szCs w:val="32"/>
        </w:rPr>
        <w:t>采购人</w:t>
      </w:r>
      <w:r>
        <w:rPr>
          <w:rFonts w:hint="eastAsia" w:eastAsia="仿宋"/>
          <w:kern w:val="0"/>
          <w:sz w:val="32"/>
          <w:szCs w:val="32"/>
          <w:lang w:eastAsia="zh-Hans"/>
        </w:rPr>
        <w:t>提供符合国家财务规定的发票后，</w:t>
      </w:r>
      <w:r>
        <w:rPr>
          <w:rFonts w:hint="eastAsia" w:eastAsia="仿宋"/>
          <w:kern w:val="0"/>
          <w:sz w:val="32"/>
          <w:szCs w:val="32"/>
        </w:rPr>
        <w:t>采购人</w:t>
      </w:r>
      <w:r>
        <w:rPr>
          <w:rFonts w:hint="eastAsia" w:eastAsia="仿宋"/>
          <w:kern w:val="0"/>
          <w:sz w:val="32"/>
          <w:szCs w:val="32"/>
          <w:lang w:eastAsia="zh-Hans"/>
        </w:rPr>
        <w:t>办理申请付款手续。</w:t>
      </w:r>
      <w:r>
        <w:rPr>
          <w:rFonts w:hint="eastAsia" w:eastAsia="仿宋"/>
          <w:kern w:val="0"/>
          <w:sz w:val="32"/>
          <w:szCs w:val="32"/>
        </w:rPr>
        <w:t>采购人</w:t>
      </w:r>
      <w:r>
        <w:rPr>
          <w:rFonts w:hint="eastAsia" w:eastAsia="仿宋"/>
          <w:kern w:val="0"/>
          <w:sz w:val="32"/>
          <w:szCs w:val="32"/>
          <w:lang w:eastAsia="zh-Hans"/>
        </w:rPr>
        <w:t>收到财政拨付资金后的15个工作日内，视实际资金到位情况，</w:t>
      </w:r>
      <w:r>
        <w:rPr>
          <w:rFonts w:hint="eastAsia" w:eastAsia="仿宋"/>
          <w:kern w:val="0"/>
          <w:sz w:val="32"/>
          <w:szCs w:val="32"/>
        </w:rPr>
        <w:t>支</w:t>
      </w:r>
      <w:r>
        <w:rPr>
          <w:rFonts w:hint="eastAsia" w:eastAsia="仿宋"/>
          <w:kern w:val="0"/>
          <w:sz w:val="32"/>
          <w:szCs w:val="32"/>
          <w:lang w:eastAsia="zh-Hans"/>
        </w:rPr>
        <w:t>付子项目协议</w:t>
      </w:r>
      <w:r>
        <w:rPr>
          <w:rFonts w:hint="eastAsia" w:eastAsia="仿宋"/>
          <w:kern w:val="0"/>
          <w:sz w:val="32"/>
          <w:szCs w:val="32"/>
          <w:highlight w:val="none"/>
          <w:lang w:eastAsia="zh-Hans"/>
        </w:rPr>
        <w:t>总金额</w:t>
      </w:r>
      <w:r>
        <w:rPr>
          <w:rFonts w:hint="eastAsia" w:eastAsia="仿宋"/>
          <w:kern w:val="0"/>
          <w:sz w:val="32"/>
          <w:szCs w:val="32"/>
          <w:highlight w:val="none"/>
          <w:lang w:val="en-US" w:eastAsia="zh-CN"/>
        </w:rPr>
        <w:t>3</w:t>
      </w:r>
      <w:r>
        <w:rPr>
          <w:rFonts w:hint="eastAsia" w:eastAsia="仿宋"/>
          <w:kern w:val="0"/>
          <w:sz w:val="32"/>
          <w:szCs w:val="32"/>
          <w:highlight w:val="none"/>
        </w:rPr>
        <w:t>0</w:t>
      </w:r>
      <w:r>
        <w:rPr>
          <w:rFonts w:hint="eastAsia" w:eastAsia="仿宋"/>
          <w:kern w:val="0"/>
          <w:sz w:val="32"/>
          <w:szCs w:val="32"/>
          <w:highlight w:val="none"/>
          <w:lang w:eastAsia="zh-Hans"/>
        </w:rPr>
        <w:t>%</w:t>
      </w:r>
      <w:r>
        <w:rPr>
          <w:rFonts w:hint="eastAsia" w:eastAsia="仿宋"/>
          <w:kern w:val="0"/>
          <w:sz w:val="32"/>
          <w:szCs w:val="32"/>
          <w:highlight w:val="none"/>
        </w:rPr>
        <w:t>。</w:t>
      </w:r>
      <w:bookmarkStart w:id="1" w:name="_GoBack"/>
      <w:bookmarkEnd w:id="1"/>
    </w:p>
    <w:p>
      <w:pPr>
        <w:tabs>
          <w:tab w:val="left" w:pos="0"/>
        </w:tabs>
        <w:adjustRightInd w:val="0"/>
        <w:spacing w:line="560" w:lineRule="exact"/>
        <w:ind w:firstLine="640" w:firstLineChars="200"/>
        <w:textAlignment w:val="top"/>
        <w:rPr>
          <w:rFonts w:ascii="Times New Roman" w:hAnsi="Times New Roman" w:eastAsia="仿宋" w:cstheme="minorEastAsia"/>
          <w:spacing w:val="0"/>
          <w:kern w:val="0"/>
          <w:sz w:val="32"/>
          <w:szCs w:val="32"/>
          <w:lang w:val="zh-CN"/>
        </w:rPr>
      </w:pPr>
      <w:r>
        <w:rPr>
          <w:rFonts w:hint="eastAsia" w:eastAsia="仿宋"/>
          <w:kern w:val="0"/>
          <w:sz w:val="32"/>
          <w:szCs w:val="32"/>
          <w:lang w:eastAsia="zh-Hans"/>
        </w:rPr>
        <w:t>（</w:t>
      </w:r>
      <w:r>
        <w:rPr>
          <w:rFonts w:hint="eastAsia" w:eastAsia="仿宋"/>
          <w:kern w:val="0"/>
          <w:sz w:val="32"/>
          <w:szCs w:val="32"/>
        </w:rPr>
        <w:t>二</w:t>
      </w:r>
      <w:r>
        <w:rPr>
          <w:rFonts w:hint="eastAsia" w:eastAsia="仿宋"/>
          <w:kern w:val="0"/>
          <w:sz w:val="32"/>
          <w:szCs w:val="32"/>
          <w:lang w:eastAsia="zh-Hans"/>
        </w:rPr>
        <w:t>）项目运营服务6个月后并经</w:t>
      </w:r>
      <w:r>
        <w:rPr>
          <w:rFonts w:hint="eastAsia" w:eastAsia="仿宋"/>
          <w:kern w:val="0"/>
          <w:sz w:val="32"/>
          <w:szCs w:val="32"/>
        </w:rPr>
        <w:t>采购人</w:t>
      </w:r>
      <w:r>
        <w:rPr>
          <w:rFonts w:hint="eastAsia" w:eastAsia="仿宋"/>
          <w:kern w:val="0"/>
          <w:sz w:val="32"/>
          <w:szCs w:val="32"/>
          <w:lang w:eastAsia="zh-Hans"/>
        </w:rPr>
        <w:t>确认，且</w:t>
      </w:r>
      <w:r>
        <w:rPr>
          <w:rFonts w:hint="eastAsia" w:eastAsia="仿宋"/>
          <w:kern w:val="0"/>
          <w:sz w:val="32"/>
          <w:szCs w:val="32"/>
        </w:rPr>
        <w:t>供应商</w:t>
      </w:r>
      <w:r>
        <w:rPr>
          <w:rFonts w:hint="eastAsia" w:eastAsia="仿宋"/>
          <w:kern w:val="0"/>
          <w:sz w:val="32"/>
          <w:szCs w:val="32"/>
          <w:lang w:eastAsia="zh-Hans"/>
        </w:rPr>
        <w:t>向</w:t>
      </w:r>
      <w:r>
        <w:rPr>
          <w:rFonts w:hint="eastAsia" w:eastAsia="仿宋"/>
          <w:kern w:val="0"/>
          <w:sz w:val="32"/>
          <w:szCs w:val="32"/>
        </w:rPr>
        <w:t>采购人</w:t>
      </w:r>
      <w:r>
        <w:rPr>
          <w:rFonts w:hint="eastAsia" w:eastAsia="仿宋"/>
          <w:kern w:val="0"/>
          <w:sz w:val="32"/>
          <w:szCs w:val="32"/>
          <w:lang w:eastAsia="zh-Hans"/>
        </w:rPr>
        <w:t>提供符合国家财务规定的发票后，</w:t>
      </w:r>
      <w:r>
        <w:rPr>
          <w:rFonts w:hint="eastAsia" w:eastAsia="仿宋"/>
          <w:kern w:val="0"/>
          <w:sz w:val="32"/>
          <w:szCs w:val="32"/>
        </w:rPr>
        <w:t>采购人</w:t>
      </w:r>
      <w:r>
        <w:rPr>
          <w:rFonts w:hint="eastAsia" w:eastAsia="仿宋"/>
          <w:kern w:val="0"/>
          <w:sz w:val="32"/>
          <w:szCs w:val="32"/>
          <w:lang w:eastAsia="zh-Hans"/>
        </w:rPr>
        <w:t>办理申请付款手续。</w:t>
      </w:r>
      <w:r>
        <w:rPr>
          <w:rFonts w:hint="eastAsia" w:eastAsia="仿宋"/>
          <w:kern w:val="0"/>
          <w:sz w:val="32"/>
          <w:szCs w:val="32"/>
        </w:rPr>
        <w:t>采购人</w:t>
      </w:r>
      <w:r>
        <w:rPr>
          <w:rFonts w:hint="eastAsia" w:eastAsia="仿宋"/>
          <w:kern w:val="0"/>
          <w:sz w:val="32"/>
          <w:szCs w:val="32"/>
          <w:lang w:eastAsia="zh-Hans"/>
        </w:rPr>
        <w:t>收到财政拨付资金后的15个工作日内，将子项目协议总金额余下款项支付给</w:t>
      </w:r>
      <w:r>
        <w:rPr>
          <w:rFonts w:hint="eastAsia" w:eastAsia="仿宋"/>
          <w:kern w:val="0"/>
          <w:sz w:val="32"/>
          <w:szCs w:val="32"/>
        </w:rPr>
        <w:t>供应商</w:t>
      </w:r>
      <w:r>
        <w:rPr>
          <w:rFonts w:hint="eastAsia" w:eastAsia="仿宋"/>
          <w:kern w:val="0"/>
          <w:sz w:val="32"/>
          <w:szCs w:val="32"/>
          <w:lang w:eastAsia="zh-Hans"/>
        </w:rPr>
        <w:t>。</w:t>
      </w:r>
    </w:p>
    <w:sectPr>
      <w:footerReference r:id="rId3" w:type="default"/>
      <w:pgSz w:w="11906" w:h="16838"/>
      <w:pgMar w:top="1135"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imes New Roman (标题 CS)">
    <w:altName w:val="Times New Roman"/>
    <w:panose1 w:val="00000000000000000000"/>
    <w:charset w:val="00"/>
    <w:family w:val="roman"/>
    <w:pitch w:val="default"/>
    <w:sig w:usb0="00000000" w:usb1="00000000" w:usb2="00000009" w:usb3="00000000" w:csb0="000001FF" w:csb1="00000000"/>
  </w:font>
  <w:font w:name="PMingLiU">
    <w:altName w:val="Microsoft JhengHei UI"/>
    <w:panose1 w:val="02010601000101010101"/>
    <w:charset w:val="88"/>
    <w:family w:val="auto"/>
    <w:pitch w:val="default"/>
    <w:sig w:usb0="00000000" w:usb1="00000000" w:usb2="00000010" w:usb3="00000000" w:csb0="001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97472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974725" cy="1479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13</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65pt;width:76.75pt;mso-position-horizontal:center;mso-position-horizontal-relative:margin;mso-wrap-style:none;z-index:251659264;mso-width-relative:page;mso-height-relative:page;" filled="f" stroked="f" coordsize="21600,21600" o:gfxdata="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a6w+NIAAAAEAQAADwAAAAAAAAABACAAAAAiAAAAZHJzL2Rvd25yZXYueG1sUEsBAhQA&#10;FAAAAAgAh07iQAmi8g4xAgAAUwQAAA4AAAAAAAAAAQAgAAAAIQEAAGRycy9lMm9Eb2MueG1sUEsF&#10;BgAAAAAGAAYAWQEAAMQFAAAAAA==&#10;">
              <v:fill on="f" focussize="0,0"/>
              <v:stroke on="f" weight="0.5pt"/>
              <v:imagedata o:title=""/>
              <o:lock v:ext="edit" aspectratio="f"/>
              <v:textbox inset="0mm,0mm,0mm,0mm" style="mso-fit-shape-to-text:t;">
                <w:txbxContent>
                  <w:p>
                    <w:pPr>
                      <w:pStyle w:val="17"/>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13</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833997"/>
    <w:multiLevelType w:val="multilevel"/>
    <w:tmpl w:val="1B83399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0BB3452"/>
    <w:multiLevelType w:val="multilevel"/>
    <w:tmpl w:val="30BB3452"/>
    <w:lvl w:ilvl="0" w:tentative="0">
      <w:start w:val="1"/>
      <w:numFmt w:val="decimal"/>
      <w:lvlText w:val="%1"/>
      <w:lvlJc w:val="left"/>
      <w:pPr>
        <w:ind w:left="432" w:hanging="432"/>
      </w:pPr>
      <w:rPr>
        <w:rFonts w:hint="eastAsia"/>
      </w:rPr>
    </w:lvl>
    <w:lvl w:ilvl="1" w:tentative="0">
      <w:start w:val="1"/>
      <w:numFmt w:val="decimal"/>
      <w:lvlText w:val="%1.%2"/>
      <w:lvlJc w:val="left"/>
      <w:pPr>
        <w:ind w:left="576" w:hanging="576"/>
      </w:pPr>
      <w:rPr>
        <w:rFonts w:ascii="Times New Roman" w:hAnsi="Times New Roman"/>
        <w:b w:val="0"/>
        <w:bCs w:val="0"/>
        <w:i w:val="0"/>
        <w:iCs w:val="0"/>
        <w:caps w:val="0"/>
        <w:smallCaps w:val="0"/>
        <w:strike w:val="0"/>
        <w:dstrike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lvlText w:val="%1.%2.%3"/>
      <w:lvlJc w:val="left"/>
      <w:pPr>
        <w:ind w:left="720" w:hanging="720"/>
      </w:pPr>
      <w:rPr>
        <w:rFonts w:ascii="Times New Roman" w:hAnsi="Times New Roman"/>
        <w:b w:val="0"/>
        <w:bCs w:val="0"/>
        <w:i w:val="0"/>
        <w:iCs w:val="0"/>
        <w:caps w:val="0"/>
        <w:smallCaps w:val="0"/>
        <w:strike w:val="0"/>
        <w:dstrike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5"/>
      <w:lvlText w:val="%1.%2.%3.%4"/>
      <w:lvlJc w:val="left"/>
      <w:pPr>
        <w:ind w:left="864" w:hanging="864"/>
      </w:pPr>
      <w:rPr>
        <w:rFonts w:ascii="Times New Roman" w:hAnsi="Times New Roman"/>
        <w:b w:val="0"/>
        <w:bCs w:val="0"/>
        <w:i w:val="0"/>
        <w:iCs w:val="0"/>
        <w:caps w:val="0"/>
        <w:smallCaps w:val="0"/>
        <w:strike w:val="0"/>
        <w:dstrike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4" w:tentative="0">
      <w:start w:val="1"/>
      <w:numFmt w:val="decimal"/>
      <w:pStyle w:val="6"/>
      <w:lvlText w:val="%1.%2.%3.%4.%5"/>
      <w:lvlJc w:val="left"/>
      <w:pPr>
        <w:ind w:left="1008" w:hanging="1008"/>
      </w:pPr>
      <w:rPr>
        <w:rFonts w:ascii="Times New Roman" w:hAnsi="Times New Roman"/>
        <w:b w:val="0"/>
        <w:bCs w:val="0"/>
        <w:i w:val="0"/>
        <w:iCs w:val="0"/>
        <w:caps w:val="0"/>
        <w:smallCaps w:val="0"/>
        <w:strike w:val="0"/>
        <w:dstrike w:val="0"/>
        <w:vanish w:val="0"/>
        <w:spacing w:val="0"/>
        <w:kern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5" w:tentative="0">
      <w:start w:val="1"/>
      <w:numFmt w:val="decimal"/>
      <w:pStyle w:val="7"/>
      <w:lvlText w:val="%1.%2.%3.%4.%5.%6"/>
      <w:lvlJc w:val="left"/>
      <w:pPr>
        <w:ind w:left="1152" w:hanging="1152"/>
      </w:pPr>
      <w:rPr>
        <w:rFonts w:ascii="Times New Roman" w:hAnsi="Times New Roman"/>
        <w:b w:val="0"/>
        <w:bCs w:val="0"/>
        <w:i w:val="0"/>
        <w:iCs w:val="0"/>
        <w:caps w:val="0"/>
        <w:smallCaps w:val="0"/>
        <w:strike w:val="0"/>
        <w:dstrike w:val="0"/>
        <w:vanish w:val="0"/>
        <w:spacing w:val="0"/>
        <w:kern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6" w:tentative="0">
      <w:start w:val="1"/>
      <w:numFmt w:val="decimal"/>
      <w:pStyle w:val="8"/>
      <w:lvlText w:val="%1.%2.%3.%4.%5.%6.%7"/>
      <w:lvlJc w:val="left"/>
      <w:pPr>
        <w:ind w:left="1296" w:hanging="1296"/>
      </w:pPr>
      <w:rPr>
        <w:rFonts w:ascii="Times New Roman" w:hAnsi="Times New Roman"/>
        <w:b w:val="0"/>
        <w:bCs w:val="0"/>
        <w:i w:val="0"/>
        <w:iCs w:val="0"/>
        <w:caps w:val="0"/>
        <w:smallCaps w:val="0"/>
        <w:strike w:val="0"/>
        <w:dstrike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7" w:tentative="0">
      <w:start w:val="1"/>
      <w:numFmt w:val="decimal"/>
      <w:pStyle w:val="9"/>
      <w:lvlText w:val="%1.%2.%3.%4.%5.%6.%7.%8"/>
      <w:lvlJc w:val="left"/>
      <w:pPr>
        <w:ind w:left="1440" w:hanging="1440"/>
      </w:pPr>
      <w:rPr>
        <w:rFonts w:ascii="Times New Roman" w:hAnsi="Times New Roman"/>
        <w:b w:val="0"/>
        <w:bCs w:val="0"/>
        <w:i w:val="0"/>
        <w:iCs w:val="0"/>
        <w:caps w:val="0"/>
        <w:smallCaps w:val="0"/>
        <w:strike w:val="0"/>
        <w:dstrike w:val="0"/>
        <w:vanish w:val="0"/>
        <w:spacing w:val="0"/>
        <w:kern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8" w:tentative="0">
      <w:start w:val="1"/>
      <w:numFmt w:val="decimal"/>
      <w:lvlText w:val="%1.%2.%3.%4.%5.%6.%7.%8.%9"/>
      <w:lvlJc w:val="left"/>
      <w:pPr>
        <w:ind w:left="1584" w:hanging="1584"/>
      </w:pPr>
      <w:rPr>
        <w:rFonts w:ascii="Times New Roman" w:hAnsi="Times New Roman"/>
        <w:b w:val="0"/>
        <w:bCs w:val="0"/>
        <w:i w:val="0"/>
        <w:iCs w:val="0"/>
        <w:caps w:val="0"/>
        <w:smallCaps w:val="0"/>
        <w:strike w:val="0"/>
        <w:dstrike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abstractNum>
  <w:abstractNum w:abstractNumId="2">
    <w:nsid w:val="7CC73F35"/>
    <w:multiLevelType w:val="multilevel"/>
    <w:tmpl w:val="7CC73F3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zZTE3MzI0MGVlMDMzNGI0ZTZiYjdhMjRjZDc5ZGMifQ=="/>
  </w:docVars>
  <w:rsids>
    <w:rsidRoot w:val="00F56FAA"/>
    <w:rsid w:val="00015EF3"/>
    <w:rsid w:val="00030E4D"/>
    <w:rsid w:val="000343AD"/>
    <w:rsid w:val="00072D57"/>
    <w:rsid w:val="00083B88"/>
    <w:rsid w:val="000C6CFC"/>
    <w:rsid w:val="000E03BB"/>
    <w:rsid w:val="000F5EB7"/>
    <w:rsid w:val="001065E7"/>
    <w:rsid w:val="00124B5C"/>
    <w:rsid w:val="00124E67"/>
    <w:rsid w:val="001271EF"/>
    <w:rsid w:val="00163EC0"/>
    <w:rsid w:val="001B7022"/>
    <w:rsid w:val="001C1DAD"/>
    <w:rsid w:val="001E6A6F"/>
    <w:rsid w:val="00244890"/>
    <w:rsid w:val="00264B51"/>
    <w:rsid w:val="00270539"/>
    <w:rsid w:val="00287F1B"/>
    <w:rsid w:val="002B5091"/>
    <w:rsid w:val="002D04DC"/>
    <w:rsid w:val="002D1D06"/>
    <w:rsid w:val="002E2FB3"/>
    <w:rsid w:val="002F05FA"/>
    <w:rsid w:val="00302E63"/>
    <w:rsid w:val="00302E9A"/>
    <w:rsid w:val="00322604"/>
    <w:rsid w:val="00337445"/>
    <w:rsid w:val="00346E42"/>
    <w:rsid w:val="00361C32"/>
    <w:rsid w:val="003A33C3"/>
    <w:rsid w:val="003F083D"/>
    <w:rsid w:val="004079FD"/>
    <w:rsid w:val="004111FB"/>
    <w:rsid w:val="00485F30"/>
    <w:rsid w:val="004B72BE"/>
    <w:rsid w:val="004F1A03"/>
    <w:rsid w:val="0051625F"/>
    <w:rsid w:val="00560863"/>
    <w:rsid w:val="005963B1"/>
    <w:rsid w:val="005A56FA"/>
    <w:rsid w:val="005A63DA"/>
    <w:rsid w:val="005B573E"/>
    <w:rsid w:val="005D373F"/>
    <w:rsid w:val="0060212B"/>
    <w:rsid w:val="00603943"/>
    <w:rsid w:val="00604B0A"/>
    <w:rsid w:val="006805E7"/>
    <w:rsid w:val="006B0AB0"/>
    <w:rsid w:val="006B3D30"/>
    <w:rsid w:val="006C6A0D"/>
    <w:rsid w:val="006C6BBD"/>
    <w:rsid w:val="006D0B53"/>
    <w:rsid w:val="006E1B26"/>
    <w:rsid w:val="006F3206"/>
    <w:rsid w:val="00725B24"/>
    <w:rsid w:val="00740979"/>
    <w:rsid w:val="00744F23"/>
    <w:rsid w:val="007705D7"/>
    <w:rsid w:val="007A24D0"/>
    <w:rsid w:val="007B4B83"/>
    <w:rsid w:val="007C7821"/>
    <w:rsid w:val="00800459"/>
    <w:rsid w:val="00805283"/>
    <w:rsid w:val="00817154"/>
    <w:rsid w:val="0083278D"/>
    <w:rsid w:val="00876323"/>
    <w:rsid w:val="0088212A"/>
    <w:rsid w:val="008B3A4A"/>
    <w:rsid w:val="008B3ABB"/>
    <w:rsid w:val="008C3A27"/>
    <w:rsid w:val="008C42C4"/>
    <w:rsid w:val="008D4205"/>
    <w:rsid w:val="00924852"/>
    <w:rsid w:val="00932EE0"/>
    <w:rsid w:val="00967F52"/>
    <w:rsid w:val="009F30FF"/>
    <w:rsid w:val="00A0289A"/>
    <w:rsid w:val="00A319AA"/>
    <w:rsid w:val="00A35D8B"/>
    <w:rsid w:val="00A4553D"/>
    <w:rsid w:val="00A6425A"/>
    <w:rsid w:val="00A669A6"/>
    <w:rsid w:val="00AD6BDD"/>
    <w:rsid w:val="00AF0C0F"/>
    <w:rsid w:val="00B14B84"/>
    <w:rsid w:val="00B328CC"/>
    <w:rsid w:val="00B465B5"/>
    <w:rsid w:val="00B50A59"/>
    <w:rsid w:val="00B928E4"/>
    <w:rsid w:val="00BB6472"/>
    <w:rsid w:val="00BB708E"/>
    <w:rsid w:val="00BB7EC9"/>
    <w:rsid w:val="00BC3B04"/>
    <w:rsid w:val="00C03A2A"/>
    <w:rsid w:val="00C11B18"/>
    <w:rsid w:val="00C228D9"/>
    <w:rsid w:val="00C4609D"/>
    <w:rsid w:val="00C51824"/>
    <w:rsid w:val="00C6455C"/>
    <w:rsid w:val="00C65034"/>
    <w:rsid w:val="00C778BB"/>
    <w:rsid w:val="00C92B1E"/>
    <w:rsid w:val="00CB01D1"/>
    <w:rsid w:val="00CF06AB"/>
    <w:rsid w:val="00D20325"/>
    <w:rsid w:val="00D22C51"/>
    <w:rsid w:val="00D2580C"/>
    <w:rsid w:val="00D35427"/>
    <w:rsid w:val="00D374D6"/>
    <w:rsid w:val="00D42008"/>
    <w:rsid w:val="00D42DA7"/>
    <w:rsid w:val="00DA603D"/>
    <w:rsid w:val="00DA632D"/>
    <w:rsid w:val="00DC6CF6"/>
    <w:rsid w:val="00DF75A6"/>
    <w:rsid w:val="00E01B2C"/>
    <w:rsid w:val="00E022BD"/>
    <w:rsid w:val="00E40357"/>
    <w:rsid w:val="00E4523C"/>
    <w:rsid w:val="00E72559"/>
    <w:rsid w:val="00E81D20"/>
    <w:rsid w:val="00E9341F"/>
    <w:rsid w:val="00EA4859"/>
    <w:rsid w:val="00EC643C"/>
    <w:rsid w:val="00EE2265"/>
    <w:rsid w:val="00EE6B80"/>
    <w:rsid w:val="00EF4A2B"/>
    <w:rsid w:val="00EF5F70"/>
    <w:rsid w:val="00F31C48"/>
    <w:rsid w:val="00F37BF6"/>
    <w:rsid w:val="00F52491"/>
    <w:rsid w:val="00F56FAA"/>
    <w:rsid w:val="00F576EA"/>
    <w:rsid w:val="00F87BBD"/>
    <w:rsid w:val="00FA1AF0"/>
    <w:rsid w:val="00FA410C"/>
    <w:rsid w:val="00FD34A4"/>
    <w:rsid w:val="00FE6394"/>
    <w:rsid w:val="00FF652F"/>
    <w:rsid w:val="034F2928"/>
    <w:rsid w:val="04406715"/>
    <w:rsid w:val="04950198"/>
    <w:rsid w:val="057B3CE3"/>
    <w:rsid w:val="05AF1DE8"/>
    <w:rsid w:val="066D1855"/>
    <w:rsid w:val="06841C73"/>
    <w:rsid w:val="08252677"/>
    <w:rsid w:val="08381575"/>
    <w:rsid w:val="08A444F9"/>
    <w:rsid w:val="09537C12"/>
    <w:rsid w:val="09B675FB"/>
    <w:rsid w:val="0A452B4D"/>
    <w:rsid w:val="0A8B6F85"/>
    <w:rsid w:val="0AF406AA"/>
    <w:rsid w:val="0C510146"/>
    <w:rsid w:val="0D172C2E"/>
    <w:rsid w:val="0E202D0A"/>
    <w:rsid w:val="0EDD37C3"/>
    <w:rsid w:val="0F750D17"/>
    <w:rsid w:val="0F9D37EF"/>
    <w:rsid w:val="10EB3C35"/>
    <w:rsid w:val="1112035F"/>
    <w:rsid w:val="113D348C"/>
    <w:rsid w:val="125F2C05"/>
    <w:rsid w:val="128C63AB"/>
    <w:rsid w:val="137443A7"/>
    <w:rsid w:val="143401EA"/>
    <w:rsid w:val="154D1F34"/>
    <w:rsid w:val="172D21F2"/>
    <w:rsid w:val="17A62687"/>
    <w:rsid w:val="17CF2D50"/>
    <w:rsid w:val="18CD566B"/>
    <w:rsid w:val="191735B5"/>
    <w:rsid w:val="1A047C39"/>
    <w:rsid w:val="1A581F3D"/>
    <w:rsid w:val="1A9C3C14"/>
    <w:rsid w:val="1ADF05F0"/>
    <w:rsid w:val="1ADF18A8"/>
    <w:rsid w:val="1B6034CD"/>
    <w:rsid w:val="1BA64C58"/>
    <w:rsid w:val="1BCA55E1"/>
    <w:rsid w:val="1BF91202"/>
    <w:rsid w:val="1C5E03C0"/>
    <w:rsid w:val="1D296846"/>
    <w:rsid w:val="1D4B48E9"/>
    <w:rsid w:val="1E0E0074"/>
    <w:rsid w:val="1E480D86"/>
    <w:rsid w:val="1F5A2386"/>
    <w:rsid w:val="20085831"/>
    <w:rsid w:val="216401D4"/>
    <w:rsid w:val="218B7201"/>
    <w:rsid w:val="21D25BEB"/>
    <w:rsid w:val="228E277C"/>
    <w:rsid w:val="24415FFD"/>
    <w:rsid w:val="25DA1E0B"/>
    <w:rsid w:val="25EE7945"/>
    <w:rsid w:val="267D34BC"/>
    <w:rsid w:val="28012628"/>
    <w:rsid w:val="2A6460D6"/>
    <w:rsid w:val="2A9D5CE7"/>
    <w:rsid w:val="2AB6665E"/>
    <w:rsid w:val="2ACA36A2"/>
    <w:rsid w:val="2BE70F45"/>
    <w:rsid w:val="2CEF4003"/>
    <w:rsid w:val="2D2D7D42"/>
    <w:rsid w:val="2E07302A"/>
    <w:rsid w:val="2E1B42C2"/>
    <w:rsid w:val="2ECB483C"/>
    <w:rsid w:val="30FF31ED"/>
    <w:rsid w:val="32613CC6"/>
    <w:rsid w:val="32903869"/>
    <w:rsid w:val="33363678"/>
    <w:rsid w:val="334239C4"/>
    <w:rsid w:val="338958CA"/>
    <w:rsid w:val="339C48A2"/>
    <w:rsid w:val="3409049A"/>
    <w:rsid w:val="35102A94"/>
    <w:rsid w:val="35754B3B"/>
    <w:rsid w:val="35CA61C6"/>
    <w:rsid w:val="369F6B14"/>
    <w:rsid w:val="36D349AB"/>
    <w:rsid w:val="36FF11AE"/>
    <w:rsid w:val="3A193C0C"/>
    <w:rsid w:val="3AC15743"/>
    <w:rsid w:val="3AD96960"/>
    <w:rsid w:val="3B164910"/>
    <w:rsid w:val="3B792FB4"/>
    <w:rsid w:val="3BE458B3"/>
    <w:rsid w:val="3DF605BA"/>
    <w:rsid w:val="3ECA0C55"/>
    <w:rsid w:val="40E30C0C"/>
    <w:rsid w:val="411A73CB"/>
    <w:rsid w:val="41552B17"/>
    <w:rsid w:val="425E06FF"/>
    <w:rsid w:val="432F4EB5"/>
    <w:rsid w:val="436E3B7C"/>
    <w:rsid w:val="447E6BF8"/>
    <w:rsid w:val="458F5117"/>
    <w:rsid w:val="45B16C44"/>
    <w:rsid w:val="45C739E4"/>
    <w:rsid w:val="493C52F8"/>
    <w:rsid w:val="49BE1638"/>
    <w:rsid w:val="49CC6001"/>
    <w:rsid w:val="4A266543"/>
    <w:rsid w:val="4A407F7D"/>
    <w:rsid w:val="4AE02E2A"/>
    <w:rsid w:val="4AE87FD5"/>
    <w:rsid w:val="4CF163AF"/>
    <w:rsid w:val="4D1F52F9"/>
    <w:rsid w:val="4F5135E4"/>
    <w:rsid w:val="4F5859E5"/>
    <w:rsid w:val="4FFB372D"/>
    <w:rsid w:val="500D0124"/>
    <w:rsid w:val="50425F91"/>
    <w:rsid w:val="513952EE"/>
    <w:rsid w:val="51896FB1"/>
    <w:rsid w:val="51902138"/>
    <w:rsid w:val="520F2C90"/>
    <w:rsid w:val="52391DA6"/>
    <w:rsid w:val="52F94054"/>
    <w:rsid w:val="545649B3"/>
    <w:rsid w:val="54687D1A"/>
    <w:rsid w:val="56400A20"/>
    <w:rsid w:val="56D3142F"/>
    <w:rsid w:val="56EB1D70"/>
    <w:rsid w:val="57B00A08"/>
    <w:rsid w:val="58A923A7"/>
    <w:rsid w:val="58C76844"/>
    <w:rsid w:val="5931634A"/>
    <w:rsid w:val="59582D2E"/>
    <w:rsid w:val="5A10596A"/>
    <w:rsid w:val="5A713111"/>
    <w:rsid w:val="5B1117AC"/>
    <w:rsid w:val="5B1B3419"/>
    <w:rsid w:val="5BF63CC5"/>
    <w:rsid w:val="5BFF4433"/>
    <w:rsid w:val="5E1F68D7"/>
    <w:rsid w:val="5E7F1F2C"/>
    <w:rsid w:val="5F07564B"/>
    <w:rsid w:val="5FB4425C"/>
    <w:rsid w:val="60B831F1"/>
    <w:rsid w:val="61462DFB"/>
    <w:rsid w:val="623F09A5"/>
    <w:rsid w:val="62661EAE"/>
    <w:rsid w:val="62BC7E8A"/>
    <w:rsid w:val="630A00B6"/>
    <w:rsid w:val="64194DB8"/>
    <w:rsid w:val="642A08DD"/>
    <w:rsid w:val="643C59BD"/>
    <w:rsid w:val="64BF2583"/>
    <w:rsid w:val="64D06978"/>
    <w:rsid w:val="65306E8B"/>
    <w:rsid w:val="654E5610"/>
    <w:rsid w:val="67010850"/>
    <w:rsid w:val="675D12BD"/>
    <w:rsid w:val="67D960AC"/>
    <w:rsid w:val="68256F83"/>
    <w:rsid w:val="68297553"/>
    <w:rsid w:val="68EB103F"/>
    <w:rsid w:val="698A04ED"/>
    <w:rsid w:val="6A39185B"/>
    <w:rsid w:val="6B5234EB"/>
    <w:rsid w:val="6BFE1136"/>
    <w:rsid w:val="6CB72366"/>
    <w:rsid w:val="6D3C6227"/>
    <w:rsid w:val="6D3E470F"/>
    <w:rsid w:val="6EFC2E2E"/>
    <w:rsid w:val="6F4D3E4C"/>
    <w:rsid w:val="6F5C1B63"/>
    <w:rsid w:val="7005724F"/>
    <w:rsid w:val="710220D6"/>
    <w:rsid w:val="71BD4F2C"/>
    <w:rsid w:val="72433DDE"/>
    <w:rsid w:val="73F82D3F"/>
    <w:rsid w:val="740D6981"/>
    <w:rsid w:val="747834EA"/>
    <w:rsid w:val="748527D2"/>
    <w:rsid w:val="748B70E8"/>
    <w:rsid w:val="759C3E88"/>
    <w:rsid w:val="77A03982"/>
    <w:rsid w:val="78D85046"/>
    <w:rsid w:val="790908D6"/>
    <w:rsid w:val="7BE74AEF"/>
    <w:rsid w:val="7C765821"/>
    <w:rsid w:val="7C80108C"/>
    <w:rsid w:val="7DE21548"/>
    <w:rsid w:val="7E4535B2"/>
    <w:rsid w:val="7E8F7437"/>
    <w:rsid w:val="7F0D4FAF"/>
    <w:rsid w:val="7F5016E1"/>
    <w:rsid w:val="7FBD7C08"/>
    <w:rsid w:val="BF7D5CF8"/>
    <w:rsid w:val="DFFFCB88"/>
    <w:rsid w:val="FDFE8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0" w:semiHidden="0"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cs="Times New Roman" w:eastAsiaTheme="minorEastAsia"/>
      <w:kern w:val="2"/>
      <w:sz w:val="21"/>
      <w:szCs w:val="21"/>
      <w:lang w:val="en-US" w:eastAsia="zh-CN" w:bidi="ar-SA"/>
    </w:rPr>
  </w:style>
  <w:style w:type="paragraph" w:styleId="3">
    <w:name w:val="heading 1"/>
    <w:basedOn w:val="1"/>
    <w:next w:val="1"/>
    <w:qFormat/>
    <w:uiPriority w:val="9"/>
    <w:pPr>
      <w:keepNext/>
      <w:keepLines/>
      <w:spacing w:line="700" w:lineRule="exact"/>
      <w:jc w:val="center"/>
      <w:outlineLvl w:val="0"/>
    </w:pPr>
    <w:rPr>
      <w:rFonts w:eastAsia="方正小标宋简体"/>
      <w:kern w:val="44"/>
      <w:sz w:val="44"/>
    </w:rPr>
  </w:style>
  <w:style w:type="paragraph" w:styleId="4">
    <w:name w:val="heading 2"/>
    <w:basedOn w:val="1"/>
    <w:next w:val="1"/>
    <w:link w:val="38"/>
    <w:qFormat/>
    <w:uiPriority w:val="9"/>
    <w:pPr>
      <w:keepNext/>
      <w:keepLines/>
      <w:spacing w:before="260" w:after="260" w:line="416" w:lineRule="auto"/>
      <w:outlineLvl w:val="1"/>
    </w:pPr>
    <w:rPr>
      <w:rFonts w:ascii="Cambria" w:hAnsi="Cambria" w:eastAsia="宋体"/>
      <w:b/>
      <w:bCs/>
      <w:sz w:val="32"/>
      <w:szCs w:val="32"/>
    </w:rPr>
  </w:style>
  <w:style w:type="paragraph" w:styleId="5">
    <w:name w:val="heading 4"/>
    <w:basedOn w:val="1"/>
    <w:next w:val="1"/>
    <w:qFormat/>
    <w:uiPriority w:val="0"/>
    <w:pPr>
      <w:keepNext/>
      <w:keepLines/>
      <w:numPr>
        <w:ilvl w:val="3"/>
        <w:numId w:val="1"/>
      </w:numPr>
      <w:adjustRightInd w:val="0"/>
      <w:snapToGrid w:val="0"/>
      <w:spacing w:before="240" w:beforeLines="100" w:after="240" w:afterLines="100"/>
      <w:ind w:firstLine="0"/>
      <w:outlineLvl w:val="3"/>
    </w:pPr>
    <w:rPr>
      <w:rFonts w:eastAsia="黑体" w:cs="Times New Roman (标题 CS)"/>
      <w:bCs/>
      <w:sz w:val="28"/>
      <w:szCs w:val="28"/>
    </w:rPr>
  </w:style>
  <w:style w:type="paragraph" w:styleId="6">
    <w:name w:val="heading 5"/>
    <w:basedOn w:val="1"/>
    <w:next w:val="1"/>
    <w:qFormat/>
    <w:uiPriority w:val="0"/>
    <w:pPr>
      <w:keepNext/>
      <w:keepLines/>
      <w:numPr>
        <w:ilvl w:val="4"/>
        <w:numId w:val="1"/>
      </w:numPr>
      <w:spacing w:before="240" w:beforeLines="100" w:after="240" w:afterLines="100"/>
      <w:ind w:firstLine="0"/>
      <w:outlineLvl w:val="4"/>
    </w:pPr>
    <w:rPr>
      <w:rFonts w:eastAsia="黑体"/>
      <w14:scene3d>
        <w14:lightRig w14:rig="threePt" w14:dir="t">
          <w14:rot w14:lat="0" w14:lon="0" w14:rev="0"/>
        </w14:lightRig>
      </w14:scene3d>
    </w:rPr>
  </w:style>
  <w:style w:type="paragraph" w:styleId="7">
    <w:name w:val="heading 6"/>
    <w:basedOn w:val="1"/>
    <w:next w:val="1"/>
    <w:qFormat/>
    <w:uiPriority w:val="0"/>
    <w:pPr>
      <w:keepNext/>
      <w:keepLines/>
      <w:numPr>
        <w:ilvl w:val="5"/>
        <w:numId w:val="1"/>
      </w:numPr>
      <w:tabs>
        <w:tab w:val="left" w:pos="1152"/>
      </w:tabs>
      <w:spacing w:before="240" w:beforeLines="100" w:after="240" w:afterLines="100"/>
      <w:ind w:firstLine="0"/>
      <w:outlineLvl w:val="5"/>
    </w:pPr>
    <w:rPr>
      <w:rFonts w:eastAsia="黑体" w:cstheme="majorBidi"/>
      <w14:scene3d>
        <w14:lightRig w14:rig="threePt" w14:dir="t">
          <w14:rot w14:lat="0" w14:lon="0" w14:rev="0"/>
        </w14:lightRig>
      </w14:scene3d>
    </w:rPr>
  </w:style>
  <w:style w:type="paragraph" w:styleId="8">
    <w:name w:val="heading 7"/>
    <w:basedOn w:val="1"/>
    <w:next w:val="1"/>
    <w:qFormat/>
    <w:uiPriority w:val="0"/>
    <w:pPr>
      <w:keepNext/>
      <w:keepLines/>
      <w:numPr>
        <w:ilvl w:val="6"/>
        <w:numId w:val="1"/>
      </w:numPr>
      <w:tabs>
        <w:tab w:val="left" w:pos="1296"/>
      </w:tabs>
      <w:spacing w:before="240" w:after="240"/>
      <w:ind w:firstLine="0"/>
      <w:outlineLvl w:val="6"/>
    </w:pPr>
    <w:rPr>
      <w:rFonts w:eastAsia="黑体"/>
      <w:bCs/>
    </w:rPr>
  </w:style>
  <w:style w:type="paragraph" w:styleId="9">
    <w:name w:val="heading 8"/>
    <w:basedOn w:val="1"/>
    <w:next w:val="1"/>
    <w:qFormat/>
    <w:uiPriority w:val="0"/>
    <w:pPr>
      <w:keepNext/>
      <w:keepLines/>
      <w:numPr>
        <w:ilvl w:val="7"/>
        <w:numId w:val="1"/>
      </w:numPr>
      <w:tabs>
        <w:tab w:val="left" w:pos="1440"/>
      </w:tabs>
      <w:adjustRightInd w:val="0"/>
      <w:snapToGrid w:val="0"/>
      <w:spacing w:before="240" w:after="240"/>
      <w:ind w:firstLine="0"/>
      <w:outlineLvl w:val="7"/>
    </w:pPr>
    <w:rPr>
      <w:rFonts w:eastAsia="黑体" w:cstheme="majorBidi"/>
      <w14:scene3d>
        <w14:lightRig w14:rig="threePt" w14:dir="t">
          <w14:rot w14:lat="0" w14:lon="0" w14:rev="0"/>
        </w14:lightRig>
      </w14:scene3d>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39"/>
    <w:qFormat/>
    <w:uiPriority w:val="0"/>
    <w:pPr>
      <w:ind w:firstLine="420" w:firstLineChars="200"/>
    </w:pPr>
  </w:style>
  <w:style w:type="paragraph" w:styleId="10">
    <w:name w:val="caption"/>
    <w:basedOn w:val="1"/>
    <w:next w:val="1"/>
    <w:qFormat/>
    <w:uiPriority w:val="35"/>
    <w:pPr>
      <w:spacing w:after="163" w:afterLines="50"/>
      <w:jc w:val="center"/>
    </w:pPr>
    <w:rPr>
      <w:rFonts w:ascii="宋体" w:hAnsi="宋体"/>
    </w:rPr>
  </w:style>
  <w:style w:type="paragraph" w:styleId="11">
    <w:name w:val="Body Text"/>
    <w:basedOn w:val="1"/>
    <w:next w:val="12"/>
    <w:link w:val="35"/>
    <w:unhideWhenUsed/>
    <w:qFormat/>
    <w:uiPriority w:val="99"/>
    <w:pPr>
      <w:spacing w:after="120"/>
    </w:pPr>
  </w:style>
  <w:style w:type="paragraph" w:styleId="12">
    <w:name w:val="Body Text First Indent"/>
    <w:basedOn w:val="11"/>
    <w:unhideWhenUsed/>
    <w:qFormat/>
    <w:uiPriority w:val="0"/>
    <w:pPr>
      <w:ind w:firstLine="420" w:firstLineChars="100"/>
    </w:pPr>
  </w:style>
  <w:style w:type="paragraph" w:styleId="13">
    <w:name w:val="Body Text Indent"/>
    <w:basedOn w:val="1"/>
    <w:unhideWhenUsed/>
    <w:qFormat/>
    <w:uiPriority w:val="0"/>
    <w:pPr>
      <w:spacing w:after="120"/>
      <w:ind w:left="420" w:leftChars="200"/>
    </w:pPr>
  </w:style>
  <w:style w:type="paragraph" w:styleId="14">
    <w:name w:val="Plain Text"/>
    <w:basedOn w:val="1"/>
    <w:link w:val="40"/>
    <w:qFormat/>
    <w:uiPriority w:val="0"/>
    <w:rPr>
      <w:rFonts w:ascii="宋体" w:hAnsi="Courier New" w:eastAsia="宋体"/>
      <w:kern w:val="0"/>
      <w:sz w:val="20"/>
      <w:szCs w:val="20"/>
    </w:rPr>
  </w:style>
  <w:style w:type="paragraph" w:styleId="15">
    <w:name w:val="Date"/>
    <w:basedOn w:val="1"/>
    <w:next w:val="1"/>
    <w:link w:val="37"/>
    <w:semiHidden/>
    <w:unhideWhenUsed/>
    <w:qFormat/>
    <w:uiPriority w:val="99"/>
    <w:pPr>
      <w:ind w:left="100" w:leftChars="2500"/>
    </w:pPr>
  </w:style>
  <w:style w:type="paragraph" w:styleId="16">
    <w:name w:val="Balloon Text"/>
    <w:basedOn w:val="1"/>
    <w:link w:val="36"/>
    <w:semiHidden/>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rFonts w:asciiTheme="minorHAnsi" w:hAnsiTheme="minorHAnsi" w:cstheme="minorBidi"/>
      <w:sz w:val="18"/>
      <w:szCs w:val="18"/>
    </w:rPr>
  </w:style>
  <w:style w:type="paragraph" w:styleId="18">
    <w:name w:val="header"/>
    <w:basedOn w:val="1"/>
    <w:link w:val="26"/>
    <w:unhideWhenUsed/>
    <w:qFormat/>
    <w:uiPriority w:val="99"/>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19">
    <w:name w:val="toc 2"/>
    <w:basedOn w:val="1"/>
    <w:next w:val="1"/>
    <w:qFormat/>
    <w:uiPriority w:val="39"/>
    <w:pPr>
      <w:tabs>
        <w:tab w:val="left" w:pos="1080"/>
        <w:tab w:val="right" w:leader="dot" w:pos="8505"/>
      </w:tabs>
    </w:pPr>
    <w:rPr>
      <w:rFonts w:ascii="宋体" w:hAnsi="宋体" w:eastAsia="宋体"/>
      <w:bCs/>
      <w:color w:val="000000"/>
    </w:rPr>
  </w:style>
  <w:style w:type="paragraph" w:styleId="20">
    <w:name w:val="Body Text First Indent 2"/>
    <w:basedOn w:val="13"/>
    <w:unhideWhenUsed/>
    <w:qFormat/>
    <w:uiPriority w:val="0"/>
    <w:pPr>
      <w:ind w:firstLine="420"/>
    </w:p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customStyle="1" w:styleId="26">
    <w:name w:val="页眉 Char"/>
    <w:basedOn w:val="23"/>
    <w:link w:val="18"/>
    <w:qFormat/>
    <w:uiPriority w:val="99"/>
    <w:rPr>
      <w:sz w:val="18"/>
      <w:szCs w:val="18"/>
    </w:rPr>
  </w:style>
  <w:style w:type="character" w:customStyle="1" w:styleId="27">
    <w:name w:val="页脚 Char"/>
    <w:basedOn w:val="23"/>
    <w:link w:val="17"/>
    <w:qFormat/>
    <w:uiPriority w:val="99"/>
    <w:rPr>
      <w:sz w:val="18"/>
      <w:szCs w:val="18"/>
    </w:rPr>
  </w:style>
  <w:style w:type="paragraph" w:customStyle="1" w:styleId="28">
    <w:name w:val="Body text|21"/>
    <w:basedOn w:val="1"/>
    <w:link w:val="30"/>
    <w:qFormat/>
    <w:uiPriority w:val="0"/>
    <w:pPr>
      <w:shd w:val="clear" w:color="auto" w:fill="FFFFFF"/>
      <w:spacing w:before="300" w:line="605" w:lineRule="exact"/>
      <w:jc w:val="distribute"/>
    </w:pPr>
    <w:rPr>
      <w:rFonts w:ascii="PMingLiU" w:hAnsi="PMingLiU" w:eastAsia="PMingLiU" w:cs="PMingLiU"/>
      <w:spacing w:val="30"/>
      <w:sz w:val="30"/>
      <w:szCs w:val="30"/>
    </w:rPr>
  </w:style>
  <w:style w:type="character" w:customStyle="1" w:styleId="29">
    <w:name w:val="Body text|2 + Spacing 4 pt"/>
    <w:basedOn w:val="30"/>
    <w:unhideWhenUsed/>
    <w:qFormat/>
    <w:uiPriority w:val="0"/>
    <w:rPr>
      <w:rFonts w:ascii="PMingLiU" w:hAnsi="PMingLiU" w:eastAsia="PMingLiU" w:cs="PMingLiU"/>
      <w:color w:val="000000"/>
      <w:spacing w:val="90"/>
      <w:w w:val="100"/>
      <w:position w:val="0"/>
      <w:sz w:val="30"/>
      <w:szCs w:val="30"/>
      <w:u w:val="none"/>
      <w:lang w:val="en-US" w:eastAsia="en-US" w:bidi="en-US"/>
    </w:rPr>
  </w:style>
  <w:style w:type="character" w:customStyle="1" w:styleId="30">
    <w:name w:val="Body text|2_"/>
    <w:basedOn w:val="23"/>
    <w:link w:val="28"/>
    <w:qFormat/>
    <w:uiPriority w:val="0"/>
    <w:rPr>
      <w:rFonts w:ascii="PMingLiU" w:hAnsi="PMingLiU" w:eastAsia="PMingLiU" w:cs="PMingLiU"/>
      <w:spacing w:val="30"/>
      <w:sz w:val="30"/>
      <w:szCs w:val="30"/>
      <w:u w:val="none"/>
    </w:rPr>
  </w:style>
  <w:style w:type="character" w:customStyle="1" w:styleId="31">
    <w:name w:val="Body text|2 + Spacing 0 pt"/>
    <w:basedOn w:val="30"/>
    <w:unhideWhenUsed/>
    <w:qFormat/>
    <w:uiPriority w:val="0"/>
    <w:rPr>
      <w:rFonts w:ascii="PMingLiU" w:hAnsi="PMingLiU" w:eastAsia="PMingLiU" w:cs="PMingLiU"/>
      <w:color w:val="000000"/>
      <w:spacing w:val="0"/>
      <w:w w:val="100"/>
      <w:position w:val="0"/>
      <w:sz w:val="30"/>
      <w:szCs w:val="30"/>
      <w:u w:val="none"/>
      <w:lang w:val="en-US" w:eastAsia="en-US" w:bidi="en-US"/>
    </w:rPr>
  </w:style>
  <w:style w:type="paragraph" w:customStyle="1" w:styleId="32">
    <w:name w:val="List Paragraph1"/>
    <w:basedOn w:val="1"/>
    <w:qFormat/>
    <w:uiPriority w:val="99"/>
    <w:pPr>
      <w:ind w:firstLine="420" w:firstLineChars="200"/>
    </w:pPr>
    <w:rPr>
      <w:rFonts w:asciiTheme="minorHAnsi" w:hAnsiTheme="minorHAnsi" w:cstheme="minorBidi"/>
      <w:szCs w:val="22"/>
    </w:rPr>
  </w:style>
  <w:style w:type="paragraph" w:customStyle="1" w:styleId="33">
    <w:name w:val="列出段落1"/>
    <w:basedOn w:val="1"/>
    <w:qFormat/>
    <w:uiPriority w:val="34"/>
    <w:pPr>
      <w:ind w:firstLine="420" w:firstLineChars="200"/>
    </w:pPr>
    <w:rPr>
      <w:rFonts w:cstheme="minorBidi"/>
      <w:szCs w:val="22"/>
    </w:rPr>
  </w:style>
  <w:style w:type="paragraph" w:styleId="34">
    <w:name w:val="List Paragraph"/>
    <w:basedOn w:val="1"/>
    <w:unhideWhenUsed/>
    <w:qFormat/>
    <w:uiPriority w:val="34"/>
    <w:pPr>
      <w:ind w:firstLine="420" w:firstLineChars="200"/>
    </w:pPr>
    <w:rPr>
      <w:rFonts w:eastAsia="宋体"/>
      <w:szCs w:val="24"/>
    </w:rPr>
  </w:style>
  <w:style w:type="character" w:customStyle="1" w:styleId="35">
    <w:name w:val="正文文本 Char"/>
    <w:basedOn w:val="23"/>
    <w:link w:val="11"/>
    <w:qFormat/>
    <w:uiPriority w:val="99"/>
    <w:rPr>
      <w:rFonts w:ascii="Times New Roman" w:hAnsi="Times New Roman" w:cs="Times New Roman"/>
      <w:kern w:val="2"/>
      <w:sz w:val="21"/>
      <w:szCs w:val="21"/>
    </w:rPr>
  </w:style>
  <w:style w:type="character" w:customStyle="1" w:styleId="36">
    <w:name w:val="批注框文本 Char"/>
    <w:basedOn w:val="23"/>
    <w:link w:val="16"/>
    <w:semiHidden/>
    <w:qFormat/>
    <w:uiPriority w:val="99"/>
    <w:rPr>
      <w:rFonts w:eastAsiaTheme="minorEastAsia"/>
      <w:kern w:val="2"/>
      <w:sz w:val="18"/>
      <w:szCs w:val="18"/>
    </w:rPr>
  </w:style>
  <w:style w:type="character" w:customStyle="1" w:styleId="37">
    <w:name w:val="日期 Char"/>
    <w:basedOn w:val="23"/>
    <w:link w:val="15"/>
    <w:semiHidden/>
    <w:qFormat/>
    <w:uiPriority w:val="99"/>
    <w:rPr>
      <w:rFonts w:eastAsiaTheme="minorEastAsia"/>
      <w:kern w:val="2"/>
      <w:sz w:val="21"/>
      <w:szCs w:val="21"/>
    </w:rPr>
  </w:style>
  <w:style w:type="character" w:customStyle="1" w:styleId="38">
    <w:name w:val="标题 2 Char"/>
    <w:basedOn w:val="23"/>
    <w:link w:val="4"/>
    <w:qFormat/>
    <w:uiPriority w:val="9"/>
    <w:rPr>
      <w:rFonts w:ascii="Cambria" w:hAnsi="Cambria"/>
      <w:b/>
      <w:bCs/>
      <w:kern w:val="2"/>
      <w:sz w:val="32"/>
      <w:szCs w:val="32"/>
    </w:rPr>
  </w:style>
  <w:style w:type="character" w:customStyle="1" w:styleId="39">
    <w:name w:val="正文缩进 Char"/>
    <w:link w:val="2"/>
    <w:qFormat/>
    <w:uiPriority w:val="0"/>
    <w:rPr>
      <w:rFonts w:eastAsiaTheme="minorEastAsia"/>
      <w:kern w:val="2"/>
      <w:sz w:val="21"/>
      <w:szCs w:val="21"/>
    </w:rPr>
  </w:style>
  <w:style w:type="character" w:customStyle="1" w:styleId="40">
    <w:name w:val="纯文本 Char1"/>
    <w:link w:val="14"/>
    <w:qFormat/>
    <w:uiPriority w:val="0"/>
    <w:rPr>
      <w:rFonts w:ascii="宋体" w:hAnsi="Courier New"/>
    </w:rPr>
  </w:style>
  <w:style w:type="character" w:customStyle="1" w:styleId="41">
    <w:name w:val="纯文本 Char"/>
    <w:basedOn w:val="23"/>
    <w:qFormat/>
    <w:uiPriority w:val="0"/>
    <w:rPr>
      <w:rFonts w:ascii="宋体" w:hAnsi="Courier New" w:cs="Courier New"/>
      <w:kern w:val="2"/>
      <w:sz w:val="21"/>
      <w:szCs w:val="21"/>
    </w:rPr>
  </w:style>
  <w:style w:type="character" w:customStyle="1" w:styleId="42">
    <w:name w:val="para"/>
    <w:basedOn w:val="23"/>
    <w:qFormat/>
    <w:uiPriority w:val="0"/>
  </w:style>
  <w:style w:type="paragraph" w:customStyle="1" w:styleId="43">
    <w:name w:val="方案正文"/>
    <w:basedOn w:val="1"/>
    <w:next w:val="11"/>
    <w:qFormat/>
    <w:uiPriority w:val="0"/>
    <w:pPr>
      <w:adjustRightInd w:val="0"/>
      <w:snapToGrid w:val="0"/>
      <w:ind w:firstLine="480"/>
    </w:pPr>
    <w:rPr>
      <w:rFonts w:cs="宋体"/>
      <w:color w:val="000000"/>
    </w:rPr>
  </w:style>
  <w:style w:type="paragraph" w:customStyle="1" w:styleId="44">
    <w:name w:val="【正文】"/>
    <w:basedOn w:val="1"/>
    <w:qFormat/>
    <w:uiPriority w:val="0"/>
    <w:rPr>
      <w:rFonts w:ascii="Calibri" w:hAnsi="Calibri" w:cs="黑体"/>
      <w:szCs w:val="22"/>
    </w:rPr>
  </w:style>
  <w:style w:type="paragraph" w:customStyle="1" w:styleId="45">
    <w:name w:val="段落"/>
    <w:basedOn w:val="1"/>
    <w:qFormat/>
    <w:uiPriority w:val="0"/>
    <w:pPr>
      <w:widowControl/>
      <w:spacing w:afterLines="50" w:line="360" w:lineRule="auto"/>
      <w:ind w:firstLine="200" w:firstLineChars="200"/>
      <w:jc w:val="left"/>
    </w:pPr>
    <w:rPr>
      <w:rFonts w:ascii="宋体" w:hAnsi="Calibri"/>
      <w:kern w:val="0"/>
      <w:sz w:val="28"/>
      <w:szCs w:val="28"/>
      <w:shd w:val="clear" w:color="auto" w:fill="FFFFFF"/>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880</Words>
  <Characters>5020</Characters>
  <Lines>41</Lines>
  <Paragraphs>11</Paragraphs>
  <TotalTime>2</TotalTime>
  <ScaleCrop>false</ScaleCrop>
  <LinksUpToDate>false</LinksUpToDate>
  <CharactersWithSpaces>5889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2023-09-19T06:51:00Z</dcterms:created>
  <dc:creator>xiaowei3@gd.cmcc</dc:creator>
  <cp:lastModifiedBy>Jhon</cp:lastModifiedBy>
  <cp:lastPrinted>2023-08-16T01:33:00Z</cp:lastPrinted>
  <dcterms:modified xsi:type="dcterms:W3CDTF">2023-10-23T02:05:49Z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A7A654DB131D438FA3836913DC43DEC8</vt:lpwstr>
  </property>
</Properties>
</file>