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hint="eastAsia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开平市</w:t>
      </w:r>
      <w:r>
        <w:rPr>
          <w:rStyle w:val="10"/>
          <w:rFonts w:hint="eastAsia"/>
          <w:sz w:val="32"/>
          <w:szCs w:val="32"/>
          <w:lang w:val="en-US" w:eastAsia="zh-CN"/>
        </w:rPr>
        <w:t>燕山大富地块</w:t>
      </w:r>
      <w:r>
        <w:rPr>
          <w:rStyle w:val="10"/>
          <w:rFonts w:hint="eastAsia"/>
          <w:sz w:val="32"/>
          <w:szCs w:val="32"/>
          <w:lang w:eastAsia="zh-CN"/>
        </w:rPr>
        <w:t>控制性详细规划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hint="eastAsia"/>
          <w:sz w:val="32"/>
          <w:szCs w:val="32"/>
        </w:rPr>
      </w:pPr>
      <w:r>
        <w:rPr>
          <w:rStyle w:val="10"/>
          <w:rFonts w:hint="eastAsia"/>
          <w:sz w:val="32"/>
          <w:szCs w:val="32"/>
        </w:rPr>
        <w:t>（方案）公示简介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jc w:val="center"/>
        <w:rPr>
          <w:rStyle w:val="10"/>
          <w:rFonts w:hint="eastAsia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一、规划范围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规划范围：本项目位于开平市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三埠街道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的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南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部，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与台山接壤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，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北接中阳高速，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面积共约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5.38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公顷（约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80.7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亩）。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  <w:highlight w:val="none"/>
        </w:rPr>
      </w:pPr>
      <w:r>
        <w:rPr>
          <w:rStyle w:val="10"/>
          <w:rFonts w:hint="eastAsia"/>
          <w:sz w:val="28"/>
          <w:szCs w:val="28"/>
          <w:highlight w:val="none"/>
        </w:rPr>
        <w:t>二、功能定位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cs="宋体"/>
          <w:sz w:val="24"/>
          <w:szCs w:val="24"/>
          <w:highlight w:val="none"/>
          <w:lang w:val="en-US" w:eastAsia="zh-CN"/>
        </w:rPr>
      </w:pPr>
      <w:r>
        <w:rPr>
          <w:rFonts w:hint="eastAsia" w:cs="宋体"/>
          <w:sz w:val="24"/>
          <w:szCs w:val="24"/>
          <w:highlight w:val="none"/>
          <w:lang w:val="en-US" w:eastAsia="zh-CN"/>
        </w:rPr>
        <w:t>功能定位：依托粤港澳大湾区(江门)农产品交易流通中心的发展带动及产业辐射，以临近中阳高速出入口的交通集散优势，打造成为粤港澳大湾区(江门)农产品交易流通中心的发展延续片区。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="微软雅黑" w:hAnsi="微软雅黑" w:eastAsia="微软雅黑"/>
          <w:sz w:val="28"/>
          <w:szCs w:val="28"/>
        </w:rPr>
      </w:pPr>
      <w:r>
        <w:rPr>
          <w:rStyle w:val="10"/>
          <w:rFonts w:hint="eastAsia"/>
          <w:sz w:val="28"/>
          <w:szCs w:val="28"/>
        </w:rPr>
        <w:t>三、规划方案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Style w:val="10"/>
          <w:rFonts w:hint="eastAsia" w:ascii="黑体" w:hAnsi="黑体" w:eastAsia="黑体" w:cs="黑体"/>
        </w:rPr>
        <w:t>1、用地布局及规划 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规划范围总面积约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5.38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公顷（约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80.7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亩），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其中建设用地（H）2.99公顷，主要为城市建设用地（H1）2.99公顷，非建设用地（E）2.39公顷。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lang w:val="en-US" w:eastAsia="zh-CN" w:bidi="ar-SA"/>
        </w:rPr>
        <w:t>城市建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设用地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主要为二类工业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用地（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M2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）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1.52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公顷</w:t>
      </w:r>
      <w:r>
        <w:rPr>
          <w:rFonts w:hint="eastAsia" w:cs="宋体"/>
          <w:kern w:val="0"/>
          <w:sz w:val="24"/>
          <w:szCs w:val="24"/>
          <w:lang w:val="en-US" w:eastAsia="zh-CN" w:bidi="ar-SA"/>
        </w:rPr>
        <w:t>和城市道路用地（S1）1.47公顷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hint="eastAsia" w:ascii="黑体" w:hAnsi="黑体" w:eastAsia="黑体" w:cs="黑体"/>
          <w:highlight w:val="none"/>
        </w:rPr>
      </w:pPr>
      <w:r>
        <w:rPr>
          <w:rStyle w:val="10"/>
          <w:rFonts w:hint="eastAsia" w:ascii="黑体" w:hAnsi="黑体" w:eastAsia="黑体" w:cs="黑体"/>
          <w:highlight w:val="none"/>
          <w:lang w:val="en-US" w:eastAsia="zh-CN"/>
        </w:rPr>
        <w:t>2、</w:t>
      </w:r>
      <w:r>
        <w:rPr>
          <w:rStyle w:val="10"/>
          <w:rFonts w:hint="eastAsia" w:ascii="黑体" w:hAnsi="黑体" w:eastAsia="黑体" w:cs="黑体"/>
          <w:highlight w:val="none"/>
        </w:rPr>
        <w:t>公共服务设施规划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 w:bidi="ar-SA"/>
        </w:rPr>
        <w:t>规划地块作为粤港澳大湾区(江门)农产品交易流通中心的产业发展延续片，以工业用地为主，依托周边公共服务配套设施满足片区服务需求</w:t>
      </w:r>
      <w:r>
        <w:rPr>
          <w:rFonts w:hint="eastAsia" w:cs="Times New Roman" w:asciiTheme="minorEastAsia" w:hAnsiTheme="minorEastAsia"/>
          <w:bCs/>
          <w:sz w:val="24"/>
          <w:szCs w:val="24"/>
          <w:highlight w:val="none"/>
          <w:lang w:val="en-US" w:eastAsia="zh-CN"/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276" w:lineRule="auto"/>
        <w:rPr>
          <w:rStyle w:val="10"/>
          <w:rFonts w:hint="eastAsia" w:ascii="黑体" w:hAnsi="黑体" w:eastAsia="黑体" w:cs="黑体"/>
        </w:rPr>
      </w:pPr>
      <w:r>
        <w:rPr>
          <w:rStyle w:val="10"/>
          <w:rFonts w:hint="eastAsia" w:ascii="黑体" w:hAnsi="黑体" w:eastAsia="黑体" w:cs="黑体"/>
          <w:lang w:val="en-US" w:eastAsia="zh-CN"/>
        </w:rPr>
        <w:t>3、</w:t>
      </w:r>
      <w:r>
        <w:rPr>
          <w:rStyle w:val="10"/>
          <w:rFonts w:hint="eastAsia" w:ascii="黑体" w:hAnsi="黑体" w:eastAsia="黑体" w:cs="黑体"/>
        </w:rPr>
        <w:t>道路交通系统规划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 w:bidi="ar-SA"/>
        </w:rPr>
      </w:pPr>
      <w:r>
        <w:rPr>
          <w:rFonts w:hint="eastAsia" w:cs="宋体"/>
          <w:kern w:val="0"/>
          <w:sz w:val="24"/>
          <w:szCs w:val="24"/>
          <w:lang w:val="en-US" w:eastAsia="zh-CN" w:bidi="ar-SA"/>
        </w:rPr>
        <w:t>规划地块主要通过乡道Y039进行交通疏散，道路红线宽度规划为20米，往南连接台山工业园，往北接S274可快速通往开平中心城区。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527EF"/>
    <w:multiLevelType w:val="multilevel"/>
    <w:tmpl w:val="3ED527EF"/>
    <w:lvl w:ilvl="0" w:tentative="0">
      <w:start w:val="1"/>
      <w:numFmt w:val="decimal"/>
      <w:lvlText w:val="第%1章"/>
      <w:lvlJc w:val="left"/>
      <w:pPr>
        <w:tabs>
          <w:tab w:val="left" w:pos="1440"/>
        </w:tabs>
        <w:ind w:left="432" w:hanging="432"/>
      </w:pPr>
      <w:rPr>
        <w:rFonts w:hint="eastAsia"/>
        <w:color w:val="auto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718"/>
        </w:tabs>
        <w:ind w:left="718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 w:ascii="黑体" w:eastAsia="黑体"/>
      </w:rPr>
    </w:lvl>
    <w:lvl w:ilvl="3" w:tentative="0">
      <w:start w:val="1"/>
      <w:numFmt w:val="decimal"/>
      <w:lvlText w:val="%1.%2.%3.%4"/>
      <w:lvlJc w:val="left"/>
      <w:pPr>
        <w:tabs>
          <w:tab w:val="left" w:pos="540"/>
        </w:tabs>
        <w:ind w:left="54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wZjEzNDAwMTkyNTllODlhZTY4ZmEzMWNkNWYzZjYifQ=="/>
  </w:docVars>
  <w:rsids>
    <w:rsidRoot w:val="00172A27"/>
    <w:rsid w:val="000063F7"/>
    <w:rsid w:val="00007492"/>
    <w:rsid w:val="00093B06"/>
    <w:rsid w:val="000B7AC9"/>
    <w:rsid w:val="000E5FA5"/>
    <w:rsid w:val="001321AE"/>
    <w:rsid w:val="0017392A"/>
    <w:rsid w:val="00185B01"/>
    <w:rsid w:val="001C1E8C"/>
    <w:rsid w:val="001C29EC"/>
    <w:rsid w:val="001D14A0"/>
    <w:rsid w:val="002825CF"/>
    <w:rsid w:val="002A60F3"/>
    <w:rsid w:val="002B4C4A"/>
    <w:rsid w:val="002D7191"/>
    <w:rsid w:val="00305306"/>
    <w:rsid w:val="00365655"/>
    <w:rsid w:val="003A09F0"/>
    <w:rsid w:val="003B7945"/>
    <w:rsid w:val="003C2DDC"/>
    <w:rsid w:val="003E757E"/>
    <w:rsid w:val="00462331"/>
    <w:rsid w:val="00480876"/>
    <w:rsid w:val="00485194"/>
    <w:rsid w:val="004876E1"/>
    <w:rsid w:val="004A2469"/>
    <w:rsid w:val="004B6620"/>
    <w:rsid w:val="004E6A8A"/>
    <w:rsid w:val="004E73E2"/>
    <w:rsid w:val="005021B4"/>
    <w:rsid w:val="00555721"/>
    <w:rsid w:val="00577F56"/>
    <w:rsid w:val="00582C31"/>
    <w:rsid w:val="00590BBA"/>
    <w:rsid w:val="00592C85"/>
    <w:rsid w:val="005B2417"/>
    <w:rsid w:val="0060507B"/>
    <w:rsid w:val="00635128"/>
    <w:rsid w:val="00645D5E"/>
    <w:rsid w:val="0065565B"/>
    <w:rsid w:val="006747D4"/>
    <w:rsid w:val="0067641A"/>
    <w:rsid w:val="0069579A"/>
    <w:rsid w:val="006C3EAC"/>
    <w:rsid w:val="006E2171"/>
    <w:rsid w:val="007024AA"/>
    <w:rsid w:val="007824E0"/>
    <w:rsid w:val="00787A6B"/>
    <w:rsid w:val="007C59BB"/>
    <w:rsid w:val="007D1224"/>
    <w:rsid w:val="007E7C90"/>
    <w:rsid w:val="008101DF"/>
    <w:rsid w:val="008152F8"/>
    <w:rsid w:val="00817518"/>
    <w:rsid w:val="008266D4"/>
    <w:rsid w:val="00843A36"/>
    <w:rsid w:val="00860DE9"/>
    <w:rsid w:val="00862424"/>
    <w:rsid w:val="008831A9"/>
    <w:rsid w:val="009232FA"/>
    <w:rsid w:val="00934901"/>
    <w:rsid w:val="00960DB9"/>
    <w:rsid w:val="00964F1F"/>
    <w:rsid w:val="00967C84"/>
    <w:rsid w:val="009733AB"/>
    <w:rsid w:val="00981EF4"/>
    <w:rsid w:val="009A0877"/>
    <w:rsid w:val="009B2350"/>
    <w:rsid w:val="009C62C6"/>
    <w:rsid w:val="009E6FFA"/>
    <w:rsid w:val="00A12143"/>
    <w:rsid w:val="00A21DA7"/>
    <w:rsid w:val="00A41939"/>
    <w:rsid w:val="00A77CD0"/>
    <w:rsid w:val="00AA2F90"/>
    <w:rsid w:val="00AC55AF"/>
    <w:rsid w:val="00AE6D35"/>
    <w:rsid w:val="00B23599"/>
    <w:rsid w:val="00B5733D"/>
    <w:rsid w:val="00B86724"/>
    <w:rsid w:val="00BD0917"/>
    <w:rsid w:val="00C0276D"/>
    <w:rsid w:val="00C454E8"/>
    <w:rsid w:val="00C719B7"/>
    <w:rsid w:val="00C931D1"/>
    <w:rsid w:val="00CC7A7F"/>
    <w:rsid w:val="00CE4561"/>
    <w:rsid w:val="00D34BC1"/>
    <w:rsid w:val="00D428EB"/>
    <w:rsid w:val="00D76B36"/>
    <w:rsid w:val="00D84F7D"/>
    <w:rsid w:val="00DB0B32"/>
    <w:rsid w:val="00DB5701"/>
    <w:rsid w:val="00DD1145"/>
    <w:rsid w:val="00DE7382"/>
    <w:rsid w:val="00E36C0F"/>
    <w:rsid w:val="00E61763"/>
    <w:rsid w:val="00EE1C99"/>
    <w:rsid w:val="00F35DE4"/>
    <w:rsid w:val="00F37E12"/>
    <w:rsid w:val="00F55078"/>
    <w:rsid w:val="00F61547"/>
    <w:rsid w:val="00F64A75"/>
    <w:rsid w:val="00FC2145"/>
    <w:rsid w:val="0132783D"/>
    <w:rsid w:val="01C1717D"/>
    <w:rsid w:val="04CC0DDB"/>
    <w:rsid w:val="05017C52"/>
    <w:rsid w:val="058E0F4E"/>
    <w:rsid w:val="05BA7CE5"/>
    <w:rsid w:val="071F5D44"/>
    <w:rsid w:val="07A3318D"/>
    <w:rsid w:val="07E261C8"/>
    <w:rsid w:val="0844667A"/>
    <w:rsid w:val="08906613"/>
    <w:rsid w:val="095500B9"/>
    <w:rsid w:val="09A55C9F"/>
    <w:rsid w:val="0B0A45CF"/>
    <w:rsid w:val="0B1930FF"/>
    <w:rsid w:val="0C025D63"/>
    <w:rsid w:val="0C4F530A"/>
    <w:rsid w:val="0C615323"/>
    <w:rsid w:val="0CF946A3"/>
    <w:rsid w:val="0D37257E"/>
    <w:rsid w:val="0F7D7F68"/>
    <w:rsid w:val="1049459D"/>
    <w:rsid w:val="11287D75"/>
    <w:rsid w:val="12955380"/>
    <w:rsid w:val="13633741"/>
    <w:rsid w:val="13BB3E42"/>
    <w:rsid w:val="156D72B5"/>
    <w:rsid w:val="15A563D8"/>
    <w:rsid w:val="167504A0"/>
    <w:rsid w:val="16E476FB"/>
    <w:rsid w:val="1703491F"/>
    <w:rsid w:val="171E59F7"/>
    <w:rsid w:val="17732C32"/>
    <w:rsid w:val="1780648E"/>
    <w:rsid w:val="17E354C7"/>
    <w:rsid w:val="17F3026C"/>
    <w:rsid w:val="18ED25C4"/>
    <w:rsid w:val="19DA2399"/>
    <w:rsid w:val="1CAA7D0E"/>
    <w:rsid w:val="1D896FFF"/>
    <w:rsid w:val="1DA6352A"/>
    <w:rsid w:val="1DF17F20"/>
    <w:rsid w:val="1EBA2EF4"/>
    <w:rsid w:val="1FA1680A"/>
    <w:rsid w:val="20563F43"/>
    <w:rsid w:val="210C4BBF"/>
    <w:rsid w:val="227D2897"/>
    <w:rsid w:val="231C1463"/>
    <w:rsid w:val="23924F38"/>
    <w:rsid w:val="23F368E4"/>
    <w:rsid w:val="23F86B47"/>
    <w:rsid w:val="241100FB"/>
    <w:rsid w:val="24976047"/>
    <w:rsid w:val="274837EC"/>
    <w:rsid w:val="28254389"/>
    <w:rsid w:val="28C7297B"/>
    <w:rsid w:val="29062E20"/>
    <w:rsid w:val="2A474F95"/>
    <w:rsid w:val="2BFD474A"/>
    <w:rsid w:val="2C70289B"/>
    <w:rsid w:val="2CA671FF"/>
    <w:rsid w:val="2CD74FB6"/>
    <w:rsid w:val="2D2B4397"/>
    <w:rsid w:val="2D3E7C65"/>
    <w:rsid w:val="2D62768D"/>
    <w:rsid w:val="2ED07348"/>
    <w:rsid w:val="30401CC2"/>
    <w:rsid w:val="304822A2"/>
    <w:rsid w:val="309A638A"/>
    <w:rsid w:val="30BD2A45"/>
    <w:rsid w:val="314F2D5E"/>
    <w:rsid w:val="32C14DF4"/>
    <w:rsid w:val="33FB0E60"/>
    <w:rsid w:val="34057613"/>
    <w:rsid w:val="344D0586"/>
    <w:rsid w:val="345D45F6"/>
    <w:rsid w:val="34823AEE"/>
    <w:rsid w:val="35422FD1"/>
    <w:rsid w:val="35B768E3"/>
    <w:rsid w:val="362E2ACD"/>
    <w:rsid w:val="36421DF0"/>
    <w:rsid w:val="374321EA"/>
    <w:rsid w:val="39B657E8"/>
    <w:rsid w:val="39BE1C2F"/>
    <w:rsid w:val="39DA55F2"/>
    <w:rsid w:val="3B963EB7"/>
    <w:rsid w:val="3BBF16F2"/>
    <w:rsid w:val="3BC84730"/>
    <w:rsid w:val="3C642299"/>
    <w:rsid w:val="3D655A23"/>
    <w:rsid w:val="3E170230"/>
    <w:rsid w:val="3E2221C7"/>
    <w:rsid w:val="3E847A96"/>
    <w:rsid w:val="3F5E1F0E"/>
    <w:rsid w:val="3F8268D6"/>
    <w:rsid w:val="3F92684D"/>
    <w:rsid w:val="410700D7"/>
    <w:rsid w:val="41A5277B"/>
    <w:rsid w:val="42103BBC"/>
    <w:rsid w:val="4236283F"/>
    <w:rsid w:val="42A83CBB"/>
    <w:rsid w:val="42B75CBB"/>
    <w:rsid w:val="43022295"/>
    <w:rsid w:val="433B795F"/>
    <w:rsid w:val="4471480B"/>
    <w:rsid w:val="44C87895"/>
    <w:rsid w:val="44F22B38"/>
    <w:rsid w:val="454D5FC1"/>
    <w:rsid w:val="4630493A"/>
    <w:rsid w:val="46B11D72"/>
    <w:rsid w:val="470E0525"/>
    <w:rsid w:val="48792F92"/>
    <w:rsid w:val="48BD345D"/>
    <w:rsid w:val="49CD7D3C"/>
    <w:rsid w:val="49D750DE"/>
    <w:rsid w:val="4A004CC2"/>
    <w:rsid w:val="4A0D2E3C"/>
    <w:rsid w:val="4A6F3CB4"/>
    <w:rsid w:val="4ABA150B"/>
    <w:rsid w:val="4AC408E4"/>
    <w:rsid w:val="4C0268C5"/>
    <w:rsid w:val="4C6B2115"/>
    <w:rsid w:val="4C6D0CF6"/>
    <w:rsid w:val="4E21623C"/>
    <w:rsid w:val="4F014F1D"/>
    <w:rsid w:val="4FED75BD"/>
    <w:rsid w:val="504F6C68"/>
    <w:rsid w:val="506E3F2C"/>
    <w:rsid w:val="5097059F"/>
    <w:rsid w:val="5167171C"/>
    <w:rsid w:val="522B34DF"/>
    <w:rsid w:val="5274194E"/>
    <w:rsid w:val="53645BF0"/>
    <w:rsid w:val="536E3F07"/>
    <w:rsid w:val="54134C00"/>
    <w:rsid w:val="54702F19"/>
    <w:rsid w:val="548C6C80"/>
    <w:rsid w:val="55054F72"/>
    <w:rsid w:val="55FB150F"/>
    <w:rsid w:val="56434F6C"/>
    <w:rsid w:val="56AB2B47"/>
    <w:rsid w:val="57F329F7"/>
    <w:rsid w:val="584626E6"/>
    <w:rsid w:val="58703A05"/>
    <w:rsid w:val="596152C1"/>
    <w:rsid w:val="597E0E84"/>
    <w:rsid w:val="5AFC09D3"/>
    <w:rsid w:val="5B666BE3"/>
    <w:rsid w:val="5BED72C4"/>
    <w:rsid w:val="5BF512A7"/>
    <w:rsid w:val="5DA114A2"/>
    <w:rsid w:val="5DBA5609"/>
    <w:rsid w:val="5EB4745D"/>
    <w:rsid w:val="5ED10CEF"/>
    <w:rsid w:val="5F341B65"/>
    <w:rsid w:val="60956D42"/>
    <w:rsid w:val="60CF77E6"/>
    <w:rsid w:val="614D41B8"/>
    <w:rsid w:val="617D3332"/>
    <w:rsid w:val="61D26486"/>
    <w:rsid w:val="632061D8"/>
    <w:rsid w:val="635F53E5"/>
    <w:rsid w:val="63E83611"/>
    <w:rsid w:val="64504D2E"/>
    <w:rsid w:val="646F7F94"/>
    <w:rsid w:val="65DA3FCB"/>
    <w:rsid w:val="67074A64"/>
    <w:rsid w:val="67510220"/>
    <w:rsid w:val="67B527CF"/>
    <w:rsid w:val="682A0ED5"/>
    <w:rsid w:val="6A2C3370"/>
    <w:rsid w:val="6BB105E8"/>
    <w:rsid w:val="6CDA5336"/>
    <w:rsid w:val="6D44575D"/>
    <w:rsid w:val="6D5A13F5"/>
    <w:rsid w:val="6DCD7F9E"/>
    <w:rsid w:val="6E3028AA"/>
    <w:rsid w:val="6F3A7AFB"/>
    <w:rsid w:val="705D7F1C"/>
    <w:rsid w:val="70DB07DA"/>
    <w:rsid w:val="713A478E"/>
    <w:rsid w:val="71763CE1"/>
    <w:rsid w:val="726C0FAD"/>
    <w:rsid w:val="7308096E"/>
    <w:rsid w:val="734C0482"/>
    <w:rsid w:val="738E20E0"/>
    <w:rsid w:val="74152BA4"/>
    <w:rsid w:val="76BA781F"/>
    <w:rsid w:val="78936A05"/>
    <w:rsid w:val="79320E48"/>
    <w:rsid w:val="794D64D7"/>
    <w:rsid w:val="7AAB0BC1"/>
    <w:rsid w:val="7BB649DE"/>
    <w:rsid w:val="7BD0027A"/>
    <w:rsid w:val="7C125430"/>
    <w:rsid w:val="7C2B5F0B"/>
    <w:rsid w:val="7CA659DB"/>
    <w:rsid w:val="7E36112B"/>
    <w:rsid w:val="7E64072F"/>
    <w:rsid w:val="7F073E97"/>
    <w:rsid w:val="7F3E639F"/>
    <w:rsid w:val="7FF4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tabs>
        <w:tab w:val="left" w:pos="1440"/>
      </w:tabs>
      <w:spacing w:line="480" w:lineRule="auto"/>
      <w:ind w:firstLine="0" w:firstLineChars="0"/>
      <w:outlineLvl w:val="1"/>
    </w:pPr>
    <w:rPr>
      <w:rFonts w:ascii="Arial" w:hAnsi="Arial" w:eastAsia="黑体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01"/>
    <w:basedOn w:val="9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9A65-3CAA-44BA-BD61-6F37330F50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550</Characters>
  <Lines>37</Lines>
  <Paragraphs>10</Paragraphs>
  <TotalTime>9</TotalTime>
  <ScaleCrop>false</ScaleCrop>
  <LinksUpToDate>false</LinksUpToDate>
  <CharactersWithSpaces>551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2020-09-14T07:48:00Z</dcterms:created>
  <dc:creator>mayn</dc:creator>
  <cp:lastModifiedBy>嗷嗷是我我叫嗷嗷</cp:lastModifiedBy>
  <dcterms:modified xsi:type="dcterms:W3CDTF">2023-11-02T07:04:37Z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773832B4768C4278854B9D38AE305B15_13</vt:lpwstr>
  </property>
</Properties>
</file>