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2023年</w:t>
      </w:r>
      <w:r>
        <w:rPr>
          <w:rFonts w:hint="eastAsia" w:ascii="方正小标宋简体" w:hAnsi="方正小标宋简体" w:eastAsia="方正小标宋简体" w:cs="方正小标宋简体"/>
          <w:sz w:val="44"/>
          <w:szCs w:val="44"/>
        </w:rPr>
        <w:t>开平市人民政府门户网站域名</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互联网协议第六版（IPv6）</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云解析</w:t>
      </w:r>
      <w:r>
        <w:rPr>
          <w:rFonts w:hint="eastAsia" w:ascii="方正小标宋简体" w:hAnsi="方正小标宋简体" w:eastAsia="方正小标宋简体" w:cs="方正小标宋简体"/>
          <w:sz w:val="44"/>
          <w:szCs w:val="44"/>
          <w:lang w:val="en-US" w:eastAsia="zh-CN"/>
        </w:rPr>
        <w:t>服务</w:t>
      </w:r>
      <w:r>
        <w:rPr>
          <w:rFonts w:hint="eastAsia" w:ascii="方正小标宋简体" w:hAnsi="方正小标宋简体" w:eastAsia="方正小标宋简体" w:cs="方正小标宋简体"/>
          <w:sz w:val="44"/>
          <w:szCs w:val="44"/>
        </w:rPr>
        <w:t>项目采购需求</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一、项目概述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（一）项目名称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2023年开平市人民政府门户网站域名互联网协议第六版（IPv6）云解析服务项目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（二）项目主体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开平</w:t>
      </w:r>
      <w:r>
        <w:rPr>
          <w:rFonts w:hint="default" w:ascii="仿宋_GB2312" w:hAnsi="仿宋_GB2312" w:eastAsia="仿宋_GB2312" w:cs="仿宋_GB2312"/>
          <w:sz w:val="32"/>
          <w:szCs w:val="32"/>
          <w:lang w:val="en-US" w:eastAsia="zh-CN"/>
        </w:rPr>
        <w:t>市</w:t>
      </w:r>
      <w:r>
        <w:rPr>
          <w:rFonts w:hint="eastAsia" w:ascii="仿宋_GB2312" w:hAnsi="仿宋_GB2312" w:eastAsia="仿宋_GB2312" w:cs="仿宋_GB2312"/>
          <w:sz w:val="32"/>
          <w:szCs w:val="32"/>
          <w:lang w:val="en-US" w:eastAsia="zh-CN"/>
        </w:rPr>
        <w:t>人民</w:t>
      </w:r>
      <w:r>
        <w:rPr>
          <w:rFonts w:hint="default" w:ascii="仿宋_GB2312" w:hAnsi="仿宋_GB2312" w:eastAsia="仿宋_GB2312" w:cs="仿宋_GB2312"/>
          <w:sz w:val="32"/>
          <w:szCs w:val="32"/>
          <w:lang w:val="en-US" w:eastAsia="zh-CN"/>
        </w:rPr>
        <w:t>政府门户网站</w:t>
      </w:r>
      <w:r>
        <w:rPr>
          <w:rFonts w:hint="eastAsia" w:ascii="仿宋_GB2312" w:hAnsi="仿宋_GB2312" w:eastAsia="仿宋_GB2312" w:cs="仿宋_GB2312"/>
          <w:sz w:val="32"/>
          <w:szCs w:val="32"/>
          <w:lang w:val="en-US" w:eastAsia="zh-CN"/>
        </w:rPr>
        <w:t>（域名：kaiping.gov.cn）</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（三）项目背景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为贯彻落实《江门市政务服务数据管理局关于印发江门市电子政务外网互联网协议第六版（IPv6）改造工作实施方案的通知》（江政数函[2019]251号）文件精神，政务外网可承载IPv6流量，完成</w:t>
      </w:r>
      <w:r>
        <w:rPr>
          <w:rFonts w:hint="eastAsia" w:ascii="仿宋_GB2312" w:hAnsi="仿宋_GB2312" w:eastAsia="仿宋_GB2312" w:cs="仿宋_GB2312"/>
          <w:sz w:val="32"/>
          <w:szCs w:val="32"/>
          <w:lang w:val="en-US" w:eastAsia="zh-CN"/>
        </w:rPr>
        <w:t>开平</w:t>
      </w:r>
      <w:r>
        <w:rPr>
          <w:rFonts w:hint="default" w:ascii="仿宋_GB2312" w:hAnsi="仿宋_GB2312" w:eastAsia="仿宋_GB2312" w:cs="仿宋_GB2312"/>
          <w:sz w:val="32"/>
          <w:szCs w:val="32"/>
          <w:lang w:val="en-US" w:eastAsia="zh-CN"/>
        </w:rPr>
        <w:t>市</w:t>
      </w:r>
      <w:r>
        <w:rPr>
          <w:rFonts w:hint="eastAsia" w:ascii="仿宋_GB2312" w:hAnsi="仿宋_GB2312" w:eastAsia="仿宋_GB2312" w:cs="仿宋_GB2312"/>
          <w:sz w:val="32"/>
          <w:szCs w:val="32"/>
          <w:lang w:val="en-US" w:eastAsia="zh-CN"/>
        </w:rPr>
        <w:t>人民</w:t>
      </w:r>
      <w:r>
        <w:rPr>
          <w:rFonts w:hint="default" w:ascii="仿宋_GB2312" w:hAnsi="仿宋_GB2312" w:eastAsia="仿宋_GB2312" w:cs="仿宋_GB2312"/>
          <w:sz w:val="32"/>
          <w:szCs w:val="32"/>
          <w:lang w:val="en-US" w:eastAsia="zh-CN"/>
        </w:rPr>
        <w:t>政府门户网站IPv6</w:t>
      </w:r>
      <w:r>
        <w:rPr>
          <w:rFonts w:hint="eastAsia" w:ascii="仿宋_GB2312" w:hAnsi="仿宋_GB2312" w:eastAsia="仿宋_GB2312" w:cs="仿宋_GB2312"/>
          <w:sz w:val="32"/>
          <w:szCs w:val="32"/>
          <w:lang w:val="en-US" w:eastAsia="zh-CN"/>
        </w:rPr>
        <w:t>云解析统计</w:t>
      </w:r>
      <w:r>
        <w:rPr>
          <w:rFonts w:hint="default"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开平</w:t>
      </w:r>
      <w:r>
        <w:rPr>
          <w:rFonts w:hint="default" w:ascii="仿宋_GB2312" w:hAnsi="仿宋_GB2312" w:eastAsia="仿宋_GB2312" w:cs="仿宋_GB2312"/>
          <w:sz w:val="32"/>
          <w:szCs w:val="32"/>
          <w:lang w:val="en-US" w:eastAsia="zh-CN"/>
        </w:rPr>
        <w:t>市</w:t>
      </w:r>
      <w:r>
        <w:rPr>
          <w:rFonts w:hint="eastAsia" w:ascii="仿宋_GB2312" w:hAnsi="仿宋_GB2312" w:eastAsia="仿宋_GB2312" w:cs="仿宋_GB2312"/>
          <w:sz w:val="32"/>
          <w:szCs w:val="32"/>
          <w:lang w:val="en-US" w:eastAsia="zh-CN"/>
        </w:rPr>
        <w:t>人民</w:t>
      </w:r>
      <w:r>
        <w:rPr>
          <w:rFonts w:hint="default" w:ascii="仿宋_GB2312" w:hAnsi="仿宋_GB2312" w:eastAsia="仿宋_GB2312" w:cs="仿宋_GB2312"/>
          <w:sz w:val="32"/>
          <w:szCs w:val="32"/>
          <w:lang w:val="en-US" w:eastAsia="zh-CN"/>
        </w:rPr>
        <w:t>政府门户网站</w:t>
      </w:r>
      <w:r>
        <w:rPr>
          <w:rFonts w:hint="eastAsia" w:ascii="仿宋_GB2312" w:hAnsi="仿宋_GB2312" w:eastAsia="仿宋_GB2312" w:cs="仿宋_GB2312"/>
          <w:sz w:val="32"/>
          <w:szCs w:val="32"/>
          <w:lang w:val="en-US" w:eastAsia="zh-CN"/>
        </w:rPr>
        <w:t>主体仍为开平市信息产业局，该主体已注销，需要更换为开平市人民政府办公室。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二、投标人资格要求</w:t>
      </w:r>
    </w:p>
    <w:p>
      <w:pPr>
        <w:pStyle w:val="10"/>
        <w:pageBreakBefore w:val="0"/>
        <w:kinsoku/>
        <w:wordWrap/>
        <w:overflowPunct/>
        <w:topLinePunct w:val="0"/>
        <w:bidi w:val="0"/>
        <w:snapToGrid w:val="0"/>
        <w:spacing w:line="560" w:lineRule="exact"/>
        <w:ind w:firstLine="560"/>
        <w:textAlignment w:val="auto"/>
        <w:rPr>
          <w:rFonts w:hint="eastAsia" w:ascii="楷体" w:hAnsi="楷体" w:eastAsia="楷体" w:cs="楷体"/>
          <w:b w:val="0"/>
          <w:sz w:val="32"/>
          <w:szCs w:val="32"/>
        </w:rPr>
      </w:pPr>
      <w:r>
        <w:rPr>
          <w:rFonts w:hint="eastAsia" w:ascii="楷体" w:hAnsi="楷体" w:eastAsia="楷体" w:cs="楷体"/>
          <w:b w:val="0"/>
          <w:sz w:val="32"/>
          <w:szCs w:val="32"/>
          <w:lang w:val="en-US" w:eastAsia="zh-CN"/>
        </w:rPr>
        <w:t>（一）</w:t>
      </w:r>
      <w:r>
        <w:rPr>
          <w:rFonts w:hint="eastAsia" w:ascii="楷体" w:hAnsi="楷体" w:eastAsia="楷体" w:cs="楷体"/>
          <w:b w:val="0"/>
          <w:sz w:val="32"/>
          <w:szCs w:val="32"/>
          <w:lang w:eastAsia="zh-CN"/>
        </w:rPr>
        <w:t>投标人</w:t>
      </w:r>
      <w:r>
        <w:rPr>
          <w:rFonts w:hint="eastAsia" w:ascii="楷体" w:hAnsi="楷体" w:eastAsia="楷体" w:cs="楷体"/>
          <w:b w:val="0"/>
          <w:sz w:val="32"/>
          <w:szCs w:val="32"/>
        </w:rPr>
        <w:t>应具备《政府采购法》第二十二条规定的条件，提供下列材料：</w:t>
      </w:r>
    </w:p>
    <w:p>
      <w:pPr>
        <w:pStyle w:val="10"/>
        <w:pageBreakBefore w:val="0"/>
        <w:kinsoku/>
        <w:wordWrap/>
        <w:overflowPunct/>
        <w:topLinePunct w:val="0"/>
        <w:bidi w:val="0"/>
        <w:snapToGrid w:val="0"/>
        <w:spacing w:line="560" w:lineRule="exact"/>
        <w:ind w:firstLine="56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t>具有独立承担民事责任的能力：有效期内的工商营业执照（或事业单位法人证书，或社会团体法人登记证书）、组织机构代码证及税务登记证复印件（或“三证合一”营业执照复印件）。</w:t>
      </w:r>
    </w:p>
    <w:p>
      <w:pPr>
        <w:pStyle w:val="10"/>
        <w:pageBreakBefore w:val="0"/>
        <w:kinsoku/>
        <w:wordWrap/>
        <w:overflowPunct/>
        <w:topLinePunct w:val="0"/>
        <w:bidi w:val="0"/>
        <w:snapToGrid w:val="0"/>
        <w:spacing w:line="560" w:lineRule="exact"/>
        <w:ind w:firstLine="56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有依法缴纳税收和社会保障资金的良好记录：投标截止日前6个月内任意一个月的依法缴纳税收的证明文件复印件【缴纳税收的证明文件是指：加盖银行业务章的税收回单，或加盖税务部门电子征税专用章的税收电子转账专用完税证，或加盖税务部门公章的纳税证明；如</w:t>
      </w:r>
      <w:r>
        <w:rPr>
          <w:rFonts w:hint="eastAsia" w:ascii="仿宋_GB2312" w:hAnsi="仿宋_GB2312" w:eastAsia="仿宋_GB2312" w:cs="仿宋_GB2312"/>
          <w:b w:val="0"/>
          <w:bCs w:val="0"/>
          <w:sz w:val="32"/>
          <w:szCs w:val="32"/>
          <w:lang w:eastAsia="zh-CN"/>
        </w:rPr>
        <w:t>投标人</w:t>
      </w:r>
      <w:r>
        <w:rPr>
          <w:rFonts w:hint="eastAsia" w:ascii="仿宋_GB2312" w:hAnsi="仿宋_GB2312" w:eastAsia="仿宋_GB2312" w:cs="仿宋_GB2312"/>
          <w:b w:val="0"/>
          <w:bCs w:val="0"/>
          <w:sz w:val="32"/>
          <w:szCs w:val="32"/>
        </w:rPr>
        <w:t>在规定的时间段内没有发生业务的，则提供税务部门出具的纳税证明，或加盖税务部门公章的纳税申报表】；投标截止日前6个月内任意一个月社保部门（或税务部门）出具的单位参加社会保险的证明文件复印件，或合法有效的社保部门（或税务部门）网站的电子证明打印件【内容应包含单位名称、参保（或缴费）信息、电子印章和日期等】。</w:t>
      </w:r>
    </w:p>
    <w:p>
      <w:pPr>
        <w:pStyle w:val="10"/>
        <w:pageBreakBefore w:val="0"/>
        <w:kinsoku/>
        <w:wordWrap/>
        <w:overflowPunct/>
        <w:topLinePunct w:val="0"/>
        <w:bidi w:val="0"/>
        <w:snapToGrid w:val="0"/>
        <w:spacing w:line="560" w:lineRule="exact"/>
        <w:ind w:firstLine="56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rPr>
        <w:t>具有良好的商业信誉和健全的财务会计制度：202</w:t>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年年度财务报表或投标截止日前6个月内任意一个月的财务报表。【财务报表须包含资产负债表、利润表】。</w:t>
      </w:r>
    </w:p>
    <w:p>
      <w:pPr>
        <w:pStyle w:val="10"/>
        <w:pageBreakBefore w:val="0"/>
        <w:kinsoku/>
        <w:wordWrap/>
        <w:overflowPunct/>
        <w:topLinePunct w:val="0"/>
        <w:bidi w:val="0"/>
        <w:snapToGrid w:val="0"/>
        <w:spacing w:line="560" w:lineRule="exact"/>
        <w:ind w:firstLine="56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4.</w:t>
      </w:r>
      <w:r>
        <w:rPr>
          <w:rFonts w:hint="eastAsia" w:ascii="仿宋_GB2312" w:hAnsi="仿宋_GB2312" w:eastAsia="仿宋_GB2312" w:cs="仿宋_GB2312"/>
          <w:b w:val="0"/>
          <w:bCs w:val="0"/>
          <w:sz w:val="32"/>
          <w:szCs w:val="32"/>
        </w:rPr>
        <w:t>履行合同所必需的设备和专业技术能力：按投标（响应）文件格式填报设备及专业技术能力情况。</w:t>
      </w:r>
    </w:p>
    <w:p>
      <w:pPr>
        <w:pStyle w:val="10"/>
        <w:pageBreakBefore w:val="0"/>
        <w:kinsoku/>
        <w:wordWrap/>
        <w:overflowPunct/>
        <w:topLinePunct w:val="0"/>
        <w:bidi w:val="0"/>
        <w:snapToGrid w:val="0"/>
        <w:spacing w:line="560" w:lineRule="exact"/>
        <w:ind w:firstLine="56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5.</w:t>
      </w:r>
      <w:r>
        <w:rPr>
          <w:rFonts w:hint="eastAsia" w:ascii="仿宋_GB2312" w:hAnsi="仿宋_GB2312" w:eastAsia="仿宋_GB2312" w:cs="仿宋_GB2312"/>
          <w:b w:val="0"/>
          <w:bCs w:val="0"/>
          <w:sz w:val="32"/>
          <w:szCs w:val="32"/>
        </w:rPr>
        <w:t>参加采购活动前3年内，在经营活动中没有重大违法记录：参照投标（报价）函相关承诺格式内容。重大违法记录，是指</w:t>
      </w:r>
      <w:r>
        <w:rPr>
          <w:rFonts w:hint="eastAsia" w:ascii="仿宋_GB2312" w:hAnsi="仿宋_GB2312" w:eastAsia="仿宋_GB2312" w:cs="仿宋_GB2312"/>
          <w:b w:val="0"/>
          <w:bCs w:val="0"/>
          <w:sz w:val="32"/>
          <w:szCs w:val="32"/>
          <w:lang w:eastAsia="zh-CN"/>
        </w:rPr>
        <w:t>投标人</w:t>
      </w:r>
      <w:r>
        <w:rPr>
          <w:rFonts w:hint="eastAsia" w:ascii="仿宋_GB2312" w:hAnsi="仿宋_GB2312" w:eastAsia="仿宋_GB2312" w:cs="仿宋_GB2312"/>
          <w:b w:val="0"/>
          <w:bCs w:val="0"/>
          <w:sz w:val="32"/>
          <w:szCs w:val="32"/>
        </w:rPr>
        <w:t>因违法经营受到刑事处罚或者责令停产停业、吊销许可证或者执照、较大数额罚款等行政处罚。（较大数额罚款按照发出行政处罚决定书部门所在省级政府，或实行垂直领导的国务院有关行政主管部门制定的较大数额罚款标准，或罚款决定之前需要举行听证会的金额标准来认定）。</w:t>
      </w:r>
    </w:p>
    <w:p>
      <w:pPr>
        <w:pStyle w:val="10"/>
        <w:pageBreakBefore w:val="0"/>
        <w:kinsoku/>
        <w:wordWrap/>
        <w:overflowPunct/>
        <w:topLinePunct w:val="0"/>
        <w:bidi w:val="0"/>
        <w:snapToGrid w:val="0"/>
        <w:spacing w:line="560" w:lineRule="exact"/>
        <w:ind w:firstLine="560"/>
        <w:textAlignment w:val="auto"/>
        <w:rPr>
          <w:rFonts w:hint="eastAsia" w:ascii="仿宋_GB2312" w:hAnsi="仿宋_GB2312" w:eastAsia="仿宋_GB2312" w:cs="仿宋_GB2312"/>
          <w:b w:val="0"/>
          <w:sz w:val="32"/>
          <w:szCs w:val="32"/>
        </w:rPr>
      </w:pPr>
      <w:r>
        <w:rPr>
          <w:rFonts w:hint="eastAsia" w:ascii="仿宋_GB2312" w:hAnsi="仿宋_GB2312" w:eastAsia="仿宋_GB2312" w:cs="仿宋_GB2312"/>
          <w:b w:val="0"/>
          <w:bCs w:val="0"/>
          <w:sz w:val="32"/>
          <w:szCs w:val="32"/>
          <w:lang w:val="en-US" w:eastAsia="zh-CN"/>
        </w:rPr>
        <w:t>6.</w:t>
      </w:r>
      <w:r>
        <w:rPr>
          <w:rFonts w:hint="eastAsia" w:ascii="仿宋_GB2312" w:hAnsi="仿宋_GB2312" w:eastAsia="仿宋_GB2312" w:cs="仿宋_GB2312"/>
          <w:b w:val="0"/>
          <w:bCs w:val="0"/>
          <w:sz w:val="32"/>
          <w:szCs w:val="32"/>
        </w:rPr>
        <w:t>信用记录：</w:t>
      </w:r>
      <w:r>
        <w:rPr>
          <w:rFonts w:hint="eastAsia" w:ascii="仿宋_GB2312" w:hAnsi="仿宋_GB2312" w:eastAsia="仿宋_GB2312" w:cs="仿宋_GB2312"/>
          <w:b w:val="0"/>
          <w:bCs w:val="0"/>
          <w:sz w:val="32"/>
          <w:szCs w:val="32"/>
          <w:lang w:eastAsia="zh-CN"/>
        </w:rPr>
        <w:t>投标人</w:t>
      </w:r>
      <w:r>
        <w:rPr>
          <w:rFonts w:hint="eastAsia" w:ascii="仿宋_GB2312" w:hAnsi="仿宋_GB2312" w:eastAsia="仿宋_GB2312" w:cs="仿宋_GB2312"/>
          <w:b w:val="0"/>
          <w:bCs w:val="0"/>
          <w:sz w:val="32"/>
          <w:szCs w:val="32"/>
        </w:rPr>
        <w:t>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以采购代理机构于投标（响应）截止时间当天在“信</w:t>
      </w:r>
      <w:r>
        <w:rPr>
          <w:rFonts w:hint="eastAsia" w:ascii="仿宋_GB2312" w:hAnsi="仿宋_GB2312" w:eastAsia="仿宋_GB2312" w:cs="仿宋_GB2312"/>
          <w:b w:val="0"/>
          <w:sz w:val="32"/>
          <w:szCs w:val="32"/>
        </w:rPr>
        <w:t>用中国”网站（</w:t>
      </w:r>
      <w:r>
        <w:rPr>
          <w:rFonts w:hint="eastAsia" w:ascii="仿宋_GB2312" w:hAnsi="仿宋_GB2312" w:eastAsia="仿宋_GB2312" w:cs="仿宋_GB2312"/>
          <w:b w:val="0"/>
          <w:sz w:val="32"/>
          <w:szCs w:val="32"/>
        </w:rPr>
        <w:fldChar w:fldCharType="begin"/>
      </w:r>
      <w:r>
        <w:rPr>
          <w:rFonts w:hint="eastAsia" w:ascii="仿宋_GB2312" w:hAnsi="仿宋_GB2312" w:eastAsia="仿宋_GB2312" w:cs="仿宋_GB2312"/>
          <w:b w:val="0"/>
          <w:sz w:val="32"/>
          <w:szCs w:val="32"/>
        </w:rPr>
        <w:instrText xml:space="preserve"> HYPERLINK "http://www.creditchina.gov.cn/" \h </w:instrText>
      </w:r>
      <w:r>
        <w:rPr>
          <w:rFonts w:hint="eastAsia" w:ascii="仿宋_GB2312" w:hAnsi="仿宋_GB2312" w:eastAsia="仿宋_GB2312" w:cs="仿宋_GB2312"/>
          <w:b w:val="0"/>
          <w:sz w:val="32"/>
          <w:szCs w:val="32"/>
        </w:rPr>
        <w:fldChar w:fldCharType="separate"/>
      </w:r>
      <w:r>
        <w:rPr>
          <w:rFonts w:hint="eastAsia" w:ascii="仿宋_GB2312" w:hAnsi="仿宋_GB2312" w:eastAsia="仿宋_GB2312" w:cs="仿宋_GB2312"/>
          <w:b w:val="0"/>
          <w:sz w:val="32"/>
          <w:szCs w:val="32"/>
        </w:rPr>
        <w:t>www.creditchina.gov.cn</w:t>
      </w:r>
      <w:r>
        <w:rPr>
          <w:rFonts w:hint="eastAsia" w:ascii="仿宋_GB2312" w:hAnsi="仿宋_GB2312" w:eastAsia="仿宋_GB2312" w:cs="仿宋_GB2312"/>
          <w:b w:val="0"/>
          <w:sz w:val="32"/>
          <w:szCs w:val="32"/>
        </w:rPr>
        <w:fldChar w:fldCharType="end"/>
      </w:r>
      <w:r>
        <w:rPr>
          <w:rFonts w:hint="eastAsia" w:ascii="仿宋_GB2312" w:hAnsi="仿宋_GB2312" w:eastAsia="仿宋_GB2312" w:cs="仿宋_GB2312"/>
          <w:b w:val="0"/>
          <w:sz w:val="32"/>
          <w:szCs w:val="32"/>
        </w:rPr>
        <w:t>）及中国政府采购网（</w:t>
      </w:r>
      <w:r>
        <w:rPr>
          <w:rFonts w:hint="eastAsia" w:ascii="仿宋_GB2312" w:hAnsi="仿宋_GB2312" w:eastAsia="仿宋_GB2312" w:cs="仿宋_GB2312"/>
          <w:b w:val="0"/>
          <w:sz w:val="32"/>
          <w:szCs w:val="32"/>
        </w:rPr>
        <w:fldChar w:fldCharType="begin"/>
      </w:r>
      <w:r>
        <w:rPr>
          <w:rFonts w:hint="eastAsia" w:ascii="仿宋_GB2312" w:hAnsi="仿宋_GB2312" w:eastAsia="仿宋_GB2312" w:cs="仿宋_GB2312"/>
          <w:b w:val="0"/>
          <w:sz w:val="32"/>
          <w:szCs w:val="32"/>
        </w:rPr>
        <w:instrText xml:space="preserve"> HYPERLINK "http://www.ccgp.gov.cn/" \h </w:instrText>
      </w:r>
      <w:r>
        <w:rPr>
          <w:rFonts w:hint="eastAsia" w:ascii="仿宋_GB2312" w:hAnsi="仿宋_GB2312" w:eastAsia="仿宋_GB2312" w:cs="仿宋_GB2312"/>
          <w:b w:val="0"/>
          <w:sz w:val="32"/>
          <w:szCs w:val="32"/>
        </w:rPr>
        <w:fldChar w:fldCharType="separate"/>
      </w:r>
      <w:r>
        <w:rPr>
          <w:rFonts w:hint="eastAsia" w:ascii="仿宋_GB2312" w:hAnsi="仿宋_GB2312" w:eastAsia="仿宋_GB2312" w:cs="仿宋_GB2312"/>
          <w:b w:val="0"/>
          <w:sz w:val="32"/>
          <w:szCs w:val="32"/>
        </w:rPr>
        <w:t>http://www.ccgp.gov.cn/</w:t>
      </w:r>
      <w:r>
        <w:rPr>
          <w:rFonts w:hint="eastAsia" w:ascii="仿宋_GB2312" w:hAnsi="仿宋_GB2312" w:eastAsia="仿宋_GB2312" w:cs="仿宋_GB2312"/>
          <w:b w:val="0"/>
          <w:sz w:val="32"/>
          <w:szCs w:val="32"/>
        </w:rPr>
        <w:fldChar w:fldCharType="end"/>
      </w:r>
      <w:r>
        <w:rPr>
          <w:rFonts w:hint="eastAsia" w:ascii="仿宋_GB2312" w:hAnsi="仿宋_GB2312" w:eastAsia="仿宋_GB2312" w:cs="仿宋_GB2312"/>
          <w:b w:val="0"/>
          <w:sz w:val="32"/>
          <w:szCs w:val="32"/>
        </w:rPr>
        <w:t>）查询结果为准，如相关失信记录已失效，</w:t>
      </w:r>
      <w:r>
        <w:rPr>
          <w:rFonts w:hint="eastAsia" w:ascii="仿宋_GB2312" w:hAnsi="仿宋_GB2312" w:eastAsia="仿宋_GB2312" w:cs="仿宋_GB2312"/>
          <w:b w:val="0"/>
          <w:sz w:val="32"/>
          <w:szCs w:val="32"/>
          <w:lang w:eastAsia="zh-CN"/>
        </w:rPr>
        <w:t>投标人</w:t>
      </w:r>
      <w:r>
        <w:rPr>
          <w:rFonts w:hint="eastAsia" w:ascii="仿宋_GB2312" w:hAnsi="仿宋_GB2312" w:eastAsia="仿宋_GB2312" w:cs="仿宋_GB2312"/>
          <w:b w:val="0"/>
          <w:sz w:val="32"/>
          <w:szCs w:val="32"/>
        </w:rPr>
        <w:t>需提供相关证明资料）。</w:t>
      </w:r>
    </w:p>
    <w:p>
      <w:pPr>
        <w:pStyle w:val="10"/>
        <w:pageBreakBefore w:val="0"/>
        <w:kinsoku/>
        <w:wordWrap/>
        <w:overflowPunct/>
        <w:topLinePunct w:val="0"/>
        <w:bidi w:val="0"/>
        <w:snapToGrid w:val="0"/>
        <w:spacing w:line="560" w:lineRule="exact"/>
        <w:ind w:firstLine="560"/>
        <w:textAlignment w:val="auto"/>
        <w:rPr>
          <w:rFonts w:hint="eastAsia" w:ascii="仿宋_GB2312" w:hAnsi="仿宋_GB2312" w:eastAsia="仿宋_GB2312" w:cs="仿宋_GB2312"/>
          <w:b w:val="0"/>
          <w:sz w:val="32"/>
          <w:szCs w:val="32"/>
        </w:rPr>
      </w:pPr>
      <w:r>
        <w:rPr>
          <w:rFonts w:hint="eastAsia" w:ascii="仿宋_GB2312" w:hAnsi="仿宋_GB2312" w:eastAsia="仿宋_GB2312" w:cs="仿宋_GB2312"/>
          <w:b w:val="0"/>
          <w:bCs w:val="0"/>
          <w:sz w:val="32"/>
          <w:szCs w:val="32"/>
          <w:lang w:val="en-US" w:eastAsia="zh-CN"/>
        </w:rPr>
        <w:t>7.</w:t>
      </w:r>
      <w:r>
        <w:rPr>
          <w:rFonts w:hint="eastAsia" w:ascii="仿宋_GB2312" w:hAnsi="仿宋_GB2312" w:eastAsia="仿宋_GB2312" w:cs="仿宋_GB2312"/>
          <w:b w:val="0"/>
          <w:sz w:val="32"/>
          <w:szCs w:val="32"/>
          <w:lang w:val="en-US" w:eastAsia="zh-CN"/>
        </w:rPr>
        <w:t>投标人</w:t>
      </w:r>
      <w:r>
        <w:rPr>
          <w:rFonts w:hint="eastAsia" w:ascii="仿宋_GB2312" w:hAnsi="仿宋_GB2312" w:eastAsia="仿宋_GB2312" w:cs="仿宋_GB2312"/>
          <w:b w:val="0"/>
          <w:bCs w:val="0"/>
          <w:sz w:val="32"/>
          <w:szCs w:val="32"/>
        </w:rPr>
        <w:t>必须符合法律、行政法规规定的其他条件：单</w:t>
      </w:r>
      <w:r>
        <w:rPr>
          <w:rFonts w:hint="eastAsia" w:ascii="仿宋_GB2312" w:hAnsi="仿宋_GB2312" w:eastAsia="仿宋_GB2312" w:cs="仿宋_GB2312"/>
          <w:b w:val="0"/>
          <w:sz w:val="32"/>
          <w:szCs w:val="32"/>
        </w:rPr>
        <w:t>位负责人为同一人或者存在直接控股、管理关系的不同</w:t>
      </w:r>
      <w:r>
        <w:rPr>
          <w:rFonts w:hint="eastAsia" w:ascii="仿宋_GB2312" w:hAnsi="仿宋_GB2312" w:eastAsia="仿宋_GB2312" w:cs="仿宋_GB2312"/>
          <w:b w:val="0"/>
          <w:sz w:val="32"/>
          <w:szCs w:val="32"/>
          <w:lang w:eastAsia="zh-CN"/>
        </w:rPr>
        <w:t>投标人</w:t>
      </w:r>
      <w:r>
        <w:rPr>
          <w:rFonts w:hint="eastAsia" w:ascii="仿宋_GB2312" w:hAnsi="仿宋_GB2312" w:eastAsia="仿宋_GB2312" w:cs="仿宋_GB2312"/>
          <w:b w:val="0"/>
          <w:sz w:val="32"/>
          <w:szCs w:val="32"/>
        </w:rPr>
        <w:t>，不得同时参加本采购项目（包组）投标。为本项目提供整体设计、规范编制或者项目管理、监理、检测等服务的</w:t>
      </w:r>
      <w:r>
        <w:rPr>
          <w:rFonts w:hint="eastAsia" w:ascii="仿宋_GB2312" w:hAnsi="仿宋_GB2312" w:eastAsia="仿宋_GB2312" w:cs="仿宋_GB2312"/>
          <w:b w:val="0"/>
          <w:sz w:val="32"/>
          <w:szCs w:val="32"/>
          <w:lang w:eastAsia="zh-CN"/>
        </w:rPr>
        <w:t>投标人</w:t>
      </w:r>
      <w:r>
        <w:rPr>
          <w:rFonts w:hint="eastAsia" w:ascii="仿宋_GB2312" w:hAnsi="仿宋_GB2312" w:eastAsia="仿宋_GB2312" w:cs="仿宋_GB2312"/>
          <w:b w:val="0"/>
          <w:sz w:val="32"/>
          <w:szCs w:val="32"/>
        </w:rPr>
        <w:t>，不得再参与本项目投标。</w:t>
      </w:r>
    </w:p>
    <w:p>
      <w:pPr>
        <w:pStyle w:val="10"/>
        <w:pageBreakBefore w:val="0"/>
        <w:kinsoku/>
        <w:wordWrap/>
        <w:overflowPunct/>
        <w:topLinePunct w:val="0"/>
        <w:bidi w:val="0"/>
        <w:snapToGrid w:val="0"/>
        <w:spacing w:line="560" w:lineRule="exact"/>
        <w:ind w:firstLine="560"/>
        <w:textAlignment w:val="auto"/>
        <w:rPr>
          <w:rFonts w:hint="eastAsia" w:ascii="楷体" w:hAnsi="楷体" w:eastAsia="楷体" w:cs="楷体"/>
          <w:b w:val="0"/>
          <w:sz w:val="32"/>
          <w:szCs w:val="32"/>
        </w:rPr>
      </w:pPr>
      <w:r>
        <w:rPr>
          <w:rFonts w:hint="eastAsia" w:ascii="楷体" w:hAnsi="楷体" w:eastAsia="楷体" w:cs="楷体"/>
          <w:b w:val="0"/>
          <w:sz w:val="32"/>
          <w:szCs w:val="32"/>
          <w:lang w:val="en-US" w:eastAsia="zh-CN"/>
        </w:rPr>
        <w:t>（二）</w:t>
      </w:r>
      <w:r>
        <w:rPr>
          <w:rFonts w:hint="eastAsia" w:ascii="楷体" w:hAnsi="楷体" w:eastAsia="楷体" w:cs="楷体"/>
          <w:b w:val="0"/>
          <w:sz w:val="32"/>
          <w:szCs w:val="32"/>
        </w:rPr>
        <w:t>落实政府采购政策需满足的资格要求：</w:t>
      </w:r>
    </w:p>
    <w:p>
      <w:pPr>
        <w:pStyle w:val="10"/>
        <w:pageBreakBefore w:val="0"/>
        <w:kinsoku/>
        <w:wordWrap/>
        <w:overflowPunct/>
        <w:topLinePunct w:val="0"/>
        <w:bidi w:val="0"/>
        <w:snapToGrid w:val="0"/>
        <w:spacing w:line="560" w:lineRule="exact"/>
        <w:ind w:firstLine="560"/>
        <w:textAlignment w:val="auto"/>
        <w:rPr>
          <w:rFonts w:hint="eastAsia" w:ascii="仿宋_GB2312" w:hAnsi="仿宋_GB2312" w:eastAsia="仿宋_GB2312" w:cs="仿宋_GB2312"/>
          <w:b w:val="0"/>
          <w:sz w:val="32"/>
          <w:szCs w:val="32"/>
        </w:rPr>
      </w:pPr>
      <w:r>
        <w:rPr>
          <w:rFonts w:hint="eastAsia" w:ascii="仿宋_GB2312" w:hAnsi="仿宋_GB2312" w:eastAsia="仿宋_GB2312" w:cs="仿宋_GB2312"/>
          <w:b w:val="0"/>
          <w:sz w:val="32"/>
          <w:szCs w:val="32"/>
        </w:rPr>
        <w:t>本项目不属于专门面向中小企业采购的项目。</w:t>
      </w:r>
    </w:p>
    <w:p>
      <w:pPr>
        <w:pStyle w:val="10"/>
        <w:pageBreakBefore w:val="0"/>
        <w:kinsoku/>
        <w:wordWrap/>
        <w:overflowPunct/>
        <w:topLinePunct w:val="0"/>
        <w:bidi w:val="0"/>
        <w:snapToGrid w:val="0"/>
        <w:spacing w:line="560" w:lineRule="exact"/>
        <w:ind w:firstLine="560"/>
        <w:textAlignment w:val="auto"/>
        <w:rPr>
          <w:rFonts w:hint="eastAsia" w:ascii="仿宋_GB2312" w:hAnsi="仿宋_GB2312" w:eastAsia="仿宋_GB2312" w:cs="仿宋_GB2312"/>
          <w:b w:val="0"/>
          <w:sz w:val="32"/>
          <w:szCs w:val="32"/>
        </w:rPr>
      </w:pPr>
      <w:r>
        <w:rPr>
          <w:rFonts w:hint="eastAsia" w:ascii="楷体" w:hAnsi="楷体" w:eastAsia="楷体" w:cs="楷体"/>
          <w:b w:val="0"/>
          <w:sz w:val="32"/>
          <w:szCs w:val="32"/>
          <w:lang w:val="en-US" w:eastAsia="zh-CN"/>
        </w:rPr>
        <w:t>（三）</w:t>
      </w:r>
      <w:r>
        <w:rPr>
          <w:rFonts w:hint="eastAsia" w:ascii="楷体" w:hAnsi="楷体" w:eastAsia="楷体" w:cs="楷体"/>
          <w:b w:val="0"/>
          <w:sz w:val="32"/>
          <w:szCs w:val="32"/>
        </w:rPr>
        <w:t>本项目特定的资格要求：</w:t>
      </w:r>
    </w:p>
    <w:p>
      <w:pPr>
        <w:pStyle w:val="10"/>
        <w:pageBreakBefore w:val="0"/>
        <w:kinsoku/>
        <w:wordWrap/>
        <w:overflowPunct/>
        <w:topLinePunct w:val="0"/>
        <w:bidi w:val="0"/>
        <w:snapToGrid w:val="0"/>
        <w:spacing w:line="560" w:lineRule="exact"/>
        <w:ind w:firstLine="560"/>
        <w:textAlignment w:val="auto"/>
        <w:rPr>
          <w:rFonts w:hint="eastAsia" w:ascii="仿宋_GB2312" w:hAnsi="仿宋_GB2312" w:eastAsia="仿宋_GB2312" w:cs="仿宋_GB2312"/>
          <w:b w:val="0"/>
          <w:sz w:val="32"/>
          <w:szCs w:val="32"/>
          <w:lang w:val="en-US" w:eastAsia="zh-CN"/>
        </w:rPr>
      </w:pPr>
      <w:r>
        <w:rPr>
          <w:rFonts w:hint="eastAsia" w:ascii="仿宋_GB2312" w:hAnsi="仿宋_GB2312" w:eastAsia="仿宋_GB2312" w:cs="仿宋_GB2312"/>
          <w:b w:val="0"/>
          <w:sz w:val="32"/>
          <w:szCs w:val="32"/>
          <w:lang w:val="en-US" w:eastAsia="zh-CN"/>
        </w:rPr>
        <w:t>1.投标人应当具有国家工业和信息化部颁发的通管局域名注册商资质及CNNIC域名注册商资质。</w:t>
      </w:r>
    </w:p>
    <w:p>
      <w:pPr>
        <w:pStyle w:val="10"/>
        <w:pageBreakBefore w:val="0"/>
        <w:kinsoku/>
        <w:wordWrap/>
        <w:overflowPunct/>
        <w:topLinePunct w:val="0"/>
        <w:bidi w:val="0"/>
        <w:snapToGrid w:val="0"/>
        <w:spacing w:line="560" w:lineRule="exact"/>
        <w:ind w:firstLine="560"/>
        <w:textAlignment w:val="auto"/>
        <w:rPr>
          <w:rFonts w:hint="eastAsia" w:ascii="仿宋_GB2312" w:hAnsi="仿宋_GB2312" w:eastAsia="仿宋_GB2312" w:cs="仿宋_GB2312"/>
          <w:b w:val="0"/>
          <w:sz w:val="32"/>
          <w:szCs w:val="32"/>
          <w:lang w:val="en-US" w:eastAsia="zh-CN"/>
        </w:rPr>
      </w:pPr>
      <w:r>
        <w:rPr>
          <w:rFonts w:hint="eastAsia" w:ascii="仿宋_GB2312" w:hAnsi="仿宋_GB2312" w:eastAsia="仿宋_GB2312" w:cs="仿宋_GB2312"/>
          <w:b w:val="0"/>
          <w:sz w:val="32"/>
          <w:szCs w:val="32"/>
          <w:lang w:val="en-US" w:eastAsia="zh-CN"/>
        </w:rPr>
        <w:t>2.投标人需具有云解析系统开发及软件著作权证书。</w:t>
      </w:r>
    </w:p>
    <w:p>
      <w:pPr>
        <w:pStyle w:val="10"/>
        <w:pageBreakBefore w:val="0"/>
        <w:kinsoku/>
        <w:wordWrap/>
        <w:overflowPunct/>
        <w:topLinePunct w:val="0"/>
        <w:bidi w:val="0"/>
        <w:snapToGrid w:val="0"/>
        <w:spacing w:line="560" w:lineRule="exact"/>
        <w:ind w:firstLine="560"/>
        <w:textAlignment w:val="auto"/>
        <w:rPr>
          <w:rFonts w:hint="eastAsia" w:ascii="仿宋_GB2312" w:hAnsi="仿宋_GB2312" w:eastAsia="仿宋_GB2312" w:cs="仿宋_GB2312"/>
          <w:b w:val="0"/>
          <w:sz w:val="32"/>
          <w:szCs w:val="32"/>
          <w:lang w:val="en-US" w:eastAsia="zh-CN"/>
        </w:rPr>
      </w:pPr>
      <w:r>
        <w:rPr>
          <w:rFonts w:hint="eastAsia" w:ascii="仿宋_GB2312" w:hAnsi="仿宋_GB2312" w:eastAsia="仿宋_GB2312" w:cs="仿宋_GB2312"/>
          <w:b w:val="0"/>
          <w:sz w:val="32"/>
          <w:szCs w:val="32"/>
          <w:lang w:val="en-US" w:eastAsia="zh-CN"/>
        </w:rPr>
        <w:t>3.投标人要求有完整的、专职的技术维护团队，技术维护的主要职责包括应用故障排除及功能维护服务。</w:t>
      </w:r>
    </w:p>
    <w:p>
      <w:pPr>
        <w:pStyle w:val="10"/>
        <w:pageBreakBefore w:val="0"/>
        <w:kinsoku/>
        <w:wordWrap/>
        <w:overflowPunct/>
        <w:topLinePunct w:val="0"/>
        <w:bidi w:val="0"/>
        <w:snapToGrid w:val="0"/>
        <w:spacing w:line="560" w:lineRule="exact"/>
        <w:ind w:firstLine="560"/>
        <w:textAlignment w:val="auto"/>
        <w:rPr>
          <w:rFonts w:hint="eastAsia" w:ascii="仿宋_GB2312" w:hAnsi="仿宋_GB2312" w:eastAsia="仿宋_GB2312" w:cs="仿宋_GB2312"/>
          <w:b w:val="0"/>
          <w:sz w:val="32"/>
          <w:szCs w:val="32"/>
          <w:lang w:val="en-US" w:eastAsia="zh-CN"/>
        </w:rPr>
      </w:pPr>
      <w:r>
        <w:rPr>
          <w:rFonts w:hint="eastAsia" w:ascii="仿宋_GB2312" w:hAnsi="仿宋_GB2312" w:eastAsia="仿宋_GB2312" w:cs="仿宋_GB2312"/>
          <w:b w:val="0"/>
          <w:sz w:val="32"/>
          <w:szCs w:val="32"/>
          <w:lang w:val="en-US" w:eastAsia="zh-CN"/>
        </w:rPr>
        <w:t>4.投标人提供故障处理服务，提供服务人员手机，接服务请求：进行域名解析问题处理，解答技术方面的咨询。</w:t>
      </w:r>
    </w:p>
    <w:p>
      <w:pPr>
        <w:pStyle w:val="10"/>
        <w:pageBreakBefore w:val="0"/>
        <w:kinsoku/>
        <w:wordWrap/>
        <w:overflowPunct/>
        <w:topLinePunct w:val="0"/>
        <w:bidi w:val="0"/>
        <w:snapToGrid w:val="0"/>
        <w:spacing w:line="560" w:lineRule="exact"/>
        <w:ind w:firstLine="560"/>
        <w:textAlignment w:val="auto"/>
        <w:rPr>
          <w:rFonts w:hint="eastAsia" w:ascii="仿宋_GB2312" w:hAnsi="仿宋_GB2312" w:eastAsia="仿宋_GB2312" w:cs="仿宋_GB2312"/>
          <w:b w:val="0"/>
          <w:sz w:val="32"/>
          <w:szCs w:val="32"/>
          <w:lang w:val="en-US" w:eastAsia="zh-CN"/>
        </w:rPr>
      </w:pPr>
      <w:r>
        <w:rPr>
          <w:rFonts w:hint="eastAsia" w:ascii="仿宋_GB2312" w:hAnsi="仿宋_GB2312" w:eastAsia="仿宋_GB2312" w:cs="仿宋_GB2312"/>
          <w:b w:val="0"/>
          <w:sz w:val="32"/>
          <w:szCs w:val="32"/>
          <w:lang w:val="en-US" w:eastAsia="zh-CN"/>
        </w:rPr>
        <w:t>5.投标人在日常维护、故障处理、客户投诉、数据分析等方面提供技术支持。</w:t>
      </w:r>
    </w:p>
    <w:p>
      <w:pPr>
        <w:pStyle w:val="10"/>
        <w:pageBreakBefore w:val="0"/>
        <w:kinsoku/>
        <w:wordWrap/>
        <w:overflowPunct/>
        <w:topLinePunct w:val="0"/>
        <w:bidi w:val="0"/>
        <w:snapToGrid w:val="0"/>
        <w:spacing w:line="560" w:lineRule="exact"/>
        <w:ind w:firstLine="560"/>
        <w:textAlignment w:val="auto"/>
        <w:rPr>
          <w:rFonts w:hint="default" w:ascii="仿宋_GB2312" w:hAnsi="仿宋_GB2312" w:eastAsia="仿宋_GB2312" w:cs="仿宋_GB2312"/>
          <w:b w:val="0"/>
          <w:sz w:val="32"/>
          <w:szCs w:val="32"/>
          <w:lang w:val="en-US" w:eastAsia="zh-CN"/>
        </w:rPr>
      </w:pPr>
      <w:r>
        <w:rPr>
          <w:rFonts w:hint="eastAsia" w:ascii="仿宋_GB2312" w:hAnsi="仿宋_GB2312" w:eastAsia="仿宋_GB2312" w:cs="仿宋_GB2312"/>
          <w:b w:val="0"/>
          <w:sz w:val="32"/>
          <w:szCs w:val="32"/>
          <w:lang w:val="en-US" w:eastAsia="zh-CN"/>
        </w:rPr>
        <w:t>6.投标人建立专门的技术支持档案，主动征询服务请求，提供预防维护，以使云解析系统得到最大的无故障运行时间。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三、服务内容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（一）IPv6域名云解析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1.服务参数要求：</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2"/>
        <w:gridCol w:w="3958"/>
        <w:gridCol w:w="30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040" w:type="dxa"/>
            <w:gridSpan w:val="2"/>
            <w:vAlign w:val="center"/>
          </w:tcPr>
          <w:p>
            <w:pPr>
              <w:widowControl/>
              <w:autoSpaceDE/>
              <w:autoSpaceDN/>
              <w:jc w:val="center"/>
              <w:rPr>
                <w:rFonts w:hint="eastAsia" w:ascii="黑体" w:hAnsi="黑体" w:eastAsia="黑体" w:cs="黑体"/>
                <w:color w:val="000000"/>
                <w:sz w:val="28"/>
                <w:szCs w:val="28"/>
                <w:lang w:val="en-US" w:eastAsia="zh-CN" w:bidi="ar-SA"/>
              </w:rPr>
            </w:pPr>
            <w:r>
              <w:rPr>
                <w:rFonts w:hint="eastAsia" w:ascii="黑体" w:hAnsi="黑体" w:eastAsia="黑体" w:cs="黑体"/>
                <w:color w:val="000000"/>
                <w:sz w:val="28"/>
                <w:szCs w:val="28"/>
                <w:lang w:val="en-US" w:eastAsia="zh-CN" w:bidi="ar-SA"/>
              </w:rPr>
              <w:t>服务类型</w:t>
            </w:r>
          </w:p>
        </w:tc>
        <w:tc>
          <w:tcPr>
            <w:tcW w:w="3021"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82" w:type="dxa"/>
            <w:vMerge w:val="restart"/>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云防护</w:t>
            </w:r>
          </w:p>
        </w:tc>
        <w:tc>
          <w:tcPr>
            <w:tcW w:w="3958" w:type="dxa"/>
            <w:vAlign w:val="center"/>
          </w:tcPr>
          <w:p>
            <w:pPr>
              <w:widowControl/>
              <w:autoSpaceDE/>
              <w:autoSpaceDN/>
              <w:jc w:val="center"/>
              <w:rPr>
                <w:rFonts w:hint="eastAsia" w:ascii="宋体" w:hAnsi="宋体" w:eastAsia="宋体" w:cs="宋体"/>
                <w:sz w:val="28"/>
                <w:szCs w:val="28"/>
                <w:vertAlign w:val="baseline"/>
                <w:lang w:val="en-US" w:eastAsia="zh-CN"/>
              </w:rPr>
            </w:pPr>
            <w:r>
              <w:rPr>
                <w:rFonts w:hint="eastAsia" w:ascii="宋体" w:hAnsi="宋体" w:eastAsia="宋体" w:cs="宋体"/>
                <w:color w:val="000000"/>
                <w:sz w:val="28"/>
                <w:szCs w:val="28"/>
                <w:lang w:val="en-US" w:bidi="ar-SA"/>
              </w:rPr>
              <w:t>DNS防护QPS</w:t>
            </w:r>
          </w:p>
        </w:tc>
        <w:tc>
          <w:tcPr>
            <w:tcW w:w="3021"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1500万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82" w:type="dxa"/>
            <w:vMerge w:val="continue"/>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8"/>
                <w:szCs w:val="28"/>
                <w:vertAlign w:val="baseline"/>
                <w:lang w:val="en-US" w:eastAsia="zh-CN"/>
              </w:rPr>
            </w:pPr>
          </w:p>
        </w:tc>
        <w:tc>
          <w:tcPr>
            <w:tcW w:w="3958" w:type="dxa"/>
            <w:vAlign w:val="center"/>
          </w:tcPr>
          <w:p>
            <w:pPr>
              <w:widowControl/>
              <w:autoSpaceDE/>
              <w:autoSpaceDN/>
              <w:jc w:val="center"/>
              <w:rPr>
                <w:rFonts w:hint="eastAsia" w:ascii="宋体" w:hAnsi="宋体" w:eastAsia="宋体" w:cs="宋体"/>
                <w:sz w:val="28"/>
                <w:szCs w:val="28"/>
                <w:vertAlign w:val="baseline"/>
                <w:lang w:val="en-US" w:eastAsia="zh-CN"/>
              </w:rPr>
            </w:pPr>
            <w:r>
              <w:rPr>
                <w:rFonts w:hint="eastAsia" w:ascii="宋体" w:hAnsi="宋体" w:eastAsia="宋体" w:cs="宋体"/>
                <w:color w:val="000000"/>
                <w:sz w:val="28"/>
                <w:szCs w:val="28"/>
                <w:lang w:val="en-US" w:bidi="ar-SA"/>
              </w:rPr>
              <w:t>DNS防护流量</w:t>
            </w:r>
          </w:p>
        </w:tc>
        <w:tc>
          <w:tcPr>
            <w:tcW w:w="3021"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150G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82" w:type="dxa"/>
            <w:vMerge w:val="continue"/>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8"/>
                <w:szCs w:val="28"/>
                <w:vertAlign w:val="baseline"/>
                <w:lang w:val="en-US" w:eastAsia="zh-CN"/>
              </w:rPr>
            </w:pPr>
          </w:p>
        </w:tc>
        <w:tc>
          <w:tcPr>
            <w:tcW w:w="3958" w:type="dxa"/>
            <w:vAlign w:val="center"/>
          </w:tcPr>
          <w:p>
            <w:pPr>
              <w:widowControl/>
              <w:autoSpaceDE/>
              <w:autoSpaceDN/>
              <w:jc w:val="center"/>
              <w:rPr>
                <w:rFonts w:hint="eastAsia" w:ascii="宋体" w:hAnsi="宋体" w:eastAsia="宋体" w:cs="宋体"/>
                <w:sz w:val="28"/>
                <w:szCs w:val="28"/>
                <w:vertAlign w:val="baseline"/>
                <w:lang w:val="en-US" w:eastAsia="zh-CN"/>
              </w:rPr>
            </w:pPr>
            <w:r>
              <w:rPr>
                <w:rFonts w:hint="eastAsia" w:ascii="宋体" w:hAnsi="宋体" w:eastAsia="宋体" w:cs="宋体"/>
                <w:color w:val="000000"/>
                <w:sz w:val="28"/>
                <w:szCs w:val="28"/>
                <w:lang w:val="en-US" w:bidi="ar-SA"/>
              </w:rPr>
              <w:t>实时QPS数据</w:t>
            </w:r>
          </w:p>
        </w:tc>
        <w:tc>
          <w:tcPr>
            <w:tcW w:w="3021"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82" w:type="dxa"/>
            <w:vMerge w:val="continue"/>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8"/>
                <w:szCs w:val="28"/>
                <w:vertAlign w:val="baseline"/>
                <w:lang w:val="en-US" w:eastAsia="zh-CN"/>
              </w:rPr>
            </w:pPr>
          </w:p>
        </w:tc>
        <w:tc>
          <w:tcPr>
            <w:tcW w:w="3958" w:type="dxa"/>
            <w:vAlign w:val="center"/>
          </w:tcPr>
          <w:p>
            <w:pPr>
              <w:widowControl/>
              <w:autoSpaceDE/>
              <w:autoSpaceDN/>
              <w:jc w:val="center"/>
              <w:rPr>
                <w:rFonts w:hint="eastAsia" w:ascii="宋体" w:hAnsi="宋体" w:eastAsia="宋体" w:cs="宋体"/>
                <w:sz w:val="28"/>
                <w:szCs w:val="28"/>
                <w:vertAlign w:val="baseline"/>
                <w:lang w:val="en-US" w:eastAsia="zh-CN"/>
              </w:rPr>
            </w:pPr>
            <w:r>
              <w:rPr>
                <w:rFonts w:hint="eastAsia" w:ascii="宋体" w:hAnsi="宋体" w:eastAsia="宋体" w:cs="宋体"/>
                <w:color w:val="000000"/>
                <w:sz w:val="28"/>
                <w:szCs w:val="28"/>
                <w:lang w:val="en-US" w:bidi="ar-SA"/>
              </w:rPr>
              <w:t>日志分析</w:t>
            </w:r>
          </w:p>
        </w:tc>
        <w:tc>
          <w:tcPr>
            <w:tcW w:w="3021"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82" w:type="dxa"/>
            <w:vMerge w:val="continue"/>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8"/>
                <w:szCs w:val="28"/>
                <w:vertAlign w:val="baseline"/>
                <w:lang w:val="en-US" w:eastAsia="zh-CN"/>
              </w:rPr>
            </w:pPr>
          </w:p>
        </w:tc>
        <w:tc>
          <w:tcPr>
            <w:tcW w:w="3958" w:type="dxa"/>
            <w:vAlign w:val="center"/>
          </w:tcPr>
          <w:p>
            <w:pPr>
              <w:widowControl/>
              <w:autoSpaceDE/>
              <w:autoSpaceDN/>
              <w:jc w:val="center"/>
              <w:rPr>
                <w:rFonts w:hint="eastAsia" w:ascii="宋体" w:hAnsi="宋体" w:eastAsia="宋体" w:cs="宋体"/>
                <w:sz w:val="28"/>
                <w:szCs w:val="28"/>
                <w:vertAlign w:val="baseline"/>
                <w:lang w:val="en-US" w:eastAsia="zh-CN"/>
              </w:rPr>
            </w:pPr>
            <w:r>
              <w:rPr>
                <w:rFonts w:hint="eastAsia" w:ascii="宋体" w:hAnsi="宋体" w:eastAsia="宋体" w:cs="宋体"/>
                <w:color w:val="000000"/>
                <w:sz w:val="28"/>
                <w:szCs w:val="28"/>
                <w:lang w:val="en-US" w:bidi="ar-SA"/>
              </w:rPr>
              <w:t>日志下载</w:t>
            </w:r>
          </w:p>
        </w:tc>
        <w:tc>
          <w:tcPr>
            <w:tcW w:w="3021"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82" w:type="dxa"/>
            <w:vMerge w:val="continue"/>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8"/>
                <w:szCs w:val="28"/>
                <w:vertAlign w:val="baseline"/>
                <w:lang w:val="en-US" w:eastAsia="zh-CN"/>
              </w:rPr>
            </w:pPr>
          </w:p>
        </w:tc>
        <w:tc>
          <w:tcPr>
            <w:tcW w:w="3958" w:type="dxa"/>
            <w:vAlign w:val="center"/>
          </w:tcPr>
          <w:p>
            <w:pPr>
              <w:widowControl/>
              <w:autoSpaceDE/>
              <w:autoSpaceDN/>
              <w:jc w:val="center"/>
              <w:rPr>
                <w:rFonts w:hint="eastAsia" w:ascii="宋体" w:hAnsi="宋体" w:eastAsia="宋体" w:cs="宋体"/>
                <w:sz w:val="28"/>
                <w:szCs w:val="28"/>
                <w:vertAlign w:val="baseline"/>
                <w:lang w:val="en-US" w:eastAsia="zh-CN"/>
              </w:rPr>
            </w:pPr>
            <w:r>
              <w:rPr>
                <w:rFonts w:hint="eastAsia" w:ascii="宋体" w:hAnsi="宋体" w:eastAsia="宋体" w:cs="宋体"/>
                <w:color w:val="000000"/>
                <w:sz w:val="28"/>
                <w:szCs w:val="28"/>
                <w:lang w:val="en-US" w:bidi="ar-SA"/>
              </w:rPr>
              <w:t>攻击抓包</w:t>
            </w:r>
          </w:p>
        </w:tc>
        <w:tc>
          <w:tcPr>
            <w:tcW w:w="3021"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82" w:type="dxa"/>
            <w:vMerge w:val="restart"/>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节点</w:t>
            </w:r>
          </w:p>
        </w:tc>
        <w:tc>
          <w:tcPr>
            <w:tcW w:w="3958" w:type="dxa"/>
            <w:vAlign w:val="center"/>
          </w:tcPr>
          <w:p>
            <w:pPr>
              <w:widowControl/>
              <w:autoSpaceDE/>
              <w:autoSpaceDN/>
              <w:jc w:val="center"/>
              <w:rPr>
                <w:rFonts w:hint="eastAsia" w:ascii="宋体" w:hAnsi="宋体" w:eastAsia="宋体" w:cs="宋体"/>
                <w:sz w:val="28"/>
                <w:szCs w:val="28"/>
                <w:vertAlign w:val="baseline"/>
                <w:lang w:val="en-US" w:eastAsia="zh-CN"/>
              </w:rPr>
            </w:pPr>
            <w:r>
              <w:rPr>
                <w:rFonts w:hint="eastAsia" w:ascii="宋体" w:hAnsi="宋体" w:eastAsia="宋体" w:cs="宋体"/>
                <w:color w:val="000000"/>
                <w:sz w:val="28"/>
                <w:szCs w:val="28"/>
                <w:lang w:val="en-US" w:bidi="ar-SA"/>
              </w:rPr>
              <w:t>电信</w:t>
            </w:r>
          </w:p>
        </w:tc>
        <w:tc>
          <w:tcPr>
            <w:tcW w:w="3021"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82" w:type="dxa"/>
            <w:vMerge w:val="continue"/>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8"/>
                <w:szCs w:val="28"/>
                <w:vertAlign w:val="baseline"/>
                <w:lang w:val="en-US" w:eastAsia="zh-CN"/>
              </w:rPr>
            </w:pPr>
          </w:p>
        </w:tc>
        <w:tc>
          <w:tcPr>
            <w:tcW w:w="3958" w:type="dxa"/>
            <w:vAlign w:val="center"/>
          </w:tcPr>
          <w:p>
            <w:pPr>
              <w:widowControl/>
              <w:autoSpaceDE/>
              <w:autoSpaceDN/>
              <w:jc w:val="center"/>
              <w:rPr>
                <w:rFonts w:hint="eastAsia" w:ascii="宋体" w:hAnsi="宋体" w:eastAsia="宋体" w:cs="宋体"/>
                <w:sz w:val="28"/>
                <w:szCs w:val="28"/>
                <w:vertAlign w:val="baseline"/>
                <w:lang w:val="en-US" w:eastAsia="zh-CN"/>
              </w:rPr>
            </w:pPr>
            <w:r>
              <w:rPr>
                <w:rFonts w:hint="eastAsia" w:ascii="宋体" w:hAnsi="宋体" w:eastAsia="宋体" w:cs="宋体"/>
                <w:color w:val="000000"/>
                <w:sz w:val="28"/>
                <w:szCs w:val="28"/>
                <w:lang w:val="en-US" w:bidi="ar-SA"/>
              </w:rPr>
              <w:t>联通</w:t>
            </w:r>
          </w:p>
        </w:tc>
        <w:tc>
          <w:tcPr>
            <w:tcW w:w="3021"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82" w:type="dxa"/>
            <w:vMerge w:val="continue"/>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8"/>
                <w:szCs w:val="28"/>
                <w:vertAlign w:val="baseline"/>
                <w:lang w:val="en-US" w:eastAsia="zh-CN"/>
              </w:rPr>
            </w:pPr>
          </w:p>
        </w:tc>
        <w:tc>
          <w:tcPr>
            <w:tcW w:w="3958" w:type="dxa"/>
            <w:vAlign w:val="center"/>
          </w:tcPr>
          <w:p>
            <w:pPr>
              <w:widowControl/>
              <w:autoSpaceDE/>
              <w:autoSpaceDN/>
              <w:jc w:val="center"/>
              <w:rPr>
                <w:rFonts w:hint="eastAsia" w:ascii="宋体" w:hAnsi="宋体" w:eastAsia="宋体" w:cs="宋体"/>
                <w:sz w:val="28"/>
                <w:szCs w:val="28"/>
                <w:vertAlign w:val="baseline"/>
                <w:lang w:val="en-US" w:eastAsia="zh-CN"/>
              </w:rPr>
            </w:pPr>
            <w:r>
              <w:rPr>
                <w:rFonts w:hint="eastAsia" w:ascii="宋体" w:hAnsi="宋体" w:eastAsia="宋体" w:cs="宋体"/>
                <w:color w:val="000000"/>
                <w:sz w:val="28"/>
                <w:szCs w:val="28"/>
                <w:lang w:val="en-US" w:bidi="ar-SA"/>
              </w:rPr>
              <w:t>移动</w:t>
            </w:r>
          </w:p>
        </w:tc>
        <w:tc>
          <w:tcPr>
            <w:tcW w:w="3021"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82" w:type="dxa"/>
            <w:vMerge w:val="continue"/>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8"/>
                <w:szCs w:val="28"/>
                <w:vertAlign w:val="baseline"/>
                <w:lang w:val="en-US" w:eastAsia="zh-CN"/>
              </w:rPr>
            </w:pPr>
          </w:p>
        </w:tc>
        <w:tc>
          <w:tcPr>
            <w:tcW w:w="3958" w:type="dxa"/>
            <w:vAlign w:val="center"/>
          </w:tcPr>
          <w:p>
            <w:pPr>
              <w:widowControl/>
              <w:autoSpaceDE/>
              <w:autoSpaceDN/>
              <w:jc w:val="center"/>
              <w:rPr>
                <w:rFonts w:hint="eastAsia" w:ascii="宋体" w:hAnsi="宋体" w:eastAsia="宋体" w:cs="宋体"/>
                <w:sz w:val="28"/>
                <w:szCs w:val="28"/>
                <w:vertAlign w:val="baseline"/>
                <w:lang w:val="en-US" w:eastAsia="zh-CN"/>
              </w:rPr>
            </w:pPr>
            <w:r>
              <w:rPr>
                <w:rFonts w:hint="eastAsia" w:ascii="宋体" w:hAnsi="宋体" w:eastAsia="宋体" w:cs="宋体"/>
                <w:color w:val="000000"/>
                <w:sz w:val="28"/>
                <w:szCs w:val="28"/>
                <w:lang w:val="en-US" w:bidi="ar-SA"/>
              </w:rPr>
              <w:t>铁网</w:t>
            </w:r>
          </w:p>
        </w:tc>
        <w:tc>
          <w:tcPr>
            <w:tcW w:w="3021"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82" w:type="dxa"/>
            <w:vMerge w:val="continue"/>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8"/>
                <w:szCs w:val="28"/>
                <w:vertAlign w:val="baseline"/>
                <w:lang w:val="en-US" w:eastAsia="zh-CN"/>
              </w:rPr>
            </w:pPr>
          </w:p>
        </w:tc>
        <w:tc>
          <w:tcPr>
            <w:tcW w:w="3958" w:type="dxa"/>
            <w:vAlign w:val="center"/>
          </w:tcPr>
          <w:p>
            <w:pPr>
              <w:widowControl/>
              <w:autoSpaceDE/>
              <w:autoSpaceDN/>
              <w:jc w:val="center"/>
              <w:rPr>
                <w:rFonts w:hint="eastAsia" w:ascii="宋体" w:hAnsi="宋体" w:eastAsia="宋体" w:cs="宋体"/>
                <w:sz w:val="28"/>
                <w:szCs w:val="28"/>
                <w:vertAlign w:val="baseline"/>
                <w:lang w:val="en-US" w:eastAsia="zh-CN"/>
              </w:rPr>
            </w:pPr>
            <w:r>
              <w:rPr>
                <w:rFonts w:hint="eastAsia" w:ascii="宋体" w:hAnsi="宋体" w:eastAsia="宋体" w:cs="宋体"/>
                <w:color w:val="000000"/>
                <w:sz w:val="28"/>
                <w:szCs w:val="28"/>
                <w:lang w:val="en-US" w:bidi="ar-SA"/>
              </w:rPr>
              <w:t>教育网</w:t>
            </w:r>
          </w:p>
        </w:tc>
        <w:tc>
          <w:tcPr>
            <w:tcW w:w="3021"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82" w:type="dxa"/>
            <w:vMerge w:val="continue"/>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8"/>
                <w:szCs w:val="28"/>
                <w:vertAlign w:val="baseline"/>
                <w:lang w:val="en-US" w:eastAsia="zh-CN"/>
              </w:rPr>
            </w:pPr>
          </w:p>
        </w:tc>
        <w:tc>
          <w:tcPr>
            <w:tcW w:w="3958" w:type="dxa"/>
            <w:vAlign w:val="center"/>
          </w:tcPr>
          <w:p>
            <w:pPr>
              <w:widowControl/>
              <w:autoSpaceDE/>
              <w:autoSpaceDN/>
              <w:jc w:val="center"/>
              <w:rPr>
                <w:rFonts w:hint="eastAsia" w:ascii="宋体" w:hAnsi="宋体" w:eastAsia="宋体" w:cs="宋体"/>
                <w:sz w:val="28"/>
                <w:szCs w:val="28"/>
                <w:vertAlign w:val="baseline"/>
                <w:lang w:val="en-US" w:eastAsia="zh-CN"/>
              </w:rPr>
            </w:pPr>
            <w:r>
              <w:rPr>
                <w:rFonts w:hint="eastAsia" w:ascii="宋体" w:hAnsi="宋体" w:eastAsia="宋体" w:cs="宋体"/>
                <w:color w:val="000000"/>
                <w:sz w:val="28"/>
                <w:szCs w:val="28"/>
                <w:lang w:val="en-US" w:bidi="ar-SA"/>
              </w:rPr>
              <w:t>科技网</w:t>
            </w:r>
          </w:p>
        </w:tc>
        <w:tc>
          <w:tcPr>
            <w:tcW w:w="3021"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82" w:type="dxa"/>
            <w:vMerge w:val="continue"/>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8"/>
                <w:szCs w:val="28"/>
                <w:vertAlign w:val="baseline"/>
                <w:lang w:val="en-US" w:eastAsia="zh-CN"/>
              </w:rPr>
            </w:pPr>
          </w:p>
        </w:tc>
        <w:tc>
          <w:tcPr>
            <w:tcW w:w="3958" w:type="dxa"/>
            <w:vAlign w:val="center"/>
          </w:tcPr>
          <w:p>
            <w:pPr>
              <w:widowControl/>
              <w:autoSpaceDE/>
              <w:autoSpaceDN/>
              <w:jc w:val="center"/>
              <w:rPr>
                <w:rFonts w:hint="eastAsia" w:ascii="宋体" w:hAnsi="宋体" w:eastAsia="宋体" w:cs="宋体"/>
                <w:sz w:val="28"/>
                <w:szCs w:val="28"/>
                <w:vertAlign w:val="baseline"/>
                <w:lang w:val="en-US" w:eastAsia="zh-CN"/>
              </w:rPr>
            </w:pPr>
            <w:r>
              <w:rPr>
                <w:rFonts w:hint="eastAsia" w:ascii="宋体" w:hAnsi="宋体" w:eastAsia="宋体" w:cs="宋体"/>
                <w:color w:val="000000"/>
                <w:sz w:val="28"/>
                <w:szCs w:val="28"/>
                <w:lang w:val="en-US" w:bidi="ar-SA"/>
              </w:rPr>
              <w:t>阿里云</w:t>
            </w:r>
          </w:p>
        </w:tc>
        <w:tc>
          <w:tcPr>
            <w:tcW w:w="3021"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82" w:type="dxa"/>
            <w:vMerge w:val="continue"/>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8"/>
                <w:szCs w:val="28"/>
                <w:vertAlign w:val="baseline"/>
                <w:lang w:val="en-US" w:eastAsia="zh-CN"/>
              </w:rPr>
            </w:pPr>
          </w:p>
        </w:tc>
        <w:tc>
          <w:tcPr>
            <w:tcW w:w="3958" w:type="dxa"/>
            <w:vAlign w:val="center"/>
          </w:tcPr>
          <w:p>
            <w:pPr>
              <w:widowControl/>
              <w:autoSpaceDE/>
              <w:autoSpaceDN/>
              <w:jc w:val="center"/>
              <w:rPr>
                <w:rFonts w:hint="eastAsia" w:ascii="宋体" w:hAnsi="宋体" w:eastAsia="宋体" w:cs="宋体"/>
                <w:sz w:val="28"/>
                <w:szCs w:val="28"/>
                <w:vertAlign w:val="baseline"/>
                <w:lang w:val="en-US" w:eastAsia="zh-CN"/>
              </w:rPr>
            </w:pPr>
            <w:r>
              <w:rPr>
                <w:rFonts w:hint="eastAsia" w:ascii="宋体" w:hAnsi="宋体" w:eastAsia="宋体" w:cs="宋体"/>
                <w:color w:val="000000"/>
                <w:sz w:val="28"/>
                <w:szCs w:val="28"/>
                <w:lang w:val="en-US" w:bidi="ar-SA"/>
              </w:rPr>
              <w:t>广电</w:t>
            </w:r>
          </w:p>
        </w:tc>
        <w:tc>
          <w:tcPr>
            <w:tcW w:w="3021"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82" w:type="dxa"/>
            <w:vMerge w:val="continue"/>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8"/>
                <w:szCs w:val="28"/>
                <w:vertAlign w:val="baseline"/>
                <w:lang w:val="en-US" w:eastAsia="zh-CN"/>
              </w:rPr>
            </w:pPr>
          </w:p>
        </w:tc>
        <w:tc>
          <w:tcPr>
            <w:tcW w:w="3958" w:type="dxa"/>
            <w:vAlign w:val="center"/>
          </w:tcPr>
          <w:p>
            <w:pPr>
              <w:widowControl/>
              <w:autoSpaceDE/>
              <w:autoSpaceDN/>
              <w:jc w:val="center"/>
              <w:rPr>
                <w:rFonts w:hint="eastAsia" w:ascii="宋体" w:hAnsi="宋体" w:eastAsia="宋体" w:cs="宋体"/>
                <w:sz w:val="28"/>
                <w:szCs w:val="28"/>
                <w:vertAlign w:val="baseline"/>
                <w:lang w:val="en-US" w:eastAsia="zh-CN"/>
              </w:rPr>
            </w:pPr>
            <w:r>
              <w:rPr>
                <w:rFonts w:hint="eastAsia" w:ascii="宋体" w:hAnsi="宋体" w:eastAsia="宋体" w:cs="宋体"/>
                <w:color w:val="000000"/>
                <w:sz w:val="28"/>
                <w:szCs w:val="28"/>
                <w:lang w:val="en-US" w:bidi="ar-SA"/>
              </w:rPr>
              <w:t>港澳台</w:t>
            </w:r>
          </w:p>
        </w:tc>
        <w:tc>
          <w:tcPr>
            <w:tcW w:w="3021"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82" w:type="dxa"/>
            <w:vMerge w:val="continue"/>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8"/>
                <w:szCs w:val="28"/>
                <w:vertAlign w:val="baseline"/>
                <w:lang w:val="en-US" w:eastAsia="zh-CN"/>
              </w:rPr>
            </w:pPr>
          </w:p>
        </w:tc>
        <w:tc>
          <w:tcPr>
            <w:tcW w:w="3958" w:type="dxa"/>
            <w:vAlign w:val="center"/>
          </w:tcPr>
          <w:p>
            <w:pPr>
              <w:widowControl/>
              <w:autoSpaceDE/>
              <w:autoSpaceDN/>
              <w:jc w:val="center"/>
              <w:rPr>
                <w:rFonts w:hint="eastAsia" w:ascii="宋体" w:hAnsi="宋体" w:eastAsia="宋体" w:cs="宋体"/>
                <w:sz w:val="28"/>
                <w:szCs w:val="28"/>
                <w:vertAlign w:val="baseline"/>
                <w:lang w:val="en-US" w:eastAsia="zh-CN"/>
              </w:rPr>
            </w:pPr>
            <w:r>
              <w:rPr>
                <w:rFonts w:hint="eastAsia" w:ascii="宋体" w:hAnsi="宋体" w:eastAsia="宋体" w:cs="宋体"/>
                <w:color w:val="000000"/>
                <w:sz w:val="28"/>
                <w:szCs w:val="28"/>
                <w:lang w:val="en-US" w:bidi="ar-SA"/>
              </w:rPr>
              <w:t>海外</w:t>
            </w:r>
          </w:p>
        </w:tc>
        <w:tc>
          <w:tcPr>
            <w:tcW w:w="3021"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82" w:type="dxa"/>
            <w:vMerge w:val="restart"/>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解析</w:t>
            </w:r>
          </w:p>
        </w:tc>
        <w:tc>
          <w:tcPr>
            <w:tcW w:w="3958" w:type="dxa"/>
            <w:vAlign w:val="center"/>
          </w:tcPr>
          <w:p>
            <w:pPr>
              <w:widowControl/>
              <w:autoSpaceDE/>
              <w:autoSpaceDN/>
              <w:jc w:val="center"/>
              <w:rPr>
                <w:rFonts w:hint="eastAsia" w:ascii="宋体" w:hAnsi="宋体" w:eastAsia="宋体" w:cs="宋体"/>
                <w:sz w:val="28"/>
                <w:szCs w:val="28"/>
                <w:vertAlign w:val="baseline"/>
                <w:lang w:val="en-US" w:eastAsia="zh-CN"/>
              </w:rPr>
            </w:pPr>
            <w:r>
              <w:rPr>
                <w:rFonts w:hint="eastAsia" w:ascii="宋体" w:hAnsi="宋体" w:eastAsia="宋体" w:cs="宋体"/>
                <w:color w:val="000000"/>
                <w:sz w:val="28"/>
                <w:szCs w:val="28"/>
                <w:lang w:val="en-US" w:bidi="ar-SA"/>
              </w:rPr>
              <w:t>A</w:t>
            </w:r>
            <w:r>
              <w:rPr>
                <w:rFonts w:ascii="宋体" w:hAnsi="宋体" w:eastAsia="宋体" w:cs="宋体"/>
                <w:color w:val="000000"/>
                <w:sz w:val="28"/>
                <w:szCs w:val="28"/>
                <w:lang w:val="en-US" w:bidi="ar-SA"/>
              </w:rPr>
              <w:t>AAA</w:t>
            </w:r>
            <w:r>
              <w:rPr>
                <w:rFonts w:hint="eastAsia" w:ascii="宋体" w:hAnsi="宋体" w:eastAsia="宋体" w:cs="宋体"/>
                <w:color w:val="000000"/>
                <w:sz w:val="28"/>
                <w:szCs w:val="28"/>
                <w:lang w:val="en-US" w:bidi="ar-SA"/>
              </w:rPr>
              <w:t>地址解析</w:t>
            </w:r>
          </w:p>
        </w:tc>
        <w:tc>
          <w:tcPr>
            <w:tcW w:w="3021"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82" w:type="dxa"/>
            <w:vMerge w:val="continue"/>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8"/>
                <w:szCs w:val="28"/>
                <w:vertAlign w:val="baseline"/>
                <w:lang w:val="en-US" w:eastAsia="zh-CN"/>
              </w:rPr>
            </w:pPr>
          </w:p>
        </w:tc>
        <w:tc>
          <w:tcPr>
            <w:tcW w:w="3958" w:type="dxa"/>
            <w:vAlign w:val="center"/>
          </w:tcPr>
          <w:p>
            <w:pPr>
              <w:widowControl/>
              <w:autoSpaceDE/>
              <w:autoSpaceDN/>
              <w:jc w:val="center"/>
              <w:rPr>
                <w:rFonts w:hint="eastAsia" w:ascii="宋体" w:hAnsi="宋体" w:eastAsia="宋体" w:cs="宋体"/>
                <w:sz w:val="28"/>
                <w:szCs w:val="28"/>
                <w:vertAlign w:val="baseline"/>
                <w:lang w:val="en-US" w:eastAsia="zh-CN"/>
              </w:rPr>
            </w:pPr>
            <w:r>
              <w:rPr>
                <w:rFonts w:hint="eastAsia" w:ascii="宋体" w:hAnsi="宋体" w:eastAsia="宋体" w:cs="宋体"/>
                <w:color w:val="000000"/>
                <w:sz w:val="28"/>
                <w:szCs w:val="28"/>
                <w:lang w:val="en-US" w:bidi="ar-SA"/>
              </w:rPr>
              <w:t>A记录负载均衡（条）</w:t>
            </w:r>
          </w:p>
        </w:tc>
        <w:tc>
          <w:tcPr>
            <w:tcW w:w="3021"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82" w:type="dxa"/>
            <w:vMerge w:val="continue"/>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8"/>
                <w:szCs w:val="28"/>
                <w:vertAlign w:val="baseline"/>
                <w:lang w:val="en-US" w:eastAsia="zh-CN"/>
              </w:rPr>
            </w:pPr>
          </w:p>
        </w:tc>
        <w:tc>
          <w:tcPr>
            <w:tcW w:w="3958" w:type="dxa"/>
            <w:vAlign w:val="center"/>
          </w:tcPr>
          <w:p>
            <w:pPr>
              <w:widowControl/>
              <w:autoSpaceDE/>
              <w:autoSpaceDN/>
              <w:jc w:val="center"/>
              <w:rPr>
                <w:rFonts w:hint="eastAsia" w:ascii="宋体" w:hAnsi="宋体" w:eastAsia="宋体" w:cs="宋体"/>
                <w:sz w:val="28"/>
                <w:szCs w:val="28"/>
                <w:vertAlign w:val="baseline"/>
                <w:lang w:val="en-US" w:eastAsia="zh-CN"/>
              </w:rPr>
            </w:pPr>
            <w:r>
              <w:rPr>
                <w:rFonts w:hint="eastAsia" w:ascii="宋体" w:hAnsi="宋体" w:eastAsia="宋体" w:cs="宋体"/>
                <w:color w:val="000000"/>
                <w:sz w:val="28"/>
                <w:szCs w:val="28"/>
                <w:lang w:val="en-US" w:bidi="ar-SA"/>
              </w:rPr>
              <w:t>最小TTL（秒）</w:t>
            </w:r>
          </w:p>
        </w:tc>
        <w:tc>
          <w:tcPr>
            <w:tcW w:w="3021"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82" w:type="dxa"/>
            <w:vMerge w:val="continue"/>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8"/>
                <w:szCs w:val="28"/>
                <w:vertAlign w:val="baseline"/>
                <w:lang w:val="en-US" w:eastAsia="zh-CN"/>
              </w:rPr>
            </w:pPr>
          </w:p>
        </w:tc>
        <w:tc>
          <w:tcPr>
            <w:tcW w:w="3958" w:type="dxa"/>
            <w:vAlign w:val="center"/>
          </w:tcPr>
          <w:p>
            <w:pPr>
              <w:widowControl/>
              <w:autoSpaceDE/>
              <w:autoSpaceDN/>
              <w:jc w:val="center"/>
              <w:rPr>
                <w:rFonts w:hint="eastAsia" w:ascii="宋体" w:hAnsi="宋体" w:eastAsia="宋体" w:cs="宋体"/>
                <w:sz w:val="28"/>
                <w:szCs w:val="28"/>
                <w:vertAlign w:val="baseline"/>
                <w:lang w:val="en-US" w:eastAsia="zh-CN"/>
              </w:rPr>
            </w:pPr>
            <w:r>
              <w:rPr>
                <w:rFonts w:hint="eastAsia" w:ascii="宋体" w:hAnsi="宋体" w:eastAsia="宋体" w:cs="宋体"/>
                <w:color w:val="000000"/>
                <w:sz w:val="28"/>
                <w:szCs w:val="28"/>
                <w:lang w:val="en-US" w:bidi="ar-SA"/>
              </w:rPr>
              <w:t>URL转发条数</w:t>
            </w:r>
          </w:p>
        </w:tc>
        <w:tc>
          <w:tcPr>
            <w:tcW w:w="3021"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82" w:type="dxa"/>
            <w:vMerge w:val="continue"/>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8"/>
                <w:szCs w:val="28"/>
                <w:vertAlign w:val="baseline"/>
                <w:lang w:val="en-US" w:eastAsia="zh-CN"/>
              </w:rPr>
            </w:pPr>
          </w:p>
        </w:tc>
        <w:tc>
          <w:tcPr>
            <w:tcW w:w="3958" w:type="dxa"/>
            <w:vAlign w:val="center"/>
          </w:tcPr>
          <w:p>
            <w:pPr>
              <w:widowControl/>
              <w:autoSpaceDE/>
              <w:autoSpaceDN/>
              <w:jc w:val="center"/>
              <w:rPr>
                <w:rFonts w:hint="eastAsia" w:ascii="宋体" w:hAnsi="宋体" w:eastAsia="宋体" w:cs="宋体"/>
                <w:sz w:val="28"/>
                <w:szCs w:val="28"/>
                <w:vertAlign w:val="baseline"/>
                <w:lang w:val="en-US" w:eastAsia="zh-CN"/>
              </w:rPr>
            </w:pPr>
            <w:r>
              <w:rPr>
                <w:rFonts w:hint="eastAsia" w:ascii="宋体" w:hAnsi="宋体" w:eastAsia="宋体" w:cs="宋体"/>
                <w:color w:val="000000"/>
                <w:sz w:val="28"/>
                <w:szCs w:val="28"/>
                <w:lang w:val="en-US" w:bidi="ar-SA"/>
              </w:rPr>
              <w:t>显性URL转发</w:t>
            </w:r>
          </w:p>
        </w:tc>
        <w:tc>
          <w:tcPr>
            <w:tcW w:w="3021"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82" w:type="dxa"/>
            <w:vMerge w:val="continue"/>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8"/>
                <w:szCs w:val="28"/>
                <w:vertAlign w:val="baseline"/>
                <w:lang w:val="en-US" w:eastAsia="zh-CN"/>
              </w:rPr>
            </w:pPr>
          </w:p>
        </w:tc>
        <w:tc>
          <w:tcPr>
            <w:tcW w:w="3958" w:type="dxa"/>
            <w:vAlign w:val="center"/>
          </w:tcPr>
          <w:p>
            <w:pPr>
              <w:widowControl/>
              <w:autoSpaceDE/>
              <w:autoSpaceDN/>
              <w:jc w:val="center"/>
              <w:rPr>
                <w:rFonts w:hint="eastAsia" w:ascii="宋体" w:hAnsi="宋体" w:eastAsia="宋体" w:cs="宋体"/>
                <w:sz w:val="28"/>
                <w:szCs w:val="28"/>
                <w:vertAlign w:val="baseline"/>
                <w:lang w:val="en-US" w:eastAsia="zh-CN"/>
              </w:rPr>
            </w:pPr>
            <w:r>
              <w:rPr>
                <w:rFonts w:hint="eastAsia" w:ascii="宋体" w:hAnsi="宋体" w:eastAsia="宋体" w:cs="宋体"/>
                <w:color w:val="000000"/>
                <w:sz w:val="28"/>
                <w:szCs w:val="28"/>
                <w:lang w:val="en-US" w:bidi="ar-SA"/>
              </w:rPr>
              <w:t>隐形URL转发</w:t>
            </w:r>
          </w:p>
        </w:tc>
        <w:tc>
          <w:tcPr>
            <w:tcW w:w="3021"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82" w:type="dxa"/>
            <w:vMerge w:val="continue"/>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8"/>
                <w:szCs w:val="28"/>
                <w:vertAlign w:val="baseline"/>
                <w:lang w:val="en-US" w:eastAsia="zh-CN"/>
              </w:rPr>
            </w:pPr>
          </w:p>
        </w:tc>
        <w:tc>
          <w:tcPr>
            <w:tcW w:w="3958" w:type="dxa"/>
            <w:vAlign w:val="center"/>
          </w:tcPr>
          <w:p>
            <w:pPr>
              <w:widowControl/>
              <w:autoSpaceDE/>
              <w:autoSpaceDN/>
              <w:jc w:val="center"/>
              <w:rPr>
                <w:rFonts w:hint="eastAsia" w:ascii="宋体" w:hAnsi="宋体" w:eastAsia="宋体" w:cs="宋体"/>
                <w:sz w:val="28"/>
                <w:szCs w:val="28"/>
                <w:vertAlign w:val="baseline"/>
                <w:lang w:val="en-US" w:eastAsia="zh-CN"/>
              </w:rPr>
            </w:pPr>
            <w:r>
              <w:rPr>
                <w:rFonts w:hint="eastAsia" w:ascii="宋体" w:hAnsi="宋体" w:eastAsia="宋体" w:cs="宋体"/>
                <w:color w:val="000000"/>
                <w:sz w:val="28"/>
                <w:szCs w:val="28"/>
                <w:lang w:val="en-US" w:bidi="ar-SA"/>
              </w:rPr>
              <w:t>泛解析</w:t>
            </w:r>
          </w:p>
        </w:tc>
        <w:tc>
          <w:tcPr>
            <w:tcW w:w="3021"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82" w:type="dxa"/>
            <w:vMerge w:val="continue"/>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8"/>
                <w:szCs w:val="28"/>
                <w:vertAlign w:val="baseline"/>
                <w:lang w:val="en-US" w:eastAsia="zh-CN"/>
              </w:rPr>
            </w:pPr>
          </w:p>
        </w:tc>
        <w:tc>
          <w:tcPr>
            <w:tcW w:w="3958" w:type="dxa"/>
            <w:vAlign w:val="center"/>
          </w:tcPr>
          <w:p>
            <w:pPr>
              <w:widowControl/>
              <w:autoSpaceDE/>
              <w:autoSpaceDN/>
              <w:jc w:val="center"/>
              <w:rPr>
                <w:rFonts w:hint="eastAsia" w:ascii="宋体" w:hAnsi="宋体" w:eastAsia="宋体" w:cs="宋体"/>
                <w:sz w:val="28"/>
                <w:szCs w:val="28"/>
                <w:vertAlign w:val="baseline"/>
                <w:lang w:val="en-US" w:eastAsia="zh-CN"/>
              </w:rPr>
            </w:pPr>
            <w:r>
              <w:rPr>
                <w:rFonts w:hint="eastAsia" w:ascii="宋体" w:hAnsi="宋体" w:eastAsia="宋体" w:cs="宋体"/>
                <w:color w:val="000000"/>
                <w:sz w:val="28"/>
                <w:szCs w:val="28"/>
                <w:lang w:val="en-US" w:bidi="ar-SA"/>
              </w:rPr>
              <w:t>CNAME泛解析</w:t>
            </w:r>
          </w:p>
        </w:tc>
        <w:tc>
          <w:tcPr>
            <w:tcW w:w="3021"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82" w:type="dxa"/>
            <w:vAlign w:val="center"/>
          </w:tcPr>
          <w:p>
            <w:pPr>
              <w:widowControl/>
              <w:autoSpaceDE/>
              <w:autoSpaceDN/>
              <w:jc w:val="center"/>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通知</w:t>
            </w:r>
          </w:p>
        </w:tc>
        <w:tc>
          <w:tcPr>
            <w:tcW w:w="3958" w:type="dxa"/>
            <w:vAlign w:val="center"/>
          </w:tcPr>
          <w:p>
            <w:pPr>
              <w:widowControl/>
              <w:autoSpaceDE/>
              <w:autoSpaceDN/>
              <w:jc w:val="center"/>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人工通知</w:t>
            </w:r>
          </w:p>
        </w:tc>
        <w:tc>
          <w:tcPr>
            <w:tcW w:w="3021"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82" w:type="dxa"/>
            <w:vMerge w:val="restart"/>
            <w:vAlign w:val="center"/>
          </w:tcPr>
          <w:p>
            <w:pPr>
              <w:widowControl/>
              <w:autoSpaceDE/>
              <w:autoSpaceDN/>
              <w:jc w:val="center"/>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服务</w:t>
            </w:r>
          </w:p>
        </w:tc>
        <w:tc>
          <w:tcPr>
            <w:tcW w:w="3958" w:type="dxa"/>
            <w:vAlign w:val="center"/>
          </w:tcPr>
          <w:p>
            <w:pPr>
              <w:widowControl/>
              <w:autoSpaceDE/>
              <w:autoSpaceDN/>
              <w:jc w:val="center"/>
              <w:rPr>
                <w:rFonts w:hint="eastAsia" w:ascii="宋体" w:hAnsi="宋体" w:eastAsia="宋体" w:cs="宋体"/>
                <w:color w:val="000000"/>
                <w:kern w:val="2"/>
                <w:sz w:val="28"/>
                <w:szCs w:val="28"/>
                <w:lang w:val="en-US" w:eastAsia="zh-CN" w:bidi="ar-SA"/>
              </w:rPr>
            </w:pPr>
            <w:r>
              <w:rPr>
                <w:rFonts w:hint="eastAsia" w:ascii="宋体" w:hAnsi="宋体" w:eastAsia="宋体" w:cs="宋体"/>
                <w:color w:val="000000"/>
                <w:sz w:val="28"/>
                <w:szCs w:val="28"/>
                <w:lang w:val="en-US" w:bidi="ar-SA"/>
              </w:rPr>
              <w:t>400电话</w:t>
            </w:r>
          </w:p>
        </w:tc>
        <w:tc>
          <w:tcPr>
            <w:tcW w:w="3021"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82" w:type="dxa"/>
            <w:vMerge w:val="continue"/>
            <w:vAlign w:val="center"/>
          </w:tcPr>
          <w:p>
            <w:pPr>
              <w:widowControl/>
              <w:autoSpaceDE/>
              <w:autoSpaceDN/>
              <w:jc w:val="center"/>
              <w:rPr>
                <w:rFonts w:hint="eastAsia" w:ascii="宋体" w:hAnsi="宋体" w:eastAsia="宋体" w:cs="宋体"/>
                <w:sz w:val="28"/>
                <w:szCs w:val="28"/>
                <w:vertAlign w:val="baseline"/>
                <w:lang w:val="en-US" w:eastAsia="zh-CN"/>
              </w:rPr>
            </w:pPr>
          </w:p>
        </w:tc>
        <w:tc>
          <w:tcPr>
            <w:tcW w:w="3958" w:type="dxa"/>
            <w:vAlign w:val="center"/>
          </w:tcPr>
          <w:p>
            <w:pPr>
              <w:widowControl/>
              <w:autoSpaceDE/>
              <w:autoSpaceDN/>
              <w:jc w:val="center"/>
              <w:rPr>
                <w:rFonts w:hint="eastAsia" w:ascii="宋体" w:hAnsi="宋体" w:eastAsia="宋体" w:cs="宋体"/>
                <w:color w:val="000000"/>
                <w:kern w:val="2"/>
                <w:sz w:val="28"/>
                <w:szCs w:val="28"/>
                <w:lang w:val="en-US" w:eastAsia="zh-CN" w:bidi="ar-SA"/>
              </w:rPr>
            </w:pPr>
            <w:r>
              <w:rPr>
                <w:rFonts w:hint="eastAsia" w:ascii="宋体" w:hAnsi="宋体" w:eastAsia="宋体" w:cs="宋体"/>
                <w:color w:val="000000"/>
                <w:sz w:val="28"/>
                <w:szCs w:val="28"/>
                <w:lang w:val="en-US" w:bidi="ar-SA"/>
              </w:rPr>
              <w:t>专属客服</w:t>
            </w:r>
          </w:p>
        </w:tc>
        <w:tc>
          <w:tcPr>
            <w:tcW w:w="3021"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7*24小时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040" w:type="dxa"/>
            <w:gridSpan w:val="2"/>
            <w:vAlign w:val="center"/>
          </w:tcPr>
          <w:p>
            <w:pPr>
              <w:widowControl/>
              <w:autoSpaceDE/>
              <w:autoSpaceDN/>
              <w:jc w:val="center"/>
              <w:rPr>
                <w:rFonts w:hint="eastAsia" w:ascii="宋体" w:hAnsi="宋体" w:eastAsia="宋体" w:cs="宋体"/>
                <w:color w:val="000000"/>
                <w:kern w:val="2"/>
                <w:sz w:val="28"/>
                <w:szCs w:val="28"/>
                <w:lang w:val="en-US" w:eastAsia="zh-CN" w:bidi="ar-SA"/>
              </w:rPr>
            </w:pPr>
            <w:r>
              <w:rPr>
                <w:rFonts w:hint="eastAsia" w:ascii="宋体" w:hAnsi="宋体" w:eastAsia="宋体" w:cs="宋体"/>
                <w:color w:val="000000"/>
                <w:sz w:val="28"/>
                <w:szCs w:val="28"/>
                <w:lang w:val="en-US" w:bidi="ar-SA"/>
              </w:rPr>
              <w:t>监测节点-任务数</w:t>
            </w:r>
          </w:p>
        </w:tc>
        <w:tc>
          <w:tcPr>
            <w:tcW w:w="3021"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040" w:type="dxa"/>
            <w:gridSpan w:val="2"/>
            <w:vAlign w:val="center"/>
          </w:tcPr>
          <w:p>
            <w:pPr>
              <w:widowControl/>
              <w:autoSpaceDE/>
              <w:autoSpaceDN/>
              <w:jc w:val="center"/>
              <w:rPr>
                <w:rFonts w:hint="eastAsia" w:ascii="宋体" w:hAnsi="宋体" w:eastAsia="宋体" w:cs="宋体"/>
                <w:color w:val="000000"/>
                <w:kern w:val="2"/>
                <w:sz w:val="28"/>
                <w:szCs w:val="28"/>
                <w:lang w:val="en-US" w:eastAsia="zh-CN" w:bidi="ar-SA"/>
              </w:rPr>
            </w:pPr>
            <w:r>
              <w:rPr>
                <w:rFonts w:hint="eastAsia" w:ascii="宋体" w:hAnsi="宋体" w:eastAsia="宋体" w:cs="宋体"/>
                <w:color w:val="000000"/>
                <w:sz w:val="28"/>
                <w:szCs w:val="28"/>
                <w:lang w:val="en-US" w:bidi="ar-SA"/>
              </w:rPr>
              <w:t>支持协议</w:t>
            </w:r>
          </w:p>
        </w:tc>
        <w:tc>
          <w:tcPr>
            <w:tcW w:w="3021"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全协议支持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040" w:type="dxa"/>
            <w:gridSpan w:val="2"/>
            <w:vAlign w:val="center"/>
          </w:tcPr>
          <w:p>
            <w:pPr>
              <w:widowControl/>
              <w:autoSpaceDE/>
              <w:autoSpaceDN/>
              <w:jc w:val="center"/>
              <w:rPr>
                <w:rFonts w:hint="eastAsia" w:ascii="宋体" w:hAnsi="宋体" w:eastAsia="宋体" w:cs="宋体"/>
                <w:color w:val="000000"/>
                <w:kern w:val="2"/>
                <w:sz w:val="28"/>
                <w:szCs w:val="28"/>
                <w:lang w:val="en-US" w:eastAsia="zh-CN" w:bidi="ar-SA"/>
              </w:rPr>
            </w:pPr>
            <w:r>
              <w:rPr>
                <w:rFonts w:hint="eastAsia" w:ascii="宋体" w:hAnsi="宋体" w:eastAsia="宋体" w:cs="宋体"/>
                <w:color w:val="000000"/>
                <w:sz w:val="28"/>
                <w:szCs w:val="28"/>
                <w:lang w:val="en-US" w:bidi="ar-SA"/>
              </w:rPr>
              <w:t>统计报表</w:t>
            </w:r>
          </w:p>
        </w:tc>
        <w:tc>
          <w:tcPr>
            <w:tcW w:w="3021"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支持</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2.解析统计报表要求：</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0"/>
        <w:gridCol w:w="45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3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统计类型</w:t>
            </w:r>
          </w:p>
        </w:tc>
        <w:tc>
          <w:tcPr>
            <w:tcW w:w="4531"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统计要求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3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color w:val="auto"/>
                <w:kern w:val="0"/>
                <w:sz w:val="28"/>
                <w:szCs w:val="28"/>
                <w:lang w:val="en-US" w:eastAsia="zh-CN"/>
              </w:rPr>
              <w:t>解析总量统计</w:t>
            </w:r>
          </w:p>
        </w:tc>
        <w:tc>
          <w:tcPr>
            <w:tcW w:w="4531"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color w:val="auto"/>
                <w:kern w:val="0"/>
                <w:sz w:val="28"/>
                <w:szCs w:val="28"/>
                <w:lang w:val="en-US" w:eastAsia="zh-CN"/>
              </w:rPr>
              <w:t>按天/周/月展示汇报请求访问量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3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color w:val="auto"/>
                <w:kern w:val="0"/>
                <w:sz w:val="28"/>
                <w:szCs w:val="28"/>
                <w:lang w:val="en-US" w:eastAsia="zh-CN"/>
              </w:rPr>
              <w:t>解析类型统计</w:t>
            </w:r>
          </w:p>
        </w:tc>
        <w:tc>
          <w:tcPr>
            <w:tcW w:w="4531"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color w:val="auto"/>
                <w:kern w:val="0"/>
                <w:sz w:val="28"/>
                <w:szCs w:val="28"/>
                <w:lang w:val="en-US" w:eastAsia="zh-CN"/>
              </w:rPr>
              <w:t>包含监测IPv4用户和IPv6用户访问数量等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3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color w:val="auto"/>
                <w:kern w:val="0"/>
                <w:sz w:val="28"/>
                <w:szCs w:val="28"/>
                <w:lang w:val="en-US" w:eastAsia="zh-CN"/>
              </w:rPr>
              <w:t>域名访问量排名统计</w:t>
            </w:r>
          </w:p>
        </w:tc>
        <w:tc>
          <w:tcPr>
            <w:tcW w:w="4531"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color w:val="auto"/>
                <w:kern w:val="0"/>
                <w:sz w:val="28"/>
                <w:szCs w:val="28"/>
                <w:lang w:val="en-US" w:eastAsia="zh-CN"/>
              </w:rPr>
              <w:t>小于16级子域名请求访问量排名统计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3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color w:val="auto"/>
                <w:kern w:val="0"/>
                <w:sz w:val="28"/>
                <w:szCs w:val="28"/>
                <w:lang w:val="en-US" w:eastAsia="zh-CN"/>
              </w:rPr>
              <w:t>访问IP统计</w:t>
            </w:r>
          </w:p>
        </w:tc>
        <w:tc>
          <w:tcPr>
            <w:tcW w:w="4531"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color w:val="auto"/>
                <w:kern w:val="0"/>
                <w:sz w:val="28"/>
                <w:szCs w:val="28"/>
                <w:lang w:val="en-US" w:eastAsia="zh-CN"/>
              </w:rPr>
              <w:t>终端用户访问记录，统计请求/区别非法请求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3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color w:val="auto"/>
                <w:kern w:val="0"/>
                <w:sz w:val="28"/>
                <w:szCs w:val="28"/>
                <w:lang w:val="en-US" w:eastAsia="zh-CN"/>
              </w:rPr>
              <w:t>地域分布</w:t>
            </w:r>
          </w:p>
        </w:tc>
        <w:tc>
          <w:tcPr>
            <w:tcW w:w="4531"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color w:val="auto"/>
                <w:kern w:val="0"/>
                <w:sz w:val="28"/>
                <w:szCs w:val="28"/>
                <w:lang w:val="en-US" w:eastAsia="zh-CN"/>
              </w:rPr>
              <w:t>按照天/周/月统计地域访问统计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3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color w:val="auto"/>
                <w:kern w:val="0"/>
                <w:sz w:val="28"/>
                <w:szCs w:val="28"/>
                <w:lang w:val="en-US" w:eastAsia="zh-CN"/>
              </w:rPr>
              <w:t>国际区域访问统计</w:t>
            </w:r>
          </w:p>
        </w:tc>
        <w:tc>
          <w:tcPr>
            <w:tcW w:w="4531"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color w:val="auto"/>
                <w:kern w:val="0"/>
                <w:sz w:val="28"/>
                <w:szCs w:val="28"/>
                <w:lang w:val="en-US" w:eastAsia="zh-CN"/>
              </w:rPr>
              <w:t>按天/周/月统计国际请求访问量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3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color w:val="auto"/>
                <w:kern w:val="0"/>
                <w:sz w:val="28"/>
                <w:szCs w:val="28"/>
                <w:lang w:val="en-US" w:eastAsia="zh-CN"/>
              </w:rPr>
              <w:t>终端运营商分布</w:t>
            </w:r>
          </w:p>
        </w:tc>
        <w:tc>
          <w:tcPr>
            <w:tcW w:w="4531"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color w:val="auto"/>
                <w:kern w:val="0"/>
                <w:sz w:val="28"/>
                <w:szCs w:val="28"/>
                <w:lang w:val="en-US" w:eastAsia="zh-CN"/>
              </w:rPr>
              <w:t>按天/周/月统计全国终端线路请求访问量</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（二）域名人工过户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仿宋_GB2312" w:hAnsi="仿宋_GB2312" w:eastAsia="仿宋_GB2312" w:cs="仿宋_GB2312"/>
          <w:sz w:val="32"/>
          <w:szCs w:val="32"/>
          <w:lang w:val="en-US" w:eastAsia="zh-CN"/>
        </w:rPr>
        <w:t>提供域名主体过户服务，将域名（kaiping.gov.cn)主体更改为开平市人民政府办公室。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四、服务时间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IPv6域名云解析服务期：2023年12月1日到202</w:t>
      </w:r>
      <w:r>
        <w:rPr>
          <w:rFonts w:hint="default"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val="en-US" w:eastAsia="zh-CN"/>
        </w:rPr>
        <w:t>年11月31日。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五、服务报价</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rPr>
        <w:t>本服务费用为人民币</w:t>
      </w:r>
      <w:r>
        <w:rPr>
          <w:rFonts w:hint="default" w:ascii="仿宋_GB2312" w:hAnsi="仿宋_GB2312" w:eastAsia="仿宋_GB2312" w:cs="仿宋_GB2312"/>
          <w:kern w:val="0"/>
          <w:sz w:val="32"/>
          <w:szCs w:val="32"/>
          <w:lang w:val="en-US"/>
        </w:rPr>
        <w:t>261</w:t>
      </w:r>
      <w:r>
        <w:rPr>
          <w:rFonts w:hint="eastAsia" w:ascii="仿宋_GB2312" w:hAnsi="仿宋_GB2312" w:eastAsia="仿宋_GB2312" w:cs="仿宋_GB2312"/>
          <w:kern w:val="0"/>
          <w:sz w:val="32"/>
          <w:szCs w:val="32"/>
          <w:lang w:val="en-US" w:eastAsia="zh-CN"/>
        </w:rPr>
        <w:t>00</w:t>
      </w:r>
      <w:r>
        <w:rPr>
          <w:rFonts w:hint="eastAsia" w:ascii="仿宋_GB2312" w:hAnsi="仿宋_GB2312" w:eastAsia="仿宋_GB2312" w:cs="仿宋_GB2312"/>
          <w:kern w:val="0"/>
          <w:sz w:val="32"/>
          <w:szCs w:val="32"/>
        </w:rPr>
        <w:t>元整。</w:t>
      </w:r>
      <w:r>
        <w:rPr>
          <w:rFonts w:hint="eastAsia" w:ascii="仿宋_GB2312" w:hAnsi="仿宋_GB2312" w:eastAsia="仿宋_GB2312" w:cs="仿宋_GB2312"/>
          <w:kern w:val="0"/>
          <w:sz w:val="32"/>
          <w:szCs w:val="32"/>
          <w:lang w:eastAsia="zh-CN"/>
        </w:rPr>
        <w:t>投标人</w:t>
      </w:r>
      <w:r>
        <w:rPr>
          <w:rFonts w:hint="eastAsia" w:ascii="仿宋_GB2312" w:hAnsi="仿宋_GB2312" w:eastAsia="仿宋_GB2312" w:cs="仿宋_GB2312"/>
          <w:kern w:val="0"/>
          <w:sz w:val="32"/>
          <w:szCs w:val="32"/>
        </w:rPr>
        <w:t>的报价不得超出最高限价。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六、确定成交投标人</w:t>
      </w:r>
    </w:p>
    <w:p>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若有多家</w:t>
      </w:r>
      <w:r>
        <w:rPr>
          <w:rFonts w:hint="eastAsia" w:ascii="仿宋_GB2312" w:hAnsi="仿宋_GB2312" w:eastAsia="仿宋_GB2312" w:cs="仿宋_GB2312"/>
          <w:color w:val="auto"/>
          <w:sz w:val="32"/>
          <w:szCs w:val="32"/>
          <w:lang w:eastAsia="zh-CN"/>
        </w:rPr>
        <w:t>投标人</w:t>
      </w:r>
      <w:r>
        <w:rPr>
          <w:rFonts w:hint="eastAsia" w:ascii="仿宋_GB2312" w:hAnsi="仿宋_GB2312" w:eastAsia="仿宋_GB2312" w:cs="仿宋_GB2312"/>
          <w:color w:val="auto"/>
          <w:sz w:val="32"/>
          <w:szCs w:val="32"/>
        </w:rPr>
        <w:t>竞价，采购人将综合考虑</w:t>
      </w:r>
      <w:r>
        <w:rPr>
          <w:rFonts w:hint="eastAsia" w:ascii="仿宋_GB2312" w:hAnsi="仿宋_GB2312" w:eastAsia="仿宋_GB2312" w:cs="仿宋_GB2312"/>
          <w:color w:val="auto"/>
          <w:sz w:val="32"/>
          <w:szCs w:val="32"/>
          <w:lang w:eastAsia="zh-CN"/>
        </w:rPr>
        <w:t>投标人</w:t>
      </w:r>
      <w:r>
        <w:rPr>
          <w:rFonts w:hint="eastAsia" w:ascii="仿宋_GB2312" w:hAnsi="仿宋_GB2312" w:eastAsia="仿宋_GB2312" w:cs="仿宋_GB2312"/>
          <w:color w:val="auto"/>
          <w:sz w:val="32"/>
          <w:szCs w:val="32"/>
        </w:rPr>
        <w:t>的服务质量、</w:t>
      </w:r>
      <w:r>
        <w:rPr>
          <w:rFonts w:hint="eastAsia" w:ascii="仿宋_GB2312" w:hAnsi="仿宋_GB2312" w:eastAsia="仿宋_GB2312" w:cs="仿宋_GB2312"/>
          <w:color w:val="auto"/>
          <w:sz w:val="32"/>
          <w:szCs w:val="32"/>
          <w:lang w:val="en-US" w:eastAsia="zh-CN"/>
        </w:rPr>
        <w:t>售后服务组建情况、团队</w:t>
      </w:r>
      <w:r>
        <w:rPr>
          <w:rFonts w:hint="eastAsia" w:ascii="仿宋_GB2312" w:hAnsi="仿宋_GB2312" w:eastAsia="仿宋_GB2312" w:cs="仿宋_GB2312"/>
          <w:color w:val="auto"/>
          <w:sz w:val="32"/>
          <w:szCs w:val="32"/>
        </w:rPr>
        <w:t>技术力量、采购信誉度、成功案例（需提供相关的证明材料）等方面进行择优选择，确定为成交</w:t>
      </w:r>
      <w:r>
        <w:rPr>
          <w:rFonts w:hint="eastAsia" w:ascii="仿宋_GB2312" w:hAnsi="仿宋_GB2312" w:eastAsia="仿宋_GB2312" w:cs="仿宋_GB2312"/>
          <w:color w:val="auto"/>
          <w:sz w:val="32"/>
          <w:szCs w:val="32"/>
          <w:lang w:eastAsia="zh-CN"/>
        </w:rPr>
        <w:t>投标人</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七、结算方式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按合同约定方式结算。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楷体_GB2312">
    <w:altName w:val="方正楷体_GBK"/>
    <w:panose1 w:val="020B0604020202020204"/>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990ED0"/>
    <w:multiLevelType w:val="multilevel"/>
    <w:tmpl w:val="EF990ED0"/>
    <w:lvl w:ilvl="0" w:tentative="0">
      <w:start w:val="1"/>
      <w:numFmt w:val="chineseCounting"/>
      <w:pStyle w:val="2"/>
      <w:suff w:val="nothing"/>
      <w:lvlText w:val="%1、"/>
      <w:lvlJc w:val="left"/>
      <w:pPr>
        <w:ind w:left="0" w:firstLine="0"/>
      </w:pPr>
      <w:rPr>
        <w:rFonts w:hint="eastAsia"/>
      </w:rPr>
    </w:lvl>
    <w:lvl w:ilvl="1" w:tentative="0">
      <w:start w:val="1"/>
      <w:numFmt w:val="chineseCounting"/>
      <w:pStyle w:val="4"/>
      <w:suff w:val="nothing"/>
      <w:lvlText w:val="（%2）"/>
      <w:lvlJc w:val="left"/>
      <w:pPr>
        <w:ind w:left="216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zZTE3MzI0MGVlMDMzNGI0ZTZiYjdhMjRjZDc5ZGMifQ=="/>
  </w:docVars>
  <w:rsids>
    <w:rsidRoot w:val="00000000"/>
    <w:rsid w:val="014D5E5D"/>
    <w:rsid w:val="13B25E9F"/>
    <w:rsid w:val="1D373FB2"/>
    <w:rsid w:val="25361DA3"/>
    <w:rsid w:val="3F474F59"/>
    <w:rsid w:val="598B3F97"/>
    <w:rsid w:val="5EE22765"/>
    <w:rsid w:val="61262EA8"/>
    <w:rsid w:val="7DCFA843"/>
    <w:rsid w:val="7E622092"/>
    <w:rsid w:val="DBF2CD35"/>
    <w:rsid w:val="DFDB07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Ascii" w:hAnsiTheme="minorAscii" w:eastAsiaTheme="minorEastAsia" w:cstheme="minorBidi"/>
      <w:kern w:val="2"/>
      <w:sz w:val="21"/>
      <w:szCs w:val="24"/>
      <w:lang w:val="en-US" w:eastAsia="zh-CN" w:bidi="ar-SA"/>
    </w:rPr>
  </w:style>
  <w:style w:type="paragraph" w:styleId="2">
    <w:name w:val="heading 1"/>
    <w:basedOn w:val="1"/>
    <w:next w:val="3"/>
    <w:qFormat/>
    <w:uiPriority w:val="9"/>
    <w:pPr>
      <w:keepNext/>
      <w:keepLines/>
      <w:widowControl w:val="0"/>
      <w:numPr>
        <w:ilvl w:val="0"/>
        <w:numId w:val="1"/>
      </w:numPr>
      <w:spacing w:before="340" w:after="330"/>
      <w:jc w:val="center"/>
      <w:outlineLvl w:val="0"/>
    </w:pPr>
    <w:rPr>
      <w:rFonts w:ascii="楷体_GB2312" w:eastAsia="楷体_GB2312"/>
      <w:b/>
      <w:kern w:val="44"/>
      <w:sz w:val="30"/>
      <w:szCs w:val="44"/>
    </w:rPr>
  </w:style>
  <w:style w:type="paragraph" w:styleId="4">
    <w:name w:val="heading 2"/>
    <w:basedOn w:val="2"/>
    <w:next w:val="3"/>
    <w:qFormat/>
    <w:uiPriority w:val="9"/>
    <w:pPr>
      <w:keepNext/>
      <w:keepLines/>
      <w:widowControl w:val="0"/>
      <w:numPr>
        <w:ilvl w:val="1"/>
        <w:numId w:val="1"/>
      </w:numPr>
      <w:spacing w:before="260" w:after="260"/>
      <w:jc w:val="both"/>
      <w:outlineLvl w:val="1"/>
    </w:pPr>
    <w:rPr>
      <w:rFonts w:ascii="Arial" w:hAnsi="Arial" w:eastAsia="黑体"/>
      <w:sz w:val="32"/>
      <w:szCs w:val="32"/>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3">
    <w:name w:val="方案正文"/>
    <w:basedOn w:val="1"/>
    <w:qFormat/>
    <w:uiPriority w:val="0"/>
    <w:pPr>
      <w:spacing w:line="360" w:lineRule="auto"/>
      <w:ind w:firstLine="480" w:firstLineChars="200"/>
    </w:pPr>
    <w:rPr>
      <w:rFonts w:ascii="宋体" w:hAnsi="宋体" w:eastAsia="宋体"/>
      <w:color w:val="000000"/>
      <w:sz w:val="24"/>
      <w:szCs w:val="24"/>
      <w:lang w:val="zh-CN" w:eastAsia="zh-CN"/>
    </w:rPr>
  </w:style>
  <w:style w:type="paragraph" w:styleId="5">
    <w:name w:val="Body Text"/>
    <w:basedOn w:val="1"/>
    <w:qFormat/>
    <w:uiPriority w:val="0"/>
    <w:pPr>
      <w:spacing w:after="120"/>
    </w:pPr>
    <w:rPr>
      <w:rFonts w:ascii="宋体" w:hAnsi="宋体" w:eastAsia="宋体" w:cs="Times New Roman"/>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0000FF"/>
      <w:u w:val="single"/>
    </w:rPr>
  </w:style>
  <w:style w:type="paragraph" w:customStyle="1" w:styleId="10">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31</TotalTime>
  <ScaleCrop>false</ScaleCrop>
  <LinksUpToDate>false</LinksUpToDate>
  <CharactersWithSpaces>0</CharactersWithSpaces>
  <Application>WPS Office_11.8.2.1122_F1E327BC-269C-435d-A152-05C5408002CA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2023-11-06T17:12:00Z</dcterms:created>
  <dc:creator>GONG</dc:creator>
  <cp:lastModifiedBy>{userName}</cp:lastModifiedBy>
  <cp:lastPrinted>2023-11-10T19:31:00Z</cp:lastPrinted>
  <dcterms:modified xsi:type="dcterms:W3CDTF">2023-11-10T12:00:20Z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2052-11.8.2.1122</vt:lpwstr>
  </property>
  <property fmtid="{D5CDD505-2E9C-101B-9397-08002B2CF9AE}" pid="3" name="ICV">
    <vt:lpwstr>5FC621BFDC6A4788842C11DAF589D841_12</vt:lpwstr>
  </property>
</Properties>
</file>