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开平市百千万工程赤坎两堡高位视频监控服务采购需求书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一、项目概述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（一）项目名称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开平市百千万工程赤坎两堡高位视频监控服务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（二）项目背景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为满足百千万工程现场视频调度需求，需在中阳高速赤坎两堡路段建设1个高位视频监控点位，初步选定在经纬度112.60294，22.303676周边建设高位视频监控。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二、供应商资格要求</w:t>
      </w:r>
    </w:p>
    <w:p>
      <w:pPr>
        <w:pStyle w:val="7"/>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lang w:val="en-US" w:eastAsia="zh-CN"/>
        </w:rPr>
        <w:t>（一）</w:t>
      </w:r>
      <w:r>
        <w:rPr>
          <w:rFonts w:hint="eastAsia" w:ascii="仿宋_GB2312" w:hAnsi="仿宋_GB2312" w:eastAsia="仿宋_GB2312" w:cs="仿宋_GB2312"/>
          <w:b w:val="0"/>
          <w:sz w:val="32"/>
          <w:szCs w:val="32"/>
        </w:rPr>
        <w:t>供应商应具备《政府采购法》第二十二条规定的条件，提供下列材料：</w:t>
      </w:r>
    </w:p>
    <w:p>
      <w:pPr>
        <w:pStyle w:val="7"/>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具有独立承担民事责任的能力：</w:t>
      </w:r>
      <w:r>
        <w:rPr>
          <w:rFonts w:hint="eastAsia" w:ascii="仿宋_GB2312" w:hAnsi="仿宋_GB2312" w:eastAsia="仿宋_GB2312" w:cs="仿宋_GB2312"/>
          <w:b w:val="0"/>
          <w:sz w:val="32"/>
          <w:szCs w:val="32"/>
        </w:rPr>
        <w:t>有效期内的工商营业执照（或事业单位法人证书，或社会团体法人登记证书）、组织机构代码证及税务登记证复印件（或“三证合一”营业执照复印件）。</w:t>
      </w:r>
    </w:p>
    <w:p>
      <w:pPr>
        <w:pStyle w:val="7"/>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有依法缴纳税收和社会保障资金的良好记录：</w:t>
      </w:r>
      <w:r>
        <w:rPr>
          <w:rFonts w:hint="eastAsia" w:ascii="仿宋_GB2312" w:hAnsi="仿宋_GB2312" w:eastAsia="仿宋_GB2312" w:cs="仿宋_GB2312"/>
          <w:b w:val="0"/>
          <w:sz w:val="32"/>
          <w:szCs w:val="32"/>
        </w:rPr>
        <w:t>投标截止日前6个月内任意一个月的依法缴纳税收的证明文件复印件【缴纳税收的证明文件是指：加盖银行业务章的税收回单，或加盖税务部门电子征税专用章的税收电子转账专用完税证，或加盖税务部门公章的纳税证明；如供应商在规定的时间段内没有发生业务的，则提供税务部门出具的纳税证明，或加盖税务部门公章的纳税申报表】；投标截止日前6个月内任意一个月社保部门（或税务部门）出具的单位参加社会保险的证明文件复印件，或合法有效的社保部门（或税务部门）网站的电子证明打印件【内容应包含单位名称、参保（或缴费）信息、电子印章和日期等】。</w:t>
      </w:r>
    </w:p>
    <w:p>
      <w:pPr>
        <w:pStyle w:val="7"/>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具有良好的商业信誉和健全的财务会计制度：</w:t>
      </w:r>
      <w:r>
        <w:rPr>
          <w:rFonts w:hint="eastAsia" w:ascii="仿宋_GB2312" w:hAnsi="仿宋_GB2312" w:eastAsia="仿宋_GB2312" w:cs="仿宋_GB2312"/>
          <w:b w:val="0"/>
          <w:sz w:val="32"/>
          <w:szCs w:val="32"/>
        </w:rPr>
        <w:t>202</w:t>
      </w:r>
      <w:r>
        <w:rPr>
          <w:rFonts w:hint="eastAsia" w:ascii="仿宋_GB2312" w:hAnsi="仿宋_GB2312" w:eastAsia="仿宋_GB2312" w:cs="仿宋_GB2312"/>
          <w:b w:val="0"/>
          <w:sz w:val="32"/>
          <w:szCs w:val="32"/>
          <w:lang w:val="en-US" w:eastAsia="zh-CN"/>
        </w:rPr>
        <w:t>2</w:t>
      </w:r>
      <w:r>
        <w:rPr>
          <w:rFonts w:hint="eastAsia" w:ascii="仿宋_GB2312" w:hAnsi="仿宋_GB2312" w:eastAsia="仿宋_GB2312" w:cs="仿宋_GB2312"/>
          <w:b w:val="0"/>
          <w:sz w:val="32"/>
          <w:szCs w:val="32"/>
        </w:rPr>
        <w:t>年年度财务报表或投标截止日前6个月内任意一个月的财务报表。【财务报表须包含资产负债表、利润表】。</w:t>
      </w:r>
    </w:p>
    <w:p>
      <w:pPr>
        <w:pStyle w:val="7"/>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履行合同所必需的设备和专业技术能力：</w:t>
      </w:r>
      <w:r>
        <w:rPr>
          <w:rFonts w:hint="eastAsia" w:ascii="仿宋_GB2312" w:hAnsi="仿宋_GB2312" w:eastAsia="仿宋_GB2312" w:cs="仿宋_GB2312"/>
          <w:b w:val="0"/>
          <w:sz w:val="32"/>
          <w:szCs w:val="32"/>
        </w:rPr>
        <w:t>按投标（响应）文件格式填报设备及专业技术能力情况。</w:t>
      </w:r>
    </w:p>
    <w:p>
      <w:pPr>
        <w:pStyle w:val="7"/>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参加采购活动前3年内，在经营活动中没有重大违法记录：</w:t>
      </w:r>
      <w:r>
        <w:rPr>
          <w:rFonts w:hint="eastAsia" w:ascii="仿宋_GB2312" w:hAnsi="仿宋_GB2312" w:eastAsia="仿宋_GB2312" w:cs="仿宋_GB2312"/>
          <w:b w:val="0"/>
          <w:sz w:val="32"/>
          <w:szCs w:val="32"/>
        </w:rPr>
        <w:t>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p>
      <w:pPr>
        <w:pStyle w:val="7"/>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信用记录：</w:t>
      </w:r>
      <w:r>
        <w:rPr>
          <w:rFonts w:hint="eastAsia" w:ascii="仿宋_GB2312" w:hAnsi="仿宋_GB2312" w:eastAsia="仿宋_GB2312" w:cs="仿宋_GB2312"/>
          <w:b w:val="0"/>
          <w:sz w:val="32"/>
          <w:szCs w:val="32"/>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采购代理机构于投标（响应）截止时间当天在“信用中国”网站（</w:t>
      </w:r>
      <w:r>
        <w:rPr>
          <w:rFonts w:hint="eastAsia" w:ascii="仿宋_GB2312" w:hAnsi="仿宋_GB2312" w:eastAsia="仿宋_GB2312" w:cs="仿宋_GB2312"/>
          <w:b w:val="0"/>
          <w:sz w:val="32"/>
          <w:szCs w:val="32"/>
        </w:rPr>
        <w:fldChar w:fldCharType="begin"/>
      </w:r>
      <w:r>
        <w:rPr>
          <w:rFonts w:hint="eastAsia" w:ascii="仿宋_GB2312" w:hAnsi="仿宋_GB2312" w:eastAsia="仿宋_GB2312" w:cs="仿宋_GB2312"/>
          <w:b w:val="0"/>
          <w:sz w:val="32"/>
          <w:szCs w:val="32"/>
        </w:rPr>
        <w:instrText xml:space="preserve"> HYPERLINK "http://www.creditchina.gov.cn/" \h </w:instrText>
      </w:r>
      <w:r>
        <w:rPr>
          <w:rFonts w:hint="eastAsia" w:ascii="仿宋_GB2312" w:hAnsi="仿宋_GB2312" w:eastAsia="仿宋_GB2312" w:cs="仿宋_GB2312"/>
          <w:b w:val="0"/>
          <w:sz w:val="32"/>
          <w:szCs w:val="32"/>
        </w:rPr>
        <w:fldChar w:fldCharType="separate"/>
      </w:r>
      <w:r>
        <w:rPr>
          <w:rFonts w:hint="eastAsia" w:ascii="仿宋_GB2312" w:hAnsi="仿宋_GB2312" w:eastAsia="仿宋_GB2312" w:cs="仿宋_GB2312"/>
          <w:b w:val="0"/>
          <w:sz w:val="32"/>
          <w:szCs w:val="32"/>
        </w:rPr>
        <w:t>www.creditchina.gov.cn</w:t>
      </w:r>
      <w:r>
        <w:rPr>
          <w:rFonts w:hint="eastAsia" w:ascii="仿宋_GB2312" w:hAnsi="仿宋_GB2312" w:eastAsia="仿宋_GB2312" w:cs="仿宋_GB2312"/>
          <w:b w:val="0"/>
          <w:sz w:val="32"/>
          <w:szCs w:val="32"/>
        </w:rPr>
        <w:fldChar w:fldCharType="end"/>
      </w:r>
      <w:r>
        <w:rPr>
          <w:rFonts w:hint="eastAsia" w:ascii="仿宋_GB2312" w:hAnsi="仿宋_GB2312" w:eastAsia="仿宋_GB2312" w:cs="仿宋_GB2312"/>
          <w:b w:val="0"/>
          <w:sz w:val="32"/>
          <w:szCs w:val="32"/>
        </w:rPr>
        <w:t>）及中国政府采购网（</w:t>
      </w:r>
      <w:r>
        <w:rPr>
          <w:rFonts w:hint="eastAsia" w:ascii="仿宋_GB2312" w:hAnsi="仿宋_GB2312" w:eastAsia="仿宋_GB2312" w:cs="仿宋_GB2312"/>
          <w:b w:val="0"/>
          <w:sz w:val="32"/>
          <w:szCs w:val="32"/>
        </w:rPr>
        <w:fldChar w:fldCharType="begin"/>
      </w:r>
      <w:r>
        <w:rPr>
          <w:rFonts w:hint="eastAsia" w:ascii="仿宋_GB2312" w:hAnsi="仿宋_GB2312" w:eastAsia="仿宋_GB2312" w:cs="仿宋_GB2312"/>
          <w:b w:val="0"/>
          <w:sz w:val="32"/>
          <w:szCs w:val="32"/>
        </w:rPr>
        <w:instrText xml:space="preserve"> HYPERLINK "http://www.ccgp.gov.cn/" \h </w:instrText>
      </w:r>
      <w:r>
        <w:rPr>
          <w:rFonts w:hint="eastAsia" w:ascii="仿宋_GB2312" w:hAnsi="仿宋_GB2312" w:eastAsia="仿宋_GB2312" w:cs="仿宋_GB2312"/>
          <w:b w:val="0"/>
          <w:sz w:val="32"/>
          <w:szCs w:val="32"/>
        </w:rPr>
        <w:fldChar w:fldCharType="separate"/>
      </w:r>
      <w:r>
        <w:rPr>
          <w:rFonts w:hint="eastAsia" w:ascii="仿宋_GB2312" w:hAnsi="仿宋_GB2312" w:eastAsia="仿宋_GB2312" w:cs="仿宋_GB2312"/>
          <w:b w:val="0"/>
          <w:sz w:val="32"/>
          <w:szCs w:val="32"/>
        </w:rPr>
        <w:t>http://www.ccgp.gov.cn/</w:t>
      </w:r>
      <w:r>
        <w:rPr>
          <w:rFonts w:hint="eastAsia" w:ascii="仿宋_GB2312" w:hAnsi="仿宋_GB2312" w:eastAsia="仿宋_GB2312" w:cs="仿宋_GB2312"/>
          <w:b w:val="0"/>
          <w:sz w:val="32"/>
          <w:szCs w:val="32"/>
        </w:rPr>
        <w:fldChar w:fldCharType="end"/>
      </w:r>
      <w:r>
        <w:rPr>
          <w:rFonts w:hint="eastAsia" w:ascii="仿宋_GB2312" w:hAnsi="仿宋_GB2312" w:eastAsia="仿宋_GB2312" w:cs="仿宋_GB2312"/>
          <w:b w:val="0"/>
          <w:sz w:val="32"/>
          <w:szCs w:val="32"/>
        </w:rPr>
        <w:t>）查询结果为准，如相关失信记录已失效，供应商需提供相关证明资料）。</w:t>
      </w:r>
    </w:p>
    <w:p>
      <w:pPr>
        <w:pStyle w:val="7"/>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供应商必须符合法律、行政法规规定的其他条件：</w:t>
      </w:r>
      <w:r>
        <w:rPr>
          <w:rFonts w:hint="eastAsia" w:ascii="仿宋_GB2312" w:hAnsi="仿宋_GB2312" w:eastAsia="仿宋_GB2312" w:cs="仿宋_GB2312"/>
          <w:b w:val="0"/>
          <w:sz w:val="32"/>
          <w:szCs w:val="32"/>
        </w:rPr>
        <w:t>单位负责人为同一人或者存在直接控股、管理关系的不同供应商，不得同时参加本采购项目（包组）投标。为本项目提供整体设计、规范编制或者项目管理、监理、检测等服务的供应商，不得再参与本项目投标。 投标（报价）函相关承诺要求内容。</w:t>
      </w:r>
    </w:p>
    <w:p>
      <w:pPr>
        <w:pStyle w:val="7"/>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lang w:val="en-US" w:eastAsia="zh-CN"/>
        </w:rPr>
        <w:t>（二）</w:t>
      </w:r>
      <w:r>
        <w:rPr>
          <w:rFonts w:hint="eastAsia" w:ascii="仿宋_GB2312" w:hAnsi="仿宋_GB2312" w:eastAsia="仿宋_GB2312" w:cs="仿宋_GB2312"/>
          <w:b w:val="0"/>
          <w:sz w:val="32"/>
          <w:szCs w:val="32"/>
        </w:rPr>
        <w:t>落实政府采购政策需满足的资格要求：本项目不属于专门面向中小企业采购的项目。</w:t>
      </w:r>
    </w:p>
    <w:p>
      <w:pPr>
        <w:pStyle w:val="7"/>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lang w:val="en-US" w:eastAsia="zh-CN"/>
        </w:rPr>
        <w:t>（三）</w:t>
      </w:r>
      <w:r>
        <w:rPr>
          <w:rFonts w:hint="eastAsia" w:ascii="仿宋_GB2312" w:hAnsi="仿宋_GB2312" w:eastAsia="仿宋_GB2312" w:cs="仿宋_GB2312"/>
          <w:b w:val="0"/>
          <w:sz w:val="32"/>
          <w:szCs w:val="32"/>
        </w:rPr>
        <w:t>本项目特定的资格要求：无。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三、服务内容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（一）部署点位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初步选定在</w:t>
      </w:r>
      <w:r>
        <w:rPr>
          <w:rFonts w:hint="eastAsia" w:ascii="仿宋_GB2312" w:hAnsi="仿宋_GB2312" w:cs="仿宋_GB2312"/>
          <w:sz w:val="32"/>
          <w:szCs w:val="32"/>
          <w:lang w:val="en-US" w:eastAsia="zh-CN"/>
        </w:rPr>
        <w:t>中阳高速赤坎两堡路段，</w:t>
      </w:r>
      <w:r>
        <w:rPr>
          <w:rFonts w:hint="eastAsia" w:ascii="仿宋_GB2312" w:hAnsi="仿宋_GB2312" w:eastAsia="仿宋_GB2312" w:cs="仿宋_GB2312"/>
          <w:sz w:val="32"/>
          <w:szCs w:val="32"/>
          <w:lang w:val="en-US" w:eastAsia="zh-CN"/>
        </w:rPr>
        <w:t>经纬度112.60294，22.303676</w:t>
      </w:r>
      <w:r>
        <w:rPr>
          <w:rFonts w:hint="eastAsia"/>
          <w:sz w:val="28"/>
          <w:szCs w:val="28"/>
          <w:lang w:val="en-US" w:eastAsia="zh-CN"/>
        </w:rPr>
        <w:t>周边</w:t>
      </w:r>
      <w:r>
        <w:rPr>
          <w:rFonts w:hint="eastAsia" w:ascii="仿宋_GB2312" w:hAnsi="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（二）服务要求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完成高位监控摄像头安装（包含提供安装支架、摄像头防雷、电缆及网线的布放），</w:t>
      </w:r>
      <w:r>
        <w:rPr>
          <w:rFonts w:hint="eastAsia" w:ascii="仿宋_GB2312" w:hAnsi="仿宋_GB2312" w:eastAsia="仿宋_GB2312" w:cs="仿宋_GB2312"/>
          <w:sz w:val="32"/>
          <w:szCs w:val="32"/>
          <w:lang w:val="en-US" w:eastAsia="zh-CN"/>
        </w:rPr>
        <w:t>离地挂高≥15米，为摄像头提供稳定供电</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摄像头可视范围约2公里</w:t>
      </w:r>
      <w:r>
        <w:rPr>
          <w:rFonts w:hint="eastAsia" w:ascii="仿宋_GB2312" w:hAnsi="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（二）摄像头参数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传感器类型：1/1.8＂ pro</w:t>
      </w:r>
      <w:bookmarkStart w:id="0" w:name="_GoBack"/>
      <w:bookmarkEnd w:id="0"/>
      <w:r>
        <w:rPr>
          <w:rFonts w:hint="eastAsia" w:ascii="仿宋_GB2312" w:hAnsi="仿宋_GB2312" w:eastAsia="仿宋_GB2312" w:cs="仿宋_GB2312"/>
          <w:sz w:val="32"/>
          <w:szCs w:val="32"/>
          <w:lang w:val="en-US" w:eastAsia="zh-CN"/>
        </w:rPr>
        <w:t>gressive scan CMOS</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光学变倍：40倍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焦距：6.0-240mm</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视频压缩标准：H.265,H.264,MJPEG</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最大图像尺寸：2560×1440 @60fps</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网络接口协议：GB/T28181、ONVIF</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防护等级：IP67; 6000V 防雷、防浪涌、防突波，符合 GB/T17626.5 四级标准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（三）维护服务要求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供1年的维护服务（包含定期巡检和故障处理）：接到保障后2小时内响应，24小时内完成故障排查及处理（如遇台风或大雨等恶劣天气无法户外施工、摄像头设备故障需更换或返修等，由建设单位和承建单位沟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注：本项目采购的摄像头产权属于开平市政务服务数据管理局。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四、服务时间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合同签订后10个工作日内完成施工验收。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五、服务报价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仿宋_GB2312" w:hAnsi="仿宋_GB2312" w:eastAsia="仿宋_GB2312" w:cs="仿宋_GB2312"/>
          <w:b w:val="0"/>
          <w:bCs/>
          <w:sz w:val="32"/>
          <w:szCs w:val="32"/>
        </w:rPr>
        <w:t>本服务费用</w:t>
      </w:r>
      <w:r>
        <w:rPr>
          <w:rFonts w:hint="eastAsia" w:ascii="仿宋_GB2312" w:hAnsi="仿宋_GB2312" w:eastAsia="仿宋_GB2312" w:cs="仿宋_GB2312"/>
          <w:b w:val="0"/>
          <w:bCs/>
          <w:sz w:val="32"/>
          <w:szCs w:val="32"/>
          <w:lang w:val="en-US" w:eastAsia="zh-CN"/>
        </w:rPr>
        <w:t>预算</w:t>
      </w:r>
      <w:r>
        <w:rPr>
          <w:rFonts w:hint="eastAsia" w:ascii="仿宋_GB2312" w:hAnsi="仿宋_GB2312" w:eastAsia="仿宋_GB2312" w:cs="仿宋_GB2312"/>
          <w:b w:val="0"/>
          <w:bCs/>
          <w:sz w:val="32"/>
          <w:szCs w:val="32"/>
        </w:rPr>
        <w:t>为人民币</w:t>
      </w:r>
      <w:r>
        <w:rPr>
          <w:rFonts w:hint="eastAsia" w:ascii="仿宋_GB2312" w:hAnsi="仿宋_GB2312" w:eastAsia="仿宋_GB2312" w:cs="仿宋_GB2312"/>
          <w:b w:val="0"/>
          <w:bCs/>
          <w:sz w:val="32"/>
          <w:szCs w:val="32"/>
          <w:lang w:val="en-US" w:eastAsia="zh-CN"/>
        </w:rPr>
        <w:t>18,000</w:t>
      </w:r>
      <w:r>
        <w:rPr>
          <w:rFonts w:hint="eastAsia" w:ascii="仿宋_GB2312" w:hAnsi="仿宋_GB2312" w:eastAsia="仿宋_GB2312" w:cs="仿宋_GB2312"/>
          <w:b w:val="0"/>
          <w:bCs/>
          <w:sz w:val="32"/>
          <w:szCs w:val="32"/>
        </w:rPr>
        <w:t>元整。供应商的报价不得超出最高限价。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六、成交供应商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若有多家供应商竞价，采购人将综合考虑供应商的服务质量、技术服务能力、采购信誉度、与本单位有服务经验者等方面进行择优选择，确定为成交供应商。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七、结算方式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按合同约定方式结算。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B0604020202020204"/>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990ED0"/>
    <w:multiLevelType w:val="multilevel"/>
    <w:tmpl w:val="EF990ED0"/>
    <w:lvl w:ilvl="0" w:tentative="0">
      <w:start w:val="1"/>
      <w:numFmt w:val="chineseCounting"/>
      <w:pStyle w:val="2"/>
      <w:suff w:val="nothing"/>
      <w:lvlText w:val="%1、"/>
      <w:lvlJc w:val="left"/>
      <w:pPr>
        <w:ind w:left="0" w:firstLine="0"/>
      </w:pPr>
      <w:rPr>
        <w:rFonts w:hint="eastAsia"/>
      </w:rPr>
    </w:lvl>
    <w:lvl w:ilvl="1" w:tentative="0">
      <w:start w:val="1"/>
      <w:numFmt w:val="chineseCounting"/>
      <w:pStyle w:val="4"/>
      <w:suff w:val="nothing"/>
      <w:lvlText w:val="（%2）"/>
      <w:lvlJc w:val="left"/>
      <w:pPr>
        <w:ind w:left="21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zZTE3MzI0MGVlMDMzNGI0ZTZiYjdhMjRjZDc5ZGMifQ=="/>
  </w:docVars>
  <w:rsids>
    <w:rsidRoot w:val="00000000"/>
    <w:rsid w:val="0A393BFA"/>
    <w:rsid w:val="5DA875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3"/>
    <w:qFormat/>
    <w:uiPriority w:val="9"/>
    <w:pPr>
      <w:keepNext/>
      <w:keepLines/>
      <w:widowControl w:val="0"/>
      <w:numPr>
        <w:ilvl w:val="0"/>
        <w:numId w:val="1"/>
      </w:numPr>
      <w:spacing w:before="340" w:after="330"/>
      <w:jc w:val="center"/>
      <w:outlineLvl w:val="0"/>
    </w:pPr>
    <w:rPr>
      <w:rFonts w:ascii="楷体_GB2312" w:eastAsia="楷体_GB2312"/>
      <w:b/>
      <w:kern w:val="44"/>
      <w:sz w:val="30"/>
      <w:szCs w:val="44"/>
    </w:rPr>
  </w:style>
  <w:style w:type="paragraph" w:styleId="4">
    <w:name w:val="heading 2"/>
    <w:basedOn w:val="2"/>
    <w:next w:val="3"/>
    <w:qFormat/>
    <w:uiPriority w:val="9"/>
    <w:pPr>
      <w:keepNext/>
      <w:keepLines/>
      <w:widowControl w:val="0"/>
      <w:numPr>
        <w:ilvl w:val="1"/>
        <w:numId w:val="1"/>
      </w:numPr>
      <w:spacing w:before="260" w:after="260"/>
      <w:jc w:val="both"/>
      <w:outlineLvl w:val="1"/>
    </w:pPr>
    <w:rPr>
      <w:rFonts w:ascii="Arial" w:hAnsi="Arial" w:eastAsia="黑体"/>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3">
    <w:name w:val="方案正文"/>
    <w:basedOn w:val="1"/>
    <w:qFormat/>
    <w:uiPriority w:val="0"/>
    <w:pPr>
      <w:spacing w:line="360" w:lineRule="auto"/>
      <w:ind w:firstLine="480" w:firstLineChars="200"/>
    </w:pPr>
    <w:rPr>
      <w:rFonts w:ascii="宋体" w:hAnsi="宋体" w:eastAsia="宋体"/>
      <w:color w:val="000000"/>
      <w:sz w:val="24"/>
      <w:szCs w:val="24"/>
      <w:lang w:val="zh-CN" w:eastAsia="zh-CN"/>
    </w:rPr>
  </w:style>
  <w:style w:type="paragraph" w:customStyle="1" w:styleId="7">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2023-11-21T07:04:00Z</dcterms:created>
  <dc:creator>GONG</dc:creator>
  <cp:lastModifiedBy>Colibri</cp:lastModifiedBy>
  <dcterms:modified xsi:type="dcterms:W3CDTF">2023-11-21T07:32:08Z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0DA039EE899E4CD1B7C260B9F54B44B4_12</vt:lpwstr>
  </property>
</Properties>
</file>