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附件</w:t>
      </w:r>
    </w:p>
    <w:p>
      <w:pPr>
        <w:rPr>
          <w:b/>
          <w:sz w:val="24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表一：符合性评审表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详细评分标准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标的一（</w:t>
      </w:r>
      <w:r>
        <w:t>开平市202</w:t>
      </w:r>
      <w:r>
        <w:rPr>
          <w:rFonts w:hint="eastAsia"/>
          <w:lang w:val="en-US" w:eastAsia="zh-CN"/>
        </w:rPr>
        <w:t>3</w:t>
      </w:r>
      <w:r>
        <w:t>年</w:t>
      </w:r>
      <w:r>
        <w:rPr>
          <w:rFonts w:hint="eastAsia"/>
        </w:rPr>
        <w:t>高标准农田改造提升建设</w:t>
      </w:r>
      <w:r>
        <w:t>项目</w:t>
      </w:r>
      <w:r>
        <w:rPr>
          <w:rFonts w:hint="eastAsia"/>
          <w:lang w:eastAsia="zh-CN"/>
        </w:rPr>
        <w:t>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307"/>
        <w:gridCol w:w="507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</w:pPr>
            <w:r>
              <w:t>评审因素</w:t>
            </w:r>
          </w:p>
        </w:tc>
        <w:tc>
          <w:tcPr>
            <w:tcW w:w="7383" w:type="dxa"/>
            <w:gridSpan w:val="2"/>
          </w:tcPr>
          <w:p>
            <w:pPr>
              <w:jc w:val="center"/>
            </w:pPr>
            <w:r>
              <w:t>评审标准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</w:pPr>
            <w:r>
              <w:t>分值构成</w:t>
            </w:r>
          </w:p>
        </w:tc>
        <w:tc>
          <w:tcPr>
            <w:tcW w:w="7383" w:type="dxa"/>
            <w:gridSpan w:val="2"/>
          </w:tcPr>
          <w:p>
            <w:r>
              <w:t>技术部分35.0</w:t>
            </w:r>
            <w:bookmarkStart w:id="0" w:name="_GoBack"/>
            <w:bookmarkEnd w:id="0"/>
            <w:r>
              <w:t>分</w:t>
            </w:r>
          </w:p>
          <w:p>
            <w:r>
              <w:t>商务部分3</w:t>
            </w:r>
            <w:r>
              <w:rPr>
                <w:rFonts w:hint="eastAsia"/>
                <w:lang w:val="en-US" w:eastAsia="zh-CN"/>
              </w:rPr>
              <w:t>0</w:t>
            </w:r>
            <w:r>
              <w:t>.0分</w:t>
            </w:r>
          </w:p>
          <w:p>
            <w:r>
              <w:t>报价得分3</w:t>
            </w:r>
            <w:r>
              <w:rPr>
                <w:rFonts w:hint="eastAsia"/>
                <w:lang w:val="en-US" w:eastAsia="zh-CN"/>
              </w:rPr>
              <w:t>5</w:t>
            </w:r>
            <w:r>
              <w:t>.0分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Merge w:val="restart"/>
          </w:tcPr>
          <w:p>
            <w:pPr>
              <w:jc w:val="center"/>
            </w:pPr>
            <w:r>
              <w:t>技术部分</w:t>
            </w:r>
          </w:p>
        </w:tc>
        <w:tc>
          <w:tcPr>
            <w:tcW w:w="2307" w:type="dxa"/>
          </w:tcPr>
          <w:p>
            <w:pPr>
              <w:jc w:val="left"/>
            </w:pPr>
            <w:r>
              <w:t>项目组织实施方案 (5.0分)</w:t>
            </w:r>
          </w:p>
        </w:tc>
        <w:tc>
          <w:tcPr>
            <w:tcW w:w="5076" w:type="dxa"/>
          </w:tcPr>
          <w:p>
            <w:pPr>
              <w:jc w:val="left"/>
            </w:pPr>
            <w:r>
              <w:t>根据投标人的质</w:t>
            </w:r>
            <w:r>
              <w:rPr>
                <w:rFonts w:hint="eastAsia"/>
                <w:lang w:eastAsia="zh-CN"/>
              </w:rPr>
              <w:t>量</w:t>
            </w:r>
            <w:r>
              <w:t>保证、供货措施、配送、验收方案、使用环节技术指导及培训方案进行比较： 1.投标人的质</w:t>
            </w:r>
            <w:r>
              <w:rPr>
                <w:rFonts w:hint="eastAsia"/>
                <w:lang w:eastAsia="zh-CN"/>
              </w:rPr>
              <w:t>量</w:t>
            </w:r>
            <w:r>
              <w:t>保证、供货措施、配送、验收方案、使用环节技术指导及培训方案科学合理、可行性高，得5分； 2.投标人的质</w:t>
            </w:r>
            <w:r>
              <w:rPr>
                <w:rFonts w:hint="eastAsia"/>
                <w:lang w:eastAsia="zh-CN"/>
              </w:rPr>
              <w:t>量</w:t>
            </w:r>
            <w:r>
              <w:t>保证、供货措施、配送、验收方案、使用环节技术指导及培训方案科学合理、可行性较高，得3分； 3.投标人的质</w:t>
            </w:r>
            <w:r>
              <w:rPr>
                <w:rFonts w:hint="eastAsia"/>
                <w:lang w:eastAsia="zh-CN"/>
              </w:rPr>
              <w:t>量</w:t>
            </w:r>
            <w:r>
              <w:t>保证、供货措施、配送、验收方案、使用环节技术指导及培训方案科学合理、可行性低，得1分； 4.没有提供方案，得0分。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Merge w:val="continue"/>
          </w:tcPr>
          <w:p/>
        </w:tc>
        <w:tc>
          <w:tcPr>
            <w:tcW w:w="2307" w:type="dxa"/>
          </w:tcPr>
          <w:p>
            <w:pPr>
              <w:jc w:val="left"/>
            </w:pPr>
            <w:r>
              <w:t>售后服务方案 (7.0分)</w:t>
            </w:r>
          </w:p>
        </w:tc>
        <w:tc>
          <w:tcPr>
            <w:tcW w:w="5076" w:type="dxa"/>
          </w:tcPr>
          <w:p>
            <w:pPr>
              <w:jc w:val="left"/>
            </w:pPr>
            <w:r>
              <w:t>根据投标人的售后服务及配送，包括服务范围、应急处理方案及跟踪服务等综合评价： 1.完整、具体、专业、合理、可行，对比最优，得 7 分； 2.比较完整、具体、专业、合理、可行，对比较优，得 4分； 3.内容不够完整、具体、合理，专业性和可行性一般，得 2 分； 4.内容过于简单，专业性和可行性较差，得 1 分； 5.没有提供售后服务方案，得0分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922" w:type="dxa"/>
            <w:vMerge w:val="continue"/>
          </w:tcPr>
          <w:p/>
        </w:tc>
        <w:tc>
          <w:tcPr>
            <w:tcW w:w="2307" w:type="dxa"/>
          </w:tcPr>
          <w:p>
            <w:pPr>
              <w:jc w:val="left"/>
            </w:pPr>
            <w:r>
              <w:t>履约便利性 (10.0分)</w:t>
            </w:r>
          </w:p>
        </w:tc>
        <w:tc>
          <w:tcPr>
            <w:tcW w:w="5076" w:type="dxa"/>
          </w:tcPr>
          <w:p>
            <w:pPr>
              <w:jc w:val="left"/>
            </w:pPr>
            <w:r>
              <w:t>根据投标人的服务机构设置，履约便利性进行综合评审： 1、履约便利性高、人员响应需求速度快，得 10 分； 2、履约便利性较高、人员响应需求速度较快，得 7 分； 3、履约便利性一般、人员响应需求速度一般，得 3 分。 4、履约便利性差、人员响应需求速度慢，得 1 分。  注：以提供售后服务机构的营业执照，提供证明材料复印件并加盖公章，不提供不得分。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2" w:type="dxa"/>
            <w:vMerge w:val="continue"/>
          </w:tcPr>
          <w:p/>
        </w:tc>
        <w:tc>
          <w:tcPr>
            <w:tcW w:w="2307" w:type="dxa"/>
          </w:tcPr>
          <w:p>
            <w:pPr>
              <w:jc w:val="left"/>
            </w:pPr>
            <w:r>
              <w:t>仓储管理制度 (10.0分)</w:t>
            </w:r>
          </w:p>
        </w:tc>
        <w:tc>
          <w:tcPr>
            <w:tcW w:w="5076" w:type="dxa"/>
            <w:vAlign w:val="top"/>
          </w:tcPr>
          <w:p>
            <w:pPr>
              <w:jc w:val="left"/>
            </w:pPr>
            <w:r>
              <w:rPr>
                <w:color w:val="auto"/>
              </w:rPr>
              <w:t>根据投标人</w:t>
            </w:r>
            <w:r>
              <w:rPr>
                <w:rFonts w:hint="eastAsia"/>
                <w:color w:val="auto"/>
                <w:lang w:eastAsia="zh-CN"/>
              </w:rPr>
              <w:t>或其产品供应商</w:t>
            </w:r>
            <w:r>
              <w:rPr>
                <w:color w:val="auto"/>
              </w:rPr>
              <w:t>的</w:t>
            </w:r>
            <w:r>
              <w:t>仓库条件、仓储能力、仓库交通条件、仓储制度等条件进行综合评审： 1.投标人的仓库条件良好、仓储能力良好、仓库交通条件便利、仓储制度等内容全面、措施得力，可行性强，得10分； 2.投标人的仓库条件良好、仓储能力良好、仓库交通条件便利、仓储制度等内容一般、措施一般，可行性一般，得7分；  3.投标人的仓库条件良好、仓储能力良好、仓库交通条件便利、仓储制度等内容、措施和可行性均较差，得3分； 4.不提供相关方案、制度得0分。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Merge w:val="continue"/>
          </w:tcPr>
          <w:p/>
        </w:tc>
        <w:tc>
          <w:tcPr>
            <w:tcW w:w="2307" w:type="dxa"/>
          </w:tcPr>
          <w:p>
            <w:pPr>
              <w:jc w:val="left"/>
              <w:rPr>
                <w:color w:val="0000FF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资信情况及履约能力 (3.0分)</w:t>
            </w:r>
          </w:p>
        </w:tc>
        <w:tc>
          <w:tcPr>
            <w:tcW w:w="5076" w:type="dxa"/>
          </w:tcPr>
          <w:p>
            <w:pPr>
              <w:jc w:val="left"/>
            </w:pPr>
            <w:r>
              <w:t>对比各投标人的资信情况及履约能力： 1、投标人的资信情况及履约能力优秀的，得3分； 2、投标人的资信情况及履约能力良好的，得2分； 3、投标人的资信情况及履约能力较差的，得1分。 4、不提供得0分。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922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商务部分</w:t>
            </w:r>
          </w:p>
        </w:tc>
        <w:tc>
          <w:tcPr>
            <w:tcW w:w="2307" w:type="dxa"/>
          </w:tcPr>
          <w:p>
            <w:pPr>
              <w:jc w:val="left"/>
            </w:pPr>
            <w:r>
              <w:t>企业证书 (</w:t>
            </w:r>
            <w:r>
              <w:rPr>
                <w:rFonts w:hint="eastAsia"/>
                <w:lang w:val="en-US" w:eastAsia="zh-CN"/>
              </w:rPr>
              <w:t>10</w:t>
            </w:r>
            <w:r>
              <w:t>.0分)</w:t>
            </w:r>
          </w:p>
        </w:tc>
        <w:tc>
          <w:tcPr>
            <w:tcW w:w="5076" w:type="dxa"/>
          </w:tcPr>
          <w:p>
            <w:pPr>
              <w:jc w:val="left"/>
            </w:pPr>
            <w:r>
              <w:t>1、供应商具有安全生产标准化证书的得</w:t>
            </w:r>
            <w:r>
              <w:rPr>
                <w:rFonts w:hint="eastAsia"/>
                <w:lang w:val="en-US" w:eastAsia="zh-CN"/>
              </w:rPr>
              <w:t>10</w:t>
            </w:r>
            <w:r>
              <w:t>分； 2、没有提供不得分。 注：须提供相应的证书复印件加盖公章，不提供不得分。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Merge w:val="continue"/>
          </w:tcPr>
          <w:p/>
        </w:tc>
        <w:tc>
          <w:tcPr>
            <w:tcW w:w="2307" w:type="dxa"/>
          </w:tcPr>
          <w:p>
            <w:pPr>
              <w:jc w:val="left"/>
            </w:pPr>
            <w:r>
              <w:t>响应供应商设备实力 (</w:t>
            </w:r>
            <w:r>
              <w:rPr>
                <w:rFonts w:hint="eastAsia"/>
                <w:lang w:val="en-US" w:eastAsia="zh-CN"/>
              </w:rPr>
              <w:t>10</w:t>
            </w:r>
            <w:r>
              <w:t>.0分)</w:t>
            </w:r>
          </w:p>
        </w:tc>
        <w:tc>
          <w:tcPr>
            <w:tcW w:w="5076" w:type="dxa"/>
          </w:tcPr>
          <w:p>
            <w:pPr>
              <w:jc w:val="left"/>
            </w:pPr>
            <w:r>
              <w:t>1.供应商具有</w:t>
            </w:r>
            <w:r>
              <w:rPr>
                <w:rFonts w:hint="eastAsia"/>
                <w:lang w:val="en-US" w:eastAsia="zh-CN"/>
              </w:rPr>
              <w:t>3辆</w:t>
            </w:r>
            <w:r>
              <w:t>及以上的</w:t>
            </w:r>
            <w:r>
              <w:rPr>
                <w:rFonts w:hint="eastAsia"/>
                <w:lang w:eastAsia="zh-CN"/>
              </w:rPr>
              <w:t>配送</w:t>
            </w:r>
            <w:r>
              <w:t>服务</w:t>
            </w:r>
            <w:r>
              <w:rPr>
                <w:rFonts w:hint="eastAsia"/>
                <w:lang w:eastAsia="zh-CN"/>
              </w:rPr>
              <w:t>车辆</w:t>
            </w:r>
            <w:r>
              <w:t>（</w:t>
            </w:r>
            <w:r>
              <w:rPr>
                <w:rFonts w:hint="eastAsia"/>
                <w:lang w:eastAsia="zh-CN"/>
              </w:rPr>
              <w:t>送货车</w:t>
            </w:r>
            <w:r>
              <w:t xml:space="preserve">）的得 </w:t>
            </w:r>
            <w:r>
              <w:rPr>
                <w:rFonts w:hint="eastAsia"/>
                <w:lang w:val="en-US" w:eastAsia="zh-CN"/>
              </w:rPr>
              <w:t>10</w:t>
            </w:r>
            <w:r>
              <w:t xml:space="preserve"> 分； 2.供应商具有</w:t>
            </w:r>
            <w:r>
              <w:rPr>
                <w:rFonts w:hint="eastAsia"/>
                <w:lang w:val="en-US" w:eastAsia="zh-CN"/>
              </w:rPr>
              <w:t>2</w:t>
            </w:r>
            <w:r>
              <w:t>台及以上的</w:t>
            </w:r>
            <w:r>
              <w:rPr>
                <w:rFonts w:hint="eastAsia"/>
                <w:lang w:eastAsia="zh-CN"/>
              </w:rPr>
              <w:t>配送</w:t>
            </w:r>
            <w:r>
              <w:t>服务</w:t>
            </w:r>
            <w:r>
              <w:rPr>
                <w:rFonts w:hint="eastAsia"/>
                <w:lang w:eastAsia="zh-CN"/>
              </w:rPr>
              <w:t>车辆</w:t>
            </w:r>
            <w:r>
              <w:t>（</w:t>
            </w:r>
            <w:r>
              <w:rPr>
                <w:rFonts w:hint="eastAsia"/>
                <w:lang w:eastAsia="zh-CN"/>
              </w:rPr>
              <w:t>送货车</w:t>
            </w:r>
            <w:r>
              <w:t xml:space="preserve">）的得 </w:t>
            </w:r>
            <w:r>
              <w:rPr>
                <w:rFonts w:hint="eastAsia"/>
                <w:lang w:val="en-US" w:eastAsia="zh-CN"/>
              </w:rPr>
              <w:t>6</w:t>
            </w:r>
            <w:r>
              <w:t xml:space="preserve"> 分；  3.供应商具有</w:t>
            </w:r>
            <w:r>
              <w:rPr>
                <w:rFonts w:hint="eastAsia"/>
                <w:lang w:val="en-US" w:eastAsia="zh-CN"/>
              </w:rPr>
              <w:t>1</w:t>
            </w:r>
            <w:r>
              <w:t>台及以上的</w:t>
            </w:r>
            <w:r>
              <w:rPr>
                <w:rFonts w:hint="eastAsia"/>
                <w:lang w:eastAsia="zh-CN"/>
              </w:rPr>
              <w:t>配送</w:t>
            </w:r>
            <w:r>
              <w:t>服务</w:t>
            </w:r>
            <w:r>
              <w:rPr>
                <w:rFonts w:hint="eastAsia"/>
                <w:lang w:eastAsia="zh-CN"/>
              </w:rPr>
              <w:t>车辆</w:t>
            </w:r>
            <w:r>
              <w:t>（</w:t>
            </w:r>
            <w:r>
              <w:rPr>
                <w:rFonts w:hint="eastAsia"/>
                <w:lang w:eastAsia="zh-CN"/>
              </w:rPr>
              <w:t>送货车</w:t>
            </w:r>
            <w:r>
              <w:t xml:space="preserve">）的得 </w:t>
            </w:r>
            <w:r>
              <w:rPr>
                <w:rFonts w:hint="eastAsia"/>
                <w:lang w:val="en-US" w:eastAsia="zh-CN"/>
              </w:rPr>
              <w:t>2</w:t>
            </w:r>
            <w:r>
              <w:t xml:space="preserve"> 分。 注：须提供相应的设备购买发票，如设备为租赁的，还需提供租赁合同或相关证明文件，不提供不得分。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Merge w:val="continue"/>
          </w:tcPr>
          <w:p/>
        </w:tc>
        <w:tc>
          <w:tcPr>
            <w:tcW w:w="2307" w:type="dxa"/>
          </w:tcPr>
          <w:p>
            <w:pPr>
              <w:jc w:val="left"/>
              <w:rPr>
                <w:color w:val="0000FF"/>
              </w:rPr>
            </w:pPr>
            <w:r>
              <w:rPr>
                <w:color w:val="auto"/>
              </w:rPr>
              <w:t>专业技术人员保障评价 (10.0分)</w:t>
            </w:r>
          </w:p>
        </w:tc>
        <w:tc>
          <w:tcPr>
            <w:tcW w:w="5076" w:type="dxa"/>
          </w:tcPr>
          <w:p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供应商人员持有</w:t>
            </w:r>
            <w:r>
              <w:rPr>
                <w:rFonts w:hint="eastAsia"/>
                <w:color w:val="auto"/>
                <w:lang w:eastAsia="zh-CN"/>
              </w:rPr>
              <w:t>相应的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机动车驾驶</w:t>
            </w:r>
            <w:r>
              <w:rPr>
                <w:color w:val="auto"/>
              </w:rPr>
              <w:t>证，每提供1人得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color w:val="auto"/>
              </w:rPr>
              <w:t xml:space="preserve">分，最高得10分。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</w:pPr>
            <w:r>
              <w:t>投标报价</w:t>
            </w:r>
          </w:p>
        </w:tc>
        <w:tc>
          <w:tcPr>
            <w:tcW w:w="2307" w:type="dxa"/>
          </w:tcPr>
          <w:p>
            <w:pPr>
              <w:jc w:val="left"/>
            </w:pPr>
            <w:r>
              <w:t>投标报价得分 (3</w:t>
            </w:r>
            <w:r>
              <w:rPr>
                <w:rFonts w:hint="eastAsia"/>
                <w:lang w:val="en-US" w:eastAsia="zh-CN"/>
              </w:rPr>
              <w:t>5</w:t>
            </w:r>
            <w:r>
              <w:t>.0分)</w:t>
            </w:r>
          </w:p>
        </w:tc>
        <w:tc>
          <w:tcPr>
            <w:tcW w:w="5076" w:type="dxa"/>
          </w:tcPr>
          <w:p>
            <w:pPr>
              <w:jc w:val="left"/>
            </w:pPr>
            <w:r>
              <w:t>投标报价得分＝（评标基准价/投标报价）×价格分值【注：满足招标文件要求且投标价格最低的投标报价为评标基准价。】最低报价不是中标的唯一依据。因落实政府采购政策进行价格调整的，以调整后的价格计算评标基准价和投标报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MjNlMDViMjBhNzdhYzc3ZGY1YjU5M2M2YTM2MTUifQ=="/>
  </w:docVars>
  <w:rsids>
    <w:rsidRoot w:val="00000000"/>
    <w:rsid w:val="0B1A1DEB"/>
    <w:rsid w:val="0EB421D9"/>
    <w:rsid w:val="0F5512C6"/>
    <w:rsid w:val="10617FE3"/>
    <w:rsid w:val="15F230AE"/>
    <w:rsid w:val="343E1A7A"/>
    <w:rsid w:val="3B0B0425"/>
    <w:rsid w:val="43A144D7"/>
    <w:rsid w:val="49FA5C32"/>
    <w:rsid w:val="5385755C"/>
    <w:rsid w:val="565F4FF3"/>
    <w:rsid w:val="5A494C90"/>
    <w:rsid w:val="60A06E84"/>
    <w:rsid w:val="68297721"/>
    <w:rsid w:val="697467F8"/>
    <w:rsid w:val="722F75A0"/>
    <w:rsid w:val="72F16372"/>
    <w:rsid w:val="785F60DC"/>
    <w:rsid w:val="7DAB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2023-10-30T01:27:00Z</dcterms:created>
  <dc:creator>Administrator</dc:creator>
  <cp:lastModifiedBy>Administrator</cp:lastModifiedBy>
  <cp:lastPrinted>2023-11-24T08:18:00Z</cp:lastPrinted>
  <dcterms:modified xsi:type="dcterms:W3CDTF">2023-11-27T02:24:32Z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CBA1FCECA5604B508C33111FEB87313E_13</vt:lpwstr>
  </property>
</Properties>
</file>