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/>
        <w:rPr>
          <w:rFonts w:ascii="Times New Roman"/>
          <w:sz w:val="1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江门市开平市2023年度土地征收成片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开发方案（第三批）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（公示草案）</w:t>
      </w:r>
    </w:p>
    <w:p>
      <w:pPr>
        <w:pStyle w:val="2"/>
        <w:spacing w:before="12" w:line="360" w:lineRule="auto"/>
        <w:ind w:left="0"/>
        <w:rPr>
          <w:rFonts w:ascii="黑体" w:hAnsi="黑体" w:eastAsia="黑体"/>
          <w:lang w:eastAsia="zh-CN"/>
        </w:rPr>
      </w:pP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一、编制依据</w:t>
      </w:r>
    </w:p>
    <w:p>
      <w:pPr>
        <w:pStyle w:val="4"/>
        <w:spacing w:line="360" w:lineRule="auto"/>
        <w:ind w:right="238"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依据《中华人民共和国土地管理法》（2019年修订）、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《自然资源部关于印发&lt;土地征收成片开发标准&gt;的通知》（自然资规〔2023〕7号）</w:t>
      </w:r>
      <w:r>
        <w:rPr>
          <w:rFonts w:ascii="Times New Roman" w:hAnsi="Times New Roman" w:cs="Times New Roman"/>
          <w:sz w:val="32"/>
          <w:szCs w:val="32"/>
          <w:lang w:eastAsia="zh-CN"/>
        </w:rPr>
        <w:t>等相关文件，编制《江门市开平市2023年度土地征收成片开发方案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（第三批）</w:t>
      </w:r>
      <w:r>
        <w:rPr>
          <w:rFonts w:ascii="Times New Roman" w:hAnsi="Times New Roman" w:cs="Times New Roman"/>
          <w:sz w:val="32"/>
          <w:szCs w:val="32"/>
          <w:lang w:eastAsia="zh-CN"/>
        </w:rPr>
        <w:t>》</w:t>
      </w:r>
      <w:r>
        <w:rPr>
          <w:rFonts w:ascii="Times New Roman" w:hAnsi="Times New Roman" w:cs="Times New Roman"/>
          <w:w w:val="99"/>
          <w:sz w:val="32"/>
          <w:szCs w:val="32"/>
          <w:lang w:eastAsia="zh-CN"/>
        </w:rPr>
        <w:t>。</w:t>
      </w: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二、基本情况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（一）区域位置</w:t>
      </w:r>
    </w:p>
    <w:p>
      <w:pPr>
        <w:pStyle w:val="4"/>
        <w:spacing w:line="360" w:lineRule="auto"/>
        <w:ind w:right="238" w:firstLine="640" w:firstLineChars="200"/>
        <w:jc w:val="both"/>
        <w:rPr>
          <w:rFonts w:ascii="Times New Roman" w:hAnsi="Times New Roman" w:cs="Times New Roman"/>
          <w:w w:val="99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本次土地征收成片开发方案编制范围位于开平市行政区划范围内。按照用地集约、创新引领、产业升维、品质再造等城市功能提升要求，片区的设置综合考虑项目的性质和空间分布、重大发展平台、控规单元、行政区等因素，成片开发片区为一个闭合完整的区域，本次土地征收成片开发共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11</w:t>
      </w:r>
      <w:r>
        <w:rPr>
          <w:rFonts w:ascii="Times New Roman" w:hAnsi="Times New Roman" w:cs="Times New Roman"/>
          <w:sz w:val="32"/>
          <w:szCs w:val="32"/>
          <w:lang w:eastAsia="zh-CN"/>
        </w:rPr>
        <w:t>个片区，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分别为开平市迳头商业片区一、开平市迳头商业片区二、开平市长沙街道居住片区、开平市开元工业园工业片区、开平市塘口镇将军山工业园片区、开平市龙胜镇白村工业片区一、开平市龙胜镇白村工业片区二、开平市汽配产业园工业片区一、开平市汽配产业园工业片区二、开平市汽配产业园工业片区三、开平市水口镇金山东大道工业片区</w:t>
      </w:r>
      <w:r>
        <w:rPr>
          <w:rFonts w:ascii="Times New Roman" w:hAnsi="Times New Roman" w:cs="Times New Roman"/>
          <w:sz w:val="32"/>
          <w:szCs w:val="32"/>
          <w:lang w:eastAsia="zh-CN"/>
        </w:rPr>
        <w:t>。片区位置详见下表</w:t>
      </w:r>
      <w:r>
        <w:rPr>
          <w:rFonts w:hint="eastAsia" w:ascii="Times New Roman" w:hAnsi="Times New Roman" w:cs="Times New Roman"/>
          <w:w w:val="99"/>
          <w:sz w:val="32"/>
          <w:szCs w:val="32"/>
          <w:lang w:eastAsia="zh-CN"/>
        </w:rPr>
        <w:t>：</w:t>
      </w:r>
    </w:p>
    <w:p>
      <w:pPr>
        <w:pStyle w:val="4"/>
        <w:spacing w:before="1" w:line="360" w:lineRule="auto"/>
        <w:ind w:right="234" w:firstLine="476" w:firstLineChars="200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lang w:eastAsia="zh-CN"/>
        </w:rPr>
        <w:t>表1 片区概况汇总表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497"/>
        <w:gridCol w:w="297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53" w:type="pc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片区名称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位置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面积（公顷）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1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开平市迳头商业片区一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三埠街道迳头社区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1.6893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2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开平市迳头商业片区二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三埠街道南山村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1.5704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3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开平市长沙街道居住片区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长沙街道杜溪村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4.3958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4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开平市开元工业园工业片区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长沙街道东升村、平冈村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67.3880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5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开平市塘口镇将军山工业园片区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塘口镇四九村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6.6275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6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开平市龙胜镇白村工业片区一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龙胜镇白村村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2.3098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7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开平市龙胜镇白村工业片区二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龙胜镇白村村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2.6044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8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开平市汽配产业园工业片区一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龙胜镇桥新村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19.1714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9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开平市汽配产业园工业片区二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龙胜镇桥新村、大雄村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9.1742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sz w:val="24"/>
                <w:lang w:val="en-US" w:eastAsia="zh-CN" w:bidi="ar"/>
              </w:rPr>
              <w:t>0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开平市水口镇金山东大道工业片区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水口镇海燕村、开锋村、宝锋村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92.2285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sz w:val="24"/>
                <w:lang w:val="en-US" w:eastAsia="zh-CN" w:bidi="ar"/>
              </w:rPr>
              <w:t>1</w:t>
            </w:r>
          </w:p>
        </w:tc>
        <w:tc>
          <w:tcPr>
            <w:tcW w:w="195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开平市汽配产业园工业片区三</w:t>
            </w:r>
          </w:p>
        </w:tc>
        <w:tc>
          <w:tcPr>
            <w:tcW w:w="1660" w:type="pct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lang w:eastAsia="zh-CN" w:bidi="ar"/>
              </w:rPr>
              <w:t>龙胜镇桥新村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0.5080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05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等线"/>
                <w:b/>
                <w:bCs/>
                <w:color w:val="000000"/>
                <w:sz w:val="24"/>
                <w:lang w:eastAsia="zh-CN" w:bidi="ar"/>
              </w:rPr>
              <w:t>207.</w:t>
            </w:r>
            <w:r>
              <w:rPr>
                <w:rFonts w:ascii="Times New Roman" w:hAnsi="Times New Roman" w:cs="等线"/>
                <w:b/>
                <w:bCs/>
                <w:color w:val="000000"/>
                <w:sz w:val="24"/>
                <w:lang w:eastAsia="zh-CN" w:bidi="ar"/>
              </w:rPr>
              <w:t>6673</w:t>
            </w:r>
          </w:p>
        </w:tc>
      </w:tr>
    </w:tbl>
    <w:p>
      <w:pPr>
        <w:pStyle w:val="4"/>
        <w:spacing w:before="1" w:line="360" w:lineRule="auto"/>
        <w:ind w:right="99"/>
        <w:jc w:val="both"/>
        <w:rPr>
          <w:rFonts w:ascii="Times New Roman" w:hAnsi="Times New Roman" w:cs="Times New Roman"/>
          <w:lang w:eastAsia="zh-CN"/>
        </w:rPr>
      </w:pPr>
    </w:p>
    <w:p>
      <w:pPr>
        <w:pStyle w:val="4"/>
        <w:spacing w:before="86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（二）开发范围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cs="Times New Roman"/>
          <w:w w:val="99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本次土地征收成片开发总用地面积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207.</w:t>
      </w:r>
      <w:r>
        <w:rPr>
          <w:rFonts w:ascii="Times New Roman" w:hAnsi="Times New Roman" w:cs="Times New Roman"/>
          <w:sz w:val="32"/>
          <w:szCs w:val="32"/>
          <w:lang w:eastAsia="zh-CN"/>
        </w:rPr>
        <w:t>6673公顷，农用地面积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187.</w:t>
      </w:r>
      <w:r>
        <w:rPr>
          <w:rFonts w:ascii="Times New Roman" w:hAnsi="Times New Roman" w:cs="Times New Roman"/>
          <w:sz w:val="32"/>
          <w:szCs w:val="32"/>
          <w:lang w:eastAsia="zh-CN"/>
        </w:rPr>
        <w:t>6426公顷（其中耕地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16.2710</w:t>
      </w:r>
      <w:r>
        <w:rPr>
          <w:rFonts w:ascii="Times New Roman" w:hAnsi="Times New Roman" w:cs="Times New Roman"/>
          <w:sz w:val="32"/>
          <w:szCs w:val="32"/>
          <w:lang w:eastAsia="zh-CN"/>
        </w:rPr>
        <w:t>公顷），实际拟征收集体土地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143.42</w:t>
      </w:r>
      <w:r>
        <w:rPr>
          <w:rFonts w:ascii="Times New Roman" w:hAnsi="Times New Roman" w:cs="Times New Roman"/>
          <w:sz w:val="32"/>
          <w:szCs w:val="32"/>
          <w:lang w:eastAsia="zh-CN"/>
        </w:rPr>
        <w:t>43公顷</w:t>
      </w:r>
      <w:r>
        <w:rPr>
          <w:rFonts w:ascii="Times New Roman" w:hAnsi="Times New Roman" w:cs="Times New Roman"/>
          <w:w w:val="99"/>
          <w:sz w:val="32"/>
          <w:szCs w:val="32"/>
          <w:lang w:eastAsia="zh-CN"/>
        </w:rPr>
        <w:t>。</w:t>
      </w:r>
    </w:p>
    <w:p>
      <w:pPr>
        <w:pStyle w:val="4"/>
        <w:spacing w:line="360" w:lineRule="auto"/>
        <w:ind w:firstLine="554" w:firstLineChars="200"/>
        <w:jc w:val="both"/>
        <w:rPr>
          <w:rFonts w:ascii="Times New Roman" w:hAnsi="Times New Roman" w:cs="Times New Roman"/>
          <w:w w:val="99"/>
          <w:lang w:eastAsia="zh-CN"/>
        </w:rPr>
      </w:pP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三、成片开发条件分析</w:t>
      </w:r>
    </w:p>
    <w:p>
      <w:pPr>
        <w:pStyle w:val="4"/>
        <w:spacing w:before="86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（一）必要性分析</w:t>
      </w:r>
    </w:p>
    <w:p>
      <w:pPr>
        <w:pStyle w:val="4"/>
        <w:spacing w:before="86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本次土地征收成片开发强化提升都市核心区带动能力。立足“江门副核心”定位，围绕打造珠江口西翼产业转型升级重要载体的目标，连片构建先进装备制造产业带和产业集聚工业走廊。</w:t>
      </w:r>
      <w:r>
        <w:rPr>
          <w:rFonts w:hint="eastAsia" w:ascii="Times New Roman" w:hAnsi="Times New Roman" w:cs="Times New Roman"/>
          <w:spacing w:val="-4"/>
          <w:sz w:val="32"/>
          <w:szCs w:val="32"/>
          <w:lang w:eastAsia="zh-CN"/>
        </w:rPr>
        <w:t>通过土地征收成片开发，强化产业承载力，推动传统产业转型升级，培育壮大新兴产业，推进产业基础高级化、产业链现代化，提高经济发展质量和效益，打造大湾区具有独特竞争力城市。</w:t>
      </w:r>
    </w:p>
    <w:p>
      <w:pPr>
        <w:pStyle w:val="4"/>
        <w:spacing w:before="86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（二）合规性分析</w:t>
      </w:r>
    </w:p>
    <w:p>
      <w:pPr>
        <w:pStyle w:val="4"/>
        <w:spacing w:before="86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近五年来，开平市供地率大于6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4.46</w:t>
      </w:r>
      <w:r>
        <w:rPr>
          <w:rFonts w:ascii="Times New Roman" w:hAnsi="Times New Roman" w:cs="Times New Roman"/>
          <w:sz w:val="32"/>
          <w:szCs w:val="32"/>
          <w:lang w:eastAsia="zh-CN"/>
        </w:rPr>
        <w:t>%、土地闲置率低于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0.</w:t>
      </w:r>
      <w:r>
        <w:rPr>
          <w:rFonts w:ascii="Times New Roman" w:hAnsi="Times New Roman" w:cs="Times New Roman"/>
          <w:sz w:val="32"/>
          <w:szCs w:val="32"/>
          <w:lang w:eastAsia="zh-CN"/>
        </w:rPr>
        <w:t>19%，土地利用效率高。本次成片开发项目已纳入国民经济和社会发展年度计划，公益性用地比例为4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1.75</w:t>
      </w:r>
      <w:r>
        <w:rPr>
          <w:rFonts w:ascii="Times New Roman" w:hAnsi="Times New Roman" w:cs="Times New Roman"/>
          <w:sz w:val="32"/>
          <w:szCs w:val="32"/>
          <w:lang w:eastAsia="zh-CN"/>
        </w:rPr>
        <w:t>%，不涉及占用永久基本农田和生态保护红线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,</w:t>
      </w:r>
      <w:r>
        <w:rPr>
          <w:rFonts w:ascii="Times New Roman" w:hAnsi="Times New Roman" w:cs="Times New Roman"/>
          <w:sz w:val="32"/>
          <w:szCs w:val="32"/>
          <w:lang w:eastAsia="zh-CN"/>
        </w:rPr>
        <w:t>本次土地征收成片开发方案符合国民经济和社会发展规划、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开平市国土空间总体规划</w:t>
      </w:r>
      <w:r>
        <w:rPr>
          <w:rFonts w:ascii="Times New Roman" w:hAnsi="Times New Roman" w:cs="Times New Roman"/>
          <w:sz w:val="32"/>
          <w:szCs w:val="32"/>
          <w:lang w:eastAsia="zh-CN"/>
        </w:rPr>
        <w:t>和专项规划，做到了保护耕地、节约集约用地、保护生态环境，能够促进经济社会可持续发展。</w:t>
      </w: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四、土地用途与公益性用地情况</w:t>
      </w:r>
    </w:p>
    <w:p>
      <w:pPr>
        <w:pStyle w:val="4"/>
        <w:spacing w:line="360" w:lineRule="auto"/>
        <w:ind w:firstLine="640" w:firstLineChars="200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（一）土地用途</w:t>
      </w:r>
    </w:p>
    <w:p>
      <w:pPr>
        <w:pStyle w:val="4"/>
        <w:spacing w:line="360" w:lineRule="auto"/>
        <w:ind w:right="85" w:firstLine="624" w:firstLineChars="200"/>
        <w:jc w:val="both"/>
        <w:rPr>
          <w:rFonts w:ascii="Times New Roman" w:hAnsi="Times New Roman" w:cs="Times New Roman"/>
          <w:spacing w:val="-4"/>
          <w:sz w:val="32"/>
          <w:szCs w:val="32"/>
          <w:lang w:eastAsia="zh-CN"/>
        </w:rPr>
      </w:pPr>
      <w:r>
        <w:rPr>
          <w:rFonts w:ascii="Times New Roman" w:hAnsi="Times New Roman" w:cs="Times New Roman"/>
          <w:spacing w:val="-4"/>
          <w:sz w:val="32"/>
          <w:szCs w:val="32"/>
          <w:lang w:eastAsia="zh-CN"/>
        </w:rPr>
        <w:t>本次成片开发范围共</w:t>
      </w:r>
      <w:r>
        <w:rPr>
          <w:rFonts w:hint="eastAsia" w:ascii="Times New Roman" w:hAnsi="Times New Roman" w:cs="Times New Roman"/>
          <w:spacing w:val="-4"/>
          <w:sz w:val="32"/>
          <w:szCs w:val="32"/>
          <w:lang w:eastAsia="zh-CN"/>
        </w:rPr>
        <w:t>11</w:t>
      </w:r>
      <w:r>
        <w:rPr>
          <w:rFonts w:ascii="Times New Roman" w:hAnsi="Times New Roman" w:cs="Times New Roman"/>
          <w:spacing w:val="-4"/>
          <w:sz w:val="32"/>
          <w:szCs w:val="32"/>
          <w:lang w:eastAsia="zh-CN"/>
        </w:rPr>
        <w:t>个片区，功能分区</w:t>
      </w:r>
      <w:r>
        <w:rPr>
          <w:rFonts w:hint="eastAsia" w:ascii="Times New Roman" w:hAnsi="Times New Roman" w:cs="Times New Roman"/>
          <w:spacing w:val="-4"/>
          <w:sz w:val="32"/>
          <w:szCs w:val="32"/>
          <w:lang w:eastAsia="zh-CN"/>
        </w:rPr>
        <w:t>为商业商务区、工业发展区和居住生活区，</w:t>
      </w:r>
      <w:r>
        <w:rPr>
          <w:rFonts w:ascii="Times New Roman" w:hAnsi="Times New Roman" w:cs="Times New Roman"/>
          <w:spacing w:val="-4"/>
          <w:sz w:val="32"/>
          <w:szCs w:val="32"/>
          <w:lang w:eastAsia="zh-CN"/>
        </w:rPr>
        <w:t>详情下表。片区最终用途以法定规划实际批复用地性质为准。</w:t>
      </w:r>
    </w:p>
    <w:p>
      <w:pPr>
        <w:pStyle w:val="4"/>
        <w:spacing w:before="1" w:line="360" w:lineRule="auto"/>
        <w:ind w:right="234" w:firstLine="476" w:firstLineChars="20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lang w:eastAsia="zh-CN"/>
        </w:rPr>
        <w:t>表2 片区土地用途汇总表</w: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677"/>
        <w:gridCol w:w="2911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片区名称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拟安排项目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规划功能分区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开平市迳头商业片区一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牛仔服装展示贸易中心项目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商业商务区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开平市迳头商业片区二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迳头供水业务大楼项目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商业商务区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开平市长沙街道居住片区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长沙街道商业综合体项目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居住生活区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开平市开元工业园工业片区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普拉托智慧物流载具项目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开平市塘口镇将军山工业园片区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兴达生物科技开平产业园项目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开平市龙胜镇白村工业片区一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开平市龙胜科技创新产业基地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开平市龙胜镇白村工业片区二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开平市龙胜科技创新产业基地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开平市汽配产业园工业片区一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开平市龙胜镇小微双创汽配示范基地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开平市汽配产业园工业片区二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开平市龙胜镇小微双创汽配示范基地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开平市水口镇金山东大道工业片区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开平市国际卫浴创新基地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开平市汽配产业园工业片区三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开平市龙胜镇小微双创汽配示范基地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工业发展区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（二）公益性用地情况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成片开发区域内公益性用地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86.8087</w:t>
      </w:r>
      <w:r>
        <w:rPr>
          <w:rFonts w:ascii="Times New Roman" w:hAnsi="Times New Roman" w:cs="Times New Roman"/>
          <w:sz w:val="32"/>
          <w:szCs w:val="32"/>
          <w:lang w:eastAsia="zh-CN"/>
        </w:rPr>
        <w:t>公顷，占总用地比例4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1.75</w:t>
      </w:r>
      <w:r>
        <w:rPr>
          <w:rFonts w:ascii="Times New Roman" w:hAnsi="Times New Roman" w:cs="Times New Roman"/>
          <w:sz w:val="32"/>
          <w:szCs w:val="32"/>
          <w:lang w:eastAsia="zh-CN"/>
        </w:rPr>
        <w:t>%，分别为公共管理与公共服务设施用地、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道路与交通设施用地及绿地与广场用地</w:t>
      </w:r>
      <w:r>
        <w:rPr>
          <w:rFonts w:ascii="Times New Roman" w:hAnsi="Times New Roman" w:cs="Times New Roman"/>
          <w:sz w:val="32"/>
          <w:szCs w:val="32"/>
          <w:lang w:eastAsia="zh-CN"/>
        </w:rPr>
        <w:t>，符合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《自然资源部关于印发&lt;土地征收成片开发标准&gt;的通知》（自然资规〔2023〕7号）</w:t>
      </w:r>
      <w:r>
        <w:rPr>
          <w:rFonts w:ascii="Times New Roman" w:hAnsi="Times New Roman" w:cs="Times New Roman"/>
          <w:sz w:val="32"/>
          <w:szCs w:val="32"/>
          <w:lang w:eastAsia="zh-CN"/>
        </w:rPr>
        <w:t>公益性用地比例一般不低于40%的要求。</w:t>
      </w: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五、实施计划</w:t>
      </w:r>
    </w:p>
    <w:p>
      <w:pPr>
        <w:pStyle w:val="4"/>
        <w:spacing w:before="1" w:line="360" w:lineRule="auto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本方案划定成片开发范围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207.</w:t>
      </w:r>
      <w:r>
        <w:rPr>
          <w:rFonts w:ascii="Times New Roman" w:hAnsi="Times New Roman" w:cs="Times New Roman"/>
          <w:sz w:val="32"/>
          <w:szCs w:val="32"/>
          <w:lang w:eastAsia="zh-CN"/>
        </w:rPr>
        <w:t>6673公顷，计划实施周期为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2</w:t>
      </w:r>
      <w:r>
        <w:rPr>
          <w:rFonts w:ascii="Times New Roman" w:hAnsi="Times New Roman" w:cs="Times New Roman"/>
          <w:sz w:val="32"/>
          <w:szCs w:val="32"/>
          <w:lang w:eastAsia="zh-CN"/>
        </w:rPr>
        <w:t>024-2025年，2年内完成土地征收和报批工作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cs="Times New Roman"/>
          <w:sz w:val="32"/>
          <w:szCs w:val="32"/>
          <w:lang w:eastAsia="zh-CN"/>
        </w:rPr>
        <w:t>征收面积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143.</w:t>
      </w:r>
      <w:r>
        <w:rPr>
          <w:rFonts w:ascii="Times New Roman" w:hAnsi="Times New Roman" w:cs="Times New Roman"/>
          <w:sz w:val="32"/>
          <w:szCs w:val="32"/>
          <w:lang w:eastAsia="zh-CN"/>
        </w:rPr>
        <w:t>4243公顷，</w:t>
      </w:r>
      <w:r>
        <w:rPr>
          <w:sz w:val="32"/>
          <w:szCs w:val="32"/>
          <w:lang w:eastAsia="zh-CN"/>
        </w:rPr>
        <w:t>完成比例</w:t>
      </w:r>
      <w:r>
        <w:rPr>
          <w:rFonts w:ascii="Times New Roman" w:eastAsia="Times New Roman"/>
          <w:sz w:val="32"/>
          <w:szCs w:val="32"/>
          <w:lang w:eastAsia="zh-CN"/>
        </w:rPr>
        <w:t>100%</w:t>
      </w:r>
      <w:r>
        <w:rPr>
          <w:sz w:val="32"/>
          <w:szCs w:val="32"/>
          <w:lang w:eastAsia="zh-CN"/>
        </w:rPr>
        <w:t>。</w:t>
      </w:r>
    </w:p>
    <w:p>
      <w:pPr>
        <w:pStyle w:val="4"/>
        <w:spacing w:before="1" w:line="360" w:lineRule="auto"/>
        <w:ind w:firstLine="560" w:firstLineChars="200"/>
        <w:jc w:val="both"/>
        <w:rPr>
          <w:lang w:eastAsia="zh-CN"/>
        </w:rPr>
      </w:pP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六、效益评估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（一）土地利用效益评估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经本次土地征收成片开发，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有利于优化增量片区内新增建设用地空间布局，满足开平市的建设发展需求，后续将按照详细规划确定的控制要求进行项目建设，实现土地集约节约利用。将有效推进用地节约集约利用，避免用地浪费，实现土地资源的合理配置</w:t>
      </w:r>
      <w:r>
        <w:rPr>
          <w:rFonts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（二）经济效益评估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有效促进开平市优势产业的集聚发展以及创新平台的形成，为重大创新载体与创新产业提供承载空间，加快区域经济格局的重构，推动开平市实现产业动能升级转换，助力开平市高质量发展，有效保障近期低温储运装备制造项目用地需求，对于周边产业和相关产业行业有较强的带动力。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（三）社会效益评估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经本次土地征收成片开发，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能够扩大工业发展规模，有利于吸收周边剩余劳动力，可创造大量就业岗位，原从事农业生产的居民就业渠道得以拓宽，既增加了农民的收入，也解决了部分剩余劳动力的就业问题，有利于消除社会不稳定因素，对稳定政治、社会大局，加强社会管理等有着重要意义。成片开发范围商业、工业地块等能为开平市提供新的工作岗位，同时通过高新企业、智能制造业等的发展引进高端技术人才、吸引人才回流，为开平工业、社会发展带来新的动能。</w:t>
      </w:r>
    </w:p>
    <w:p>
      <w:pPr>
        <w:pStyle w:val="4"/>
        <w:spacing w:before="1" w:line="360" w:lineRule="auto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（四）生态效益评估</w:t>
      </w:r>
    </w:p>
    <w:p>
      <w:pPr>
        <w:pStyle w:val="4"/>
        <w:spacing w:before="1" w:line="360" w:lineRule="auto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成片开发范围内建设项目后续应依托开平市优质山水生态资源本底，结合产业园、重点平台建设等项目详细规划设计提供多元的城市生态空间、改善城市环境，尤其是涉及工业、商业开发等高开发强度的项目建设，将结合项目类型采取有效的环境影响保护控制及削减措施，使片区范围内的大气环境质量、水环境质量、声环境质量和土壤环境质量达到国家规范要求，尽可能降低生态损失，实现经济、社会和生态效益协调发展</w:t>
      </w:r>
      <w:r>
        <w:rPr>
          <w:w w:val="99"/>
          <w:sz w:val="32"/>
          <w:szCs w:val="32"/>
          <w:lang w:eastAsia="zh-CN"/>
        </w:rPr>
        <w:t>。</w:t>
      </w:r>
    </w:p>
    <w:p>
      <w:pPr>
        <w:pStyle w:val="2"/>
        <w:spacing w:before="12" w:line="360" w:lineRule="auto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七、结论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cs="Times New Roman"/>
          <w:w w:val="99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综上所述，《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江门市开平市</w:t>
      </w:r>
      <w:r>
        <w:rPr>
          <w:rFonts w:ascii="Times New Roman" w:hAnsi="Times New Roman" w:cs="Times New Roman"/>
          <w:sz w:val="32"/>
          <w:szCs w:val="32"/>
          <w:lang w:eastAsia="zh-CN"/>
        </w:rPr>
        <w:t>2023年度土地征收成片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开发方案（第三批）</w:t>
      </w:r>
      <w:r>
        <w:rPr>
          <w:rFonts w:ascii="Times New Roman" w:hAnsi="Times New Roman" w:cs="Times New Roman"/>
          <w:sz w:val="32"/>
          <w:szCs w:val="32"/>
          <w:lang w:eastAsia="zh-CN"/>
        </w:rPr>
        <w:t>》符合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《自然资源部关于印发&lt;土地征收成片开发标准&gt;的通知》（自然资规〔2023〕7号）</w:t>
      </w:r>
      <w:r>
        <w:rPr>
          <w:rFonts w:ascii="Times New Roman" w:hAnsi="Times New Roman" w:cs="Times New Roman"/>
          <w:sz w:val="32"/>
          <w:szCs w:val="32"/>
          <w:lang w:eastAsia="zh-CN"/>
        </w:rPr>
        <w:t>的要求</w:t>
      </w:r>
      <w:r>
        <w:rPr>
          <w:rFonts w:ascii="Times New Roman" w:hAnsi="Times New Roman" w:cs="Times New Roman"/>
          <w:w w:val="9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开平市自然资源局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spacing w:line="360" w:lineRule="auto"/>
        <w:ind w:firstLine="632" w:firstLineChars="200"/>
        <w:jc w:val="both"/>
        <w:rPr>
          <w:rFonts w:ascii="Times New Roman" w:hAnsi="Times New Roman" w:cs="Times New Roman"/>
          <w:w w:val="99"/>
          <w:sz w:val="32"/>
          <w:szCs w:val="32"/>
          <w:lang w:eastAsia="zh-CN"/>
        </w:rPr>
      </w:pPr>
    </w:p>
    <w:sectPr>
      <w:footerReference r:id="rId3" w:type="default"/>
      <w:pgSz w:w="11910" w:h="16840"/>
      <w:pgMar w:top="2154" w:right="1587" w:bottom="1531" w:left="1587" w:header="0" w:footer="9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293.3pt;margin-top:781.2pt;height:12.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czMDY4YjJiMDY2ZGM0OTk1OTU1ZTA0ZWQwMzJiNmMifQ=="/>
  </w:docVars>
  <w:rsids>
    <w:rsidRoot w:val="00903B1D"/>
    <w:rsid w:val="0003467E"/>
    <w:rsid w:val="00046B04"/>
    <w:rsid w:val="00055C20"/>
    <w:rsid w:val="00085A70"/>
    <w:rsid w:val="00090E3B"/>
    <w:rsid w:val="000A6ED2"/>
    <w:rsid w:val="000E61BB"/>
    <w:rsid w:val="00146E2C"/>
    <w:rsid w:val="00185FAB"/>
    <w:rsid w:val="001B27CD"/>
    <w:rsid w:val="001B524E"/>
    <w:rsid w:val="001E426A"/>
    <w:rsid w:val="00207876"/>
    <w:rsid w:val="0022229C"/>
    <w:rsid w:val="00226B5A"/>
    <w:rsid w:val="0026390A"/>
    <w:rsid w:val="0032797E"/>
    <w:rsid w:val="00336FB2"/>
    <w:rsid w:val="00396B62"/>
    <w:rsid w:val="003A57FB"/>
    <w:rsid w:val="00400BAF"/>
    <w:rsid w:val="004103FA"/>
    <w:rsid w:val="004345CF"/>
    <w:rsid w:val="00450A51"/>
    <w:rsid w:val="00453776"/>
    <w:rsid w:val="00460769"/>
    <w:rsid w:val="00494EAD"/>
    <w:rsid w:val="004F5AB3"/>
    <w:rsid w:val="005050C4"/>
    <w:rsid w:val="00565257"/>
    <w:rsid w:val="00583793"/>
    <w:rsid w:val="005A4CC3"/>
    <w:rsid w:val="005B110A"/>
    <w:rsid w:val="005E0A65"/>
    <w:rsid w:val="006063B8"/>
    <w:rsid w:val="00607DBE"/>
    <w:rsid w:val="00610F3B"/>
    <w:rsid w:val="0062200A"/>
    <w:rsid w:val="006347FA"/>
    <w:rsid w:val="006639BA"/>
    <w:rsid w:val="0067340B"/>
    <w:rsid w:val="00684C95"/>
    <w:rsid w:val="006920A2"/>
    <w:rsid w:val="006A67EF"/>
    <w:rsid w:val="006B2B10"/>
    <w:rsid w:val="006E6A89"/>
    <w:rsid w:val="00726BDC"/>
    <w:rsid w:val="00743193"/>
    <w:rsid w:val="007A5AFB"/>
    <w:rsid w:val="007E7054"/>
    <w:rsid w:val="007F72BF"/>
    <w:rsid w:val="008333F1"/>
    <w:rsid w:val="00896DD3"/>
    <w:rsid w:val="008D77D5"/>
    <w:rsid w:val="008F60BB"/>
    <w:rsid w:val="00903B1D"/>
    <w:rsid w:val="00915DD0"/>
    <w:rsid w:val="00917B91"/>
    <w:rsid w:val="00940201"/>
    <w:rsid w:val="0095363B"/>
    <w:rsid w:val="00957D70"/>
    <w:rsid w:val="009A6F3F"/>
    <w:rsid w:val="009B3ED8"/>
    <w:rsid w:val="009B75A5"/>
    <w:rsid w:val="00A178C7"/>
    <w:rsid w:val="00A4188A"/>
    <w:rsid w:val="00A53AE1"/>
    <w:rsid w:val="00B12AE1"/>
    <w:rsid w:val="00B23652"/>
    <w:rsid w:val="00B3035F"/>
    <w:rsid w:val="00B431D4"/>
    <w:rsid w:val="00B432FC"/>
    <w:rsid w:val="00B47778"/>
    <w:rsid w:val="00B94427"/>
    <w:rsid w:val="00BB0DF1"/>
    <w:rsid w:val="00BD679E"/>
    <w:rsid w:val="00BF1000"/>
    <w:rsid w:val="00C14D86"/>
    <w:rsid w:val="00C247F9"/>
    <w:rsid w:val="00C97B22"/>
    <w:rsid w:val="00CA044B"/>
    <w:rsid w:val="00CB0BC3"/>
    <w:rsid w:val="00CB73C3"/>
    <w:rsid w:val="00D061BD"/>
    <w:rsid w:val="00D54B33"/>
    <w:rsid w:val="00D8374C"/>
    <w:rsid w:val="00D93C44"/>
    <w:rsid w:val="00DA7FC2"/>
    <w:rsid w:val="00E216FC"/>
    <w:rsid w:val="00E3370E"/>
    <w:rsid w:val="00E354BF"/>
    <w:rsid w:val="00E35C7C"/>
    <w:rsid w:val="00E45FE4"/>
    <w:rsid w:val="00E47AED"/>
    <w:rsid w:val="00E71C67"/>
    <w:rsid w:val="00EB1995"/>
    <w:rsid w:val="00EE4371"/>
    <w:rsid w:val="00F16A45"/>
    <w:rsid w:val="00F21F60"/>
    <w:rsid w:val="00F2720A"/>
    <w:rsid w:val="00F605CE"/>
    <w:rsid w:val="00F72DD4"/>
    <w:rsid w:val="00F76E0F"/>
    <w:rsid w:val="00F80D16"/>
    <w:rsid w:val="00F872D3"/>
    <w:rsid w:val="04EA3CBE"/>
    <w:rsid w:val="13E17068"/>
    <w:rsid w:val="2BAE4EE0"/>
    <w:rsid w:val="448B0D0B"/>
    <w:rsid w:val="477E1D82"/>
    <w:rsid w:val="5A3310CE"/>
    <w:rsid w:val="69664223"/>
    <w:rsid w:val="70F755D5"/>
    <w:rsid w:val="713F3E9E"/>
    <w:rsid w:val="725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47"/>
      <w:ind w:left="120"/>
      <w:outlineLvl w:val="0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153" w:right="134"/>
      <w:jc w:val="center"/>
    </w:pPr>
  </w:style>
  <w:style w:type="character" w:customStyle="1" w:styleId="15">
    <w:name w:val="页眉 字符"/>
    <w:basedOn w:val="10"/>
    <w:link w:val="7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  <w:rPr>
      <w:rFonts w:ascii="仿宋_GB2312" w:hAnsi="仿宋_GB2312" w:eastAsia="仿宋_GB2312" w:cs="仿宋_GB231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仿宋_GB2312" w:hAnsi="仿宋_GB2312" w:eastAsia="仿宋_GB2312" w:cs="仿宋_GB2312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426</Words>
  <Characters>2433</Characters>
  <Lines>20</Lines>
  <Paragraphs>5</Paragraphs>
  <TotalTime>0</TotalTime>
  <ScaleCrop>false</ScaleCrop>
  <LinksUpToDate>false</LinksUpToDate>
  <CharactersWithSpaces>2854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2021-08-12T11:26:00Z</dcterms:created>
  <dc:creator>丶   Jino</dc:creator>
  <cp:lastModifiedBy>WPS_1676424982</cp:lastModifiedBy>
  <cp:lastPrinted>2023-12-01T06:59:53Z</cp:lastPrinted>
  <dcterms:modified xsi:type="dcterms:W3CDTF">2023-12-01T07:02:50Z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76EA377E096C4C88B24763DC55F3135E_12</vt:lpwstr>
  </property>
</Properties>
</file>