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表</w:t>
      </w:r>
    </w:p>
    <w:tbl>
      <w:tblPr>
        <w:tblStyle w:val="3"/>
        <w:tblW w:w="1033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440"/>
        <w:gridCol w:w="1620"/>
        <w:gridCol w:w="4139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33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default" w:ascii="方正大标宋简体" w:hAnsi="宋体" w:eastAsia="方正大标宋简体" w:cs="宋体"/>
                <w:b/>
                <w:color w:val="auto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2023年开平市高素质农民培育项目培训机构遴选评分表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项目申报单位</w:t>
            </w:r>
          </w:p>
        </w:tc>
        <w:tc>
          <w:tcPr>
            <w:tcW w:w="8712" w:type="dxa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一票否决项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▲未被列入广东省农业农村厅公布的培训机构目录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是</w:t>
            </w:r>
            <w:r>
              <w:rPr>
                <w:rFonts w:ascii="Wingdings 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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否</w:t>
            </w:r>
            <w:r>
              <w:rPr>
                <w:rFonts w:ascii="Wingdings 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▲最近三年实施的培训项目存在未通过验收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是</w:t>
            </w:r>
            <w:r>
              <w:rPr>
                <w:rFonts w:ascii="Wingdings 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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否</w:t>
            </w:r>
            <w:r>
              <w:rPr>
                <w:rFonts w:ascii="Wingdings 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▲提供虚假证明或佐证材料造假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是</w:t>
            </w:r>
            <w:r>
              <w:rPr>
                <w:rFonts w:ascii="Wingdings 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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否</w:t>
            </w:r>
            <w:r>
              <w:rPr>
                <w:rFonts w:ascii="Wingdings 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评审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项目评分参考内容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培训机构资质条件（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15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获得国家级新型职业农民培育示范基地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(10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分），获得省级示范基地的培训机构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(5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)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，其他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申报单位具有独立法人资格，不接受两个或两个以上机构合作申报（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培训机构的工作基础（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27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最近三年培训学员满意度。满意度</w:t>
            </w:r>
            <w:r>
              <w:rPr>
                <w:rFonts w:ascii="Arial" w:hAnsi="Arial" w:eastAsia="仿宋_GB2312" w:cs="Arial"/>
                <w:color w:val="auto"/>
                <w:kern w:val="0"/>
                <w:sz w:val="22"/>
                <w:szCs w:val="22"/>
                <w:highlight w:val="none"/>
              </w:rPr>
              <w:t>≥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95%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，得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15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90%</w:t>
            </w:r>
            <w:r>
              <w:rPr>
                <w:rFonts w:ascii="Arial" w:hAnsi="Arial" w:eastAsia="仿宋_GB2312" w:cs="Arial"/>
                <w:color w:val="auto"/>
                <w:kern w:val="0"/>
                <w:sz w:val="22"/>
                <w:szCs w:val="22"/>
                <w:highlight w:val="none"/>
              </w:rPr>
              <w:t>≤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满意度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22"/>
                <w:szCs w:val="22"/>
                <w:highlight w:val="none"/>
              </w:rPr>
              <w:t>&lt;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95%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，得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85%</w:t>
            </w:r>
            <w:r>
              <w:rPr>
                <w:rFonts w:ascii="Arial" w:hAnsi="Arial" w:eastAsia="仿宋_GB2312" w:cs="Arial"/>
                <w:color w:val="auto"/>
                <w:kern w:val="0"/>
                <w:sz w:val="22"/>
                <w:szCs w:val="22"/>
                <w:highlight w:val="none"/>
              </w:rPr>
              <w:t>≤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满意度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22"/>
                <w:szCs w:val="22"/>
                <w:highlight w:val="none"/>
              </w:rPr>
              <w:t>&lt;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90%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，得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分。满意度低于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85%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不得分。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有集中教学场所及配套设施设备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提供照片及清单）（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有实习实训场所或合作实训基地（提供场所证明）（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有专职教学管理人员和专兼职教师队伍（提供人员名单）（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有培训目标所要求的其他软硬件条件（提供照片等佐证材料）（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培训机构项目实施条件（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33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根据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2023年广东省高素质农民培育工作实施方案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《2023年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江门市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高素质农民培育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实施方案》的要求制定培训方案（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分，不符合要求的项目不得分）</w:t>
            </w: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理论讲师具有相关专业授课背景的院校教师。（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技术讲师具备相应技术理论和实践能力的院校教师、科研推广机构专家、各类农业主体专业技术人员或“广东农村乡土专家”等（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政策讲师为熟悉“三农”情况、具备相应政策理论水平的院校教师，或相关部门工作人员（不含退休人员）（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实践讲师具备相应职业技能证书或3年以上（含）实践经验（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创业指导老师具有创业成功或指导创业成功经验（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电商网红讲师为有成功培训经验或实践经验的相关人士（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培训机构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购买正式出版的教材，防止盗版教材或自编教材乱报价等现象。发放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本或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本以上教材资料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，并向项目主管单位提供1份授课老师精品课程DVD光盘资料和完整的培训资料电子档案。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组织学员到2个以上涉农高校、国家（省、市）现代农业产业园、生态农业产业园、现代农业科技示范展示基地或省级认定的高素质农民培育示范基地（以上统称实训学习基地）进行实训、参观、交流和学习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聘请实训学习基地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人员（乡土专家）授课（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实行信息化教学，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组织学员利用全国农业科教云平台、“云上智农”APP或广东精农网络培训学院开展线上学习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并及时将学员基础信息、师资等全部录入中国农村远程教育网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instrText xml:space="preserve"> HYPERLINK "http://www.ngx.net.cn/xxxt/）培训基地库中的省级新型职业农民培育" </w:instrTex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农民教育培训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信息管理系统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（3分）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75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组织学员到省（市）电商产业园、省农村实用人才（数字化类）培训基地、农村电商基层示范站或县（区）电商基地参观学习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聘请企业高管授课（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申报单位承诺不得将项目分包、转包。如存在将培训项目分包、转包，取消培训任务并追缴项目资金（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提供承诺函）（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培训机构对项目实施可行性（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信息员的配备：配备有专职的信息员负责信息管理平台的使用和管理（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资金预算和使用合理性（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申报单位须有健全账务部门和财务管理制度；资金用途符合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《</w:t>
            </w:r>
            <w:r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2023年广东省高素质农民培育工作实施方案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的资金规定范围，资金预算细化、合理；遵守培育项目及相关的资金管理规定。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示范带动作用与延伸服务（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能够加强政策和先进典型宣传，搭建交流平台，大力宣传成功案例和高素质农民典型等培育成果，营造关心支持培育新型职业农民的良好氛围，壮大新型职业农民队伍。未能提供培训班或学员成功案例的报道，不得分。提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篇案例的得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分，最多得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加分项（10分）</w:t>
            </w: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培训方案内容体现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开平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农业产业发展特点（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19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培训机构有能力组织发动当地符合条件的学员报名，确保完成年度培训人数任务（5分）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32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注：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、▲是一票否决项，满足任何一项即失去参加遴选资格。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、评审结论标准：综合得分低于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分“不可行”；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61-79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分“基本可行“；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80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</w:rPr>
              <w:t>分以上“可行”。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32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综合得分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68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评审结论</w:t>
            </w:r>
          </w:p>
        </w:tc>
        <w:tc>
          <w:tcPr>
            <w:tcW w:w="565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Wingdings 2" w:hAnsi="Wingdings 2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Wingdings 2" w:hAnsi="Wingdings 2" w:cs="宋体"/>
                <w:color w:val="auto"/>
                <w:kern w:val="0"/>
                <w:sz w:val="22"/>
                <w:szCs w:val="22"/>
                <w:highlight w:val="none"/>
              </w:rPr>
              <w:t>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可行</w:t>
            </w:r>
            <w:r>
              <w:rPr>
                <w:rFonts w:hint="eastAsia" w:ascii="仿宋_GB2312" w:hAnsi="Wingdings 2" w:eastAsia="仿宋_GB2312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  </w:t>
            </w:r>
            <w:r>
              <w:rPr>
                <w:rFonts w:ascii="Wingdings 2" w:hAnsi="Wingdings 2" w:cs="宋体"/>
                <w:color w:val="auto"/>
                <w:kern w:val="0"/>
                <w:sz w:val="22"/>
                <w:szCs w:val="22"/>
                <w:highlight w:val="none"/>
              </w:rPr>
              <w:t>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基本可行</w:t>
            </w:r>
            <w:r>
              <w:rPr>
                <w:rFonts w:ascii="Wingdings 2" w:hAnsi="Wingdings 2" w:cs="宋体"/>
                <w:color w:val="auto"/>
                <w:kern w:val="0"/>
                <w:sz w:val="22"/>
                <w:szCs w:val="22"/>
                <w:highlight w:val="none"/>
              </w:rPr>
              <w:t>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不可行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468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</w:rPr>
              <w:t>专家签名</w:t>
            </w:r>
          </w:p>
        </w:tc>
        <w:tc>
          <w:tcPr>
            <w:tcW w:w="5652" w:type="dxa"/>
            <w:gridSpan w:val="2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评审日期：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方正书宋_GBK"/>
    <w:panose1 w:val="02010601030101010101"/>
    <w:charset w:val="00"/>
    <w:family w:val="roma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D68A79"/>
    <w:rsid w:val="B3D68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2023-12-04T11:32:00Z</dcterms:created>
  <dc:creator>(눈_눈)</dc:creator>
  <cp:lastModifiedBy>(눈_눈)</cp:lastModifiedBy>
  <dcterms:modified xsi:type="dcterms:W3CDTF">2023-12-04T11:33:02Z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