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CESI楷体-GB2312"/>
          <w:sz w:val="32"/>
          <w:szCs w:val="32"/>
        </w:rPr>
      </w:pPr>
      <w:r>
        <w:rPr>
          <w:rFonts w:hint="eastAsia" w:eastAsia="方正小标宋简体"/>
          <w:sz w:val="44"/>
          <w:szCs w:val="44"/>
          <w:lang w:eastAsia="zh-CN"/>
        </w:rPr>
        <w:t>项目</w:t>
      </w:r>
      <w:r>
        <w:rPr>
          <w:rFonts w:eastAsia="方正小标宋简体"/>
          <w:sz w:val="44"/>
          <w:szCs w:val="44"/>
        </w:rPr>
        <w:t>榜单</w:t>
      </w:r>
    </w:p>
    <w:tbl>
      <w:tblPr>
        <w:tblStyle w:val="8"/>
        <w:tblW w:w="8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90"/>
        <w:gridCol w:w="3326"/>
        <w:gridCol w:w="1594"/>
        <w:gridCol w:w="2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榜单名称</w:t>
            </w:r>
          </w:p>
        </w:tc>
        <w:tc>
          <w:tcPr>
            <w:tcW w:w="7771" w:type="dxa"/>
            <w:gridSpan w:val="3"/>
            <w:tcBorders>
              <w:top w:val="single" w:color="auto" w:sz="4" w:space="0"/>
              <w:left w:val="nil"/>
              <w:bottom w:val="single" w:color="auto" w:sz="4" w:space="0"/>
              <w:right w:val="single" w:color="auto" w:sz="4" w:space="0"/>
            </w:tcBorders>
            <w:vAlign w:val="center"/>
          </w:tcPr>
          <w:p>
            <w:pPr>
              <w:jc w:val="center"/>
              <w:rPr>
                <w:szCs w:val="21"/>
              </w:rPr>
            </w:pPr>
            <w:r>
              <w:rPr>
                <w:rFonts w:hint="eastAsia"/>
                <w:szCs w:val="21"/>
              </w:rPr>
              <w:t>建筑领域双碳路径分析与典型建筑机电设备碳足迹核算研究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专业领域及方向</w:t>
            </w:r>
          </w:p>
        </w:tc>
        <w:tc>
          <w:tcPr>
            <w:tcW w:w="7771" w:type="dxa"/>
            <w:gridSpan w:val="3"/>
            <w:tcBorders>
              <w:top w:val="single" w:color="auto" w:sz="4" w:space="0"/>
              <w:left w:val="nil"/>
              <w:bottom w:val="single" w:color="auto" w:sz="4" w:space="0"/>
              <w:right w:val="single" w:color="auto" w:sz="4" w:space="0"/>
            </w:tcBorders>
            <w:vAlign w:val="center"/>
          </w:tcPr>
          <w:p>
            <w:pPr>
              <w:jc w:val="center"/>
              <w:rPr>
                <w:szCs w:val="21"/>
              </w:rPr>
            </w:pPr>
            <w:r>
              <w:rPr>
                <w:rFonts w:hint="eastAsia"/>
                <w:szCs w:val="21"/>
              </w:rPr>
              <w:t>碳达峰碳中和领域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t>启动时间</w:t>
            </w:r>
          </w:p>
        </w:tc>
        <w:tc>
          <w:tcPr>
            <w:tcW w:w="3326" w:type="dxa"/>
            <w:tcBorders>
              <w:top w:val="single" w:color="auto" w:sz="4" w:space="0"/>
              <w:left w:val="nil"/>
              <w:bottom w:val="single" w:color="auto" w:sz="4" w:space="0"/>
              <w:right w:val="single" w:color="auto" w:sz="4" w:space="0"/>
            </w:tcBorders>
            <w:vAlign w:val="center"/>
          </w:tcPr>
          <w:p>
            <w:pPr>
              <w:jc w:val="center"/>
              <w:rPr>
                <w:szCs w:val="21"/>
              </w:rPr>
            </w:pPr>
            <w:r>
              <w:rPr>
                <w:szCs w:val="21"/>
              </w:rPr>
              <w:t>2024</w:t>
            </w:r>
            <w:r>
              <w:rPr>
                <w:rFonts w:hint="eastAsia"/>
                <w:szCs w:val="21"/>
              </w:rPr>
              <w:t>年</w:t>
            </w:r>
            <w:r>
              <w:rPr>
                <w:szCs w:val="21"/>
              </w:rPr>
              <w:t>1</w:t>
            </w:r>
            <w:r>
              <w:rPr>
                <w:rFonts w:hint="eastAsia"/>
                <w:szCs w:val="21"/>
              </w:rPr>
              <w:t>月</w:t>
            </w:r>
          </w:p>
        </w:tc>
        <w:tc>
          <w:tcPr>
            <w:tcW w:w="1594" w:type="dxa"/>
            <w:tcBorders>
              <w:top w:val="single" w:color="auto" w:sz="4" w:space="0"/>
              <w:left w:val="nil"/>
              <w:bottom w:val="single" w:color="auto" w:sz="4" w:space="0"/>
              <w:right w:val="single" w:color="auto" w:sz="4" w:space="0"/>
            </w:tcBorders>
            <w:vAlign w:val="center"/>
          </w:tcPr>
          <w:p>
            <w:pPr>
              <w:rPr>
                <w:szCs w:val="21"/>
              </w:rPr>
            </w:pPr>
            <w:r>
              <w:rPr>
                <w:szCs w:val="21"/>
                <w:lang w:val="en" w:eastAsia="en"/>
              </w:rPr>
              <w:t>计划完成</w:t>
            </w:r>
            <w:r>
              <w:rPr>
                <w:szCs w:val="21"/>
              </w:rPr>
              <w:t>时间</w:t>
            </w:r>
          </w:p>
        </w:tc>
        <w:tc>
          <w:tcPr>
            <w:tcW w:w="2851" w:type="dxa"/>
            <w:tcBorders>
              <w:top w:val="single" w:color="auto" w:sz="4" w:space="0"/>
              <w:left w:val="nil"/>
              <w:bottom w:val="single" w:color="auto" w:sz="4" w:space="0"/>
              <w:right w:val="single" w:color="auto" w:sz="4" w:space="0"/>
            </w:tcBorders>
            <w:vAlign w:val="center"/>
          </w:tcPr>
          <w:p>
            <w:pPr>
              <w:jc w:val="center"/>
              <w:rPr>
                <w:szCs w:val="21"/>
              </w:rPr>
            </w:pPr>
            <w:r>
              <w:rPr>
                <w:szCs w:val="21"/>
              </w:rPr>
              <w:t>2026</w:t>
            </w:r>
            <w:r>
              <w:rPr>
                <w:rFonts w:hint="eastAsia"/>
                <w:szCs w:val="21"/>
              </w:rPr>
              <w:t>年1</w:t>
            </w:r>
            <w:r>
              <w:rPr>
                <w:szCs w:val="21"/>
              </w:rPr>
              <w:t>2</w:t>
            </w:r>
            <w:r>
              <w:rPr>
                <w:rFonts w:hint="eastAsia"/>
                <w:szCs w:val="21"/>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7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szCs w:val="21"/>
              </w:rPr>
            </w:pPr>
            <w:bookmarkStart w:id="0" w:name="_Hlk141709491"/>
            <w:bookmarkStart w:id="1" w:name="_Hlk141709483"/>
            <w:r>
              <w:rPr>
                <w:szCs w:val="21"/>
              </w:rPr>
              <w:t>榜单具体内容</w:t>
            </w:r>
          </w:p>
        </w:tc>
        <w:tc>
          <w:tcPr>
            <w:tcW w:w="7771" w:type="dxa"/>
            <w:gridSpan w:val="3"/>
            <w:tcBorders>
              <w:top w:val="single" w:color="auto" w:sz="4" w:space="0"/>
              <w:left w:val="single" w:color="auto" w:sz="4" w:space="0"/>
              <w:bottom w:val="single" w:color="auto" w:sz="4" w:space="0"/>
              <w:right w:val="single" w:color="auto" w:sz="4" w:space="0"/>
            </w:tcBorders>
            <w:vAlign w:val="center"/>
          </w:tcPr>
          <w:p>
            <w:pPr>
              <w:ind w:firstLine="420" w:firstLineChars="200"/>
              <w:rPr>
                <w:szCs w:val="21"/>
              </w:rPr>
            </w:pPr>
            <w:r>
              <w:rPr>
                <w:rFonts w:hint="eastAsia"/>
                <w:szCs w:val="21"/>
              </w:rPr>
              <w:t>榜单问题旨在解决以下内容：1）建立广东省建筑领域自下而上的能耗与碳排放分析模型，分析各类被动式和主动式建筑技术对双碳路径的节能降碳贡献；2）评估各类建筑机电设备（如热泵、空调）能效提升和低碳制造的减排潜力和经济贡献，识别其中关键的建筑机电设备类型，并构建广东省建筑机电设备产业发展的“双碳”路线图；3）针对关键建筑机电设备类型，参照现有同类产品碳核算标准体系，基于全生命周期评价方法（L</w:t>
            </w:r>
            <w:r>
              <w:rPr>
                <w:szCs w:val="21"/>
              </w:rPr>
              <w:t>CA</w:t>
            </w:r>
            <w:r>
              <w:rPr>
                <w:rFonts w:hint="eastAsia"/>
                <w:szCs w:val="21"/>
              </w:rPr>
              <w:t>），分析产品生命周期主要的碳排放来源，构建覆盖</w:t>
            </w:r>
            <w:r>
              <w:t>原料获得</w:t>
            </w:r>
            <w:r>
              <w:rPr>
                <w:rFonts w:hint="eastAsia"/>
              </w:rPr>
              <w:t>、</w:t>
            </w:r>
            <w:r>
              <w:t>加工制造、运输、安装</w:t>
            </w:r>
            <w:r>
              <w:rPr>
                <w:rFonts w:hint="eastAsia"/>
              </w:rPr>
              <w:t>、运行和废弃回收等</w:t>
            </w:r>
            <w:r>
              <w:rPr>
                <w:rFonts w:hint="eastAsia"/>
                <w:szCs w:val="21"/>
              </w:rPr>
              <w:t>全生命周期阶段的建筑机电设备碳足迹核算标准体系，并以此为基础建立对应的建筑机电设备产品绿色认证体系；4）开发建筑机电设备全生命周期的碳足迹数据库和诊断工具，开发建筑机电设备产品碳足迹管理平台，实现碳足迹数据实时采集和流程诊断等功能一体化，并为企业建筑机电设备产品生产流程低碳改造提供系统性、针对性的解决方案；</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0"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szCs w:val="21"/>
              </w:rPr>
            </w:pPr>
            <w:bookmarkStart w:id="2" w:name="_Hlk141709496"/>
            <w:r>
              <w:rPr>
                <w:szCs w:val="21"/>
              </w:rPr>
              <w:t>榜单效益目标</w:t>
            </w:r>
          </w:p>
        </w:tc>
        <w:tc>
          <w:tcPr>
            <w:tcW w:w="7771" w:type="dxa"/>
            <w:gridSpan w:val="3"/>
            <w:tcBorders>
              <w:top w:val="single" w:color="auto" w:sz="4" w:space="0"/>
              <w:left w:val="single" w:color="auto" w:sz="4" w:space="0"/>
              <w:bottom w:val="single" w:color="auto" w:sz="4" w:space="0"/>
              <w:right w:val="single" w:color="auto" w:sz="4" w:space="0"/>
            </w:tcBorders>
            <w:vAlign w:val="center"/>
          </w:tcPr>
          <w:p>
            <w:pPr>
              <w:ind w:firstLine="420" w:firstLineChars="200"/>
              <w:rPr>
                <w:szCs w:val="21"/>
              </w:rPr>
            </w:pPr>
            <w:r>
              <w:rPr>
                <w:rFonts w:hint="eastAsia"/>
                <w:szCs w:val="21"/>
              </w:rPr>
              <w:t>对于国内双碳领域，榜单问题的科研成果为广东省建筑领域能耗和碳排放双控目标的制定、节能降碳政策的效果评估，以及双碳目标实施路径的构建提供重要的模型工具和理论依据。其次，建筑机电设备全生命周期碳足迹核算方法，可用以评估广东省机电产品对全国建筑部门节能降碳的贡献，以及分析广东省低碳制造对于全国双碳目标实现的关键作用。</w:t>
            </w:r>
          </w:p>
          <w:p>
            <w:pPr>
              <w:ind w:firstLine="420" w:firstLineChars="200"/>
              <w:rPr>
                <w:szCs w:val="21"/>
              </w:rPr>
            </w:pPr>
            <w:r>
              <w:rPr>
                <w:rFonts w:hint="eastAsia"/>
                <w:szCs w:val="21"/>
              </w:rPr>
              <w:t>从企业角度，该研究为开展典型建筑机电设备碳足迹核查和产品绿色认证提供了有效的方法基础，实现了对产品全生命周期碳足迹的实时监测、对标和诊断，为企业生产流程的低碳化和数字化转型提供系统性、针对性的解决方案。</w:t>
            </w:r>
          </w:p>
          <w:p>
            <w:pPr>
              <w:ind w:firstLine="420" w:firstLineChars="200"/>
              <w:rPr>
                <w:szCs w:val="21"/>
              </w:rPr>
            </w:pPr>
            <w:r>
              <w:rPr>
                <w:rFonts w:hint="eastAsia"/>
                <w:szCs w:val="21"/>
              </w:rPr>
              <w:t>在国际层面上，研究有助于提升广东省建筑机电设备在国际市场的绿色低碳形象和综合竞争能力，降低未来出口贸易中存在的“碳壁垒”风险，扩大广东建筑机电产业在国际市场中份额。预计未来1</w:t>
            </w:r>
            <w:r>
              <w:rPr>
                <w:szCs w:val="21"/>
              </w:rPr>
              <w:t>0</w:t>
            </w:r>
            <w:r>
              <w:rPr>
                <w:rFonts w:hint="eastAsia"/>
                <w:szCs w:val="21"/>
              </w:rPr>
              <w:t>年，可推动广东省建筑机电设备产业规模年均增长超过8%，特别是暖通空调机电设备规模年均增长超过1</w:t>
            </w:r>
            <w:r>
              <w:rPr>
                <w:szCs w:val="21"/>
              </w:rPr>
              <w:t>5</w:t>
            </w:r>
            <w:r>
              <w:rPr>
                <w:rFonts w:hint="eastAsia"/>
                <w:szCs w:val="21"/>
              </w:rPr>
              <w:t>%，并解决超过1</w:t>
            </w:r>
            <w:r>
              <w:rPr>
                <w:szCs w:val="21"/>
              </w:rPr>
              <w:t>0</w:t>
            </w:r>
            <w:r>
              <w:rPr>
                <w:rFonts w:hint="eastAsia"/>
                <w:szCs w:val="21"/>
              </w:rPr>
              <w:t>万人的新增就业。同时通过</w:t>
            </w:r>
            <w:r>
              <w:rPr>
                <w:rFonts w:hint="eastAsia"/>
              </w:rPr>
              <w:t>广东省“</w:t>
            </w:r>
            <w:r>
              <w:rPr>
                <w:rFonts w:hint="eastAsia"/>
                <w:szCs w:val="21"/>
              </w:rPr>
              <w:t>建筑机电设备</w:t>
            </w:r>
            <w:r>
              <w:rPr>
                <w:rFonts w:hint="eastAsia"/>
              </w:rPr>
              <w:t>低碳制造”的溢出效应推动全球节能减排和技术升级。</w:t>
            </w:r>
          </w:p>
        </w:tc>
      </w:tr>
      <w:bookmarkEnd w:id="1"/>
      <w:bookmarkEnd w:id="2"/>
    </w:tbl>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等线 Light">
    <w:altName w:val="汉仪中圆B5"/>
    <w:panose1 w:val="02010600030101010101"/>
    <w:charset w:val="86"/>
    <w:family w:val="auto"/>
    <w:pitch w:val="default"/>
    <w:sig w:usb0="00000000" w:usb1="00000000" w:usb2="00000016" w:usb3="00000000" w:csb0="0004000F" w:csb1="00000000"/>
  </w:font>
  <w:font w:name="CESI楷体-GB2312">
    <w:panose1 w:val="02000500000000000000"/>
    <w:charset w:val="86"/>
    <w:family w:val="auto"/>
    <w:pitch w:val="default"/>
    <w:sig w:usb0="800002BF" w:usb1="184F6CF8" w:usb2="00000012" w:usb3="00000000" w:csb0="0004000F" w:csb1="00000000"/>
  </w:font>
  <w:font w:name="方正小标宋简体">
    <w:panose1 w:val="03000509000000000000"/>
    <w:charset w:val="86"/>
    <w:family w:val="script"/>
    <w:pitch w:val="default"/>
    <w:sig w:usb0="00000001" w:usb1="080E0000" w:usb2="00000000" w:usb3="00000000" w:csb0="00040000" w:csb1="00000000"/>
  </w:font>
  <w:font w:name="汉仪仿宋S">
    <w:panose1 w:val="00020600040101000101"/>
    <w:charset w:val="86"/>
    <w:family w:val="auto"/>
    <w:pitch w:val="default"/>
    <w:sig w:usb0="A00002BF" w:usb1="38CF7CFA" w:usb2="00000016" w:usb3="00000000" w:csb0="0004009F" w:csb1="00000000"/>
  </w:font>
  <w:font w:name="方正书宋_GBK">
    <w:panose1 w:val="02000000000000000000"/>
    <w:charset w:val="86"/>
    <w:family w:val="auto"/>
    <w:pitch w:val="default"/>
    <w:sig w:usb0="00000001" w:usb1="08000000" w:usb2="00000000" w:usb3="00000000" w:csb0="00040000" w:csb1="00000000"/>
  </w:font>
  <w:font w:name="等线 Light">
    <w:altName w:val="汉仪仿宋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jUyMTI0NzQ1NTGxsDRR0lEKTi0uzszPAykwrwUAbfO4CSwAAAA="/>
  </w:docVars>
  <w:rsids>
    <w:rsidRoot w:val="007F4F01"/>
    <w:rsid w:val="00004491"/>
    <w:rsid w:val="00014E69"/>
    <w:rsid w:val="000728E2"/>
    <w:rsid w:val="00097F58"/>
    <w:rsid w:val="00147597"/>
    <w:rsid w:val="001B0F78"/>
    <w:rsid w:val="001D0C21"/>
    <w:rsid w:val="001F06E8"/>
    <w:rsid w:val="00201F08"/>
    <w:rsid w:val="00207406"/>
    <w:rsid w:val="0022663E"/>
    <w:rsid w:val="002300F5"/>
    <w:rsid w:val="00233888"/>
    <w:rsid w:val="0027668F"/>
    <w:rsid w:val="002C4DDB"/>
    <w:rsid w:val="003066F2"/>
    <w:rsid w:val="00322ADD"/>
    <w:rsid w:val="00330AD1"/>
    <w:rsid w:val="00365237"/>
    <w:rsid w:val="00390AC7"/>
    <w:rsid w:val="003C3289"/>
    <w:rsid w:val="003F0643"/>
    <w:rsid w:val="00416BF5"/>
    <w:rsid w:val="00427BF0"/>
    <w:rsid w:val="00442429"/>
    <w:rsid w:val="004B230D"/>
    <w:rsid w:val="004E286C"/>
    <w:rsid w:val="004E5713"/>
    <w:rsid w:val="00520A5B"/>
    <w:rsid w:val="005649E9"/>
    <w:rsid w:val="00574F0A"/>
    <w:rsid w:val="005C6247"/>
    <w:rsid w:val="005E2B0C"/>
    <w:rsid w:val="005F228A"/>
    <w:rsid w:val="00622F81"/>
    <w:rsid w:val="00643285"/>
    <w:rsid w:val="0071340D"/>
    <w:rsid w:val="00745965"/>
    <w:rsid w:val="00754A77"/>
    <w:rsid w:val="007643A0"/>
    <w:rsid w:val="007712B3"/>
    <w:rsid w:val="007C4617"/>
    <w:rsid w:val="007C5282"/>
    <w:rsid w:val="007F4F01"/>
    <w:rsid w:val="00827F7A"/>
    <w:rsid w:val="008567EF"/>
    <w:rsid w:val="008D2B34"/>
    <w:rsid w:val="008F626F"/>
    <w:rsid w:val="0093031F"/>
    <w:rsid w:val="00945D6B"/>
    <w:rsid w:val="0097642C"/>
    <w:rsid w:val="00996B32"/>
    <w:rsid w:val="009A2EDB"/>
    <w:rsid w:val="009B1CC7"/>
    <w:rsid w:val="009C4EB5"/>
    <w:rsid w:val="00A04C37"/>
    <w:rsid w:val="00A3418A"/>
    <w:rsid w:val="00AA5976"/>
    <w:rsid w:val="00AC2075"/>
    <w:rsid w:val="00AD1021"/>
    <w:rsid w:val="00B22EA8"/>
    <w:rsid w:val="00B43623"/>
    <w:rsid w:val="00B823F4"/>
    <w:rsid w:val="00BD04AA"/>
    <w:rsid w:val="00BD6A12"/>
    <w:rsid w:val="00BF24CB"/>
    <w:rsid w:val="00BF6AD8"/>
    <w:rsid w:val="00C01A32"/>
    <w:rsid w:val="00C133FF"/>
    <w:rsid w:val="00CC5E44"/>
    <w:rsid w:val="00CF0690"/>
    <w:rsid w:val="00D05D75"/>
    <w:rsid w:val="00D2163B"/>
    <w:rsid w:val="00DC6A8F"/>
    <w:rsid w:val="00DD4A51"/>
    <w:rsid w:val="00EA13BB"/>
    <w:rsid w:val="00EA40F8"/>
    <w:rsid w:val="00EC0456"/>
    <w:rsid w:val="00ED0E28"/>
    <w:rsid w:val="00EE2BCA"/>
    <w:rsid w:val="00EF4120"/>
    <w:rsid w:val="00F01061"/>
    <w:rsid w:val="00F352F9"/>
    <w:rsid w:val="00F70B44"/>
    <w:rsid w:val="00FB6886"/>
    <w:rsid w:val="00FC642C"/>
    <w:rsid w:val="00FF1E39"/>
    <w:rsid w:val="0951122B"/>
    <w:rsid w:val="7956B27C"/>
    <w:rsid w:val="8DDF2D36"/>
    <w:rsid w:val="EDFE4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7"/>
    <w:qFormat/>
    <w:uiPriority w:val="9"/>
    <w:pPr>
      <w:keepNext/>
      <w:keepLines/>
      <w:spacing w:before="240"/>
      <w:outlineLvl w:val="0"/>
    </w:pPr>
    <w:rPr>
      <w:rFonts w:asciiTheme="majorHAnsi" w:hAnsiTheme="majorHAnsi" w:eastAsiaTheme="majorEastAsia" w:cstheme="majorBidi"/>
      <w:color w:val="2F5597" w:themeColor="accent1" w:themeShade="BF"/>
      <w:sz w:val="32"/>
      <w:szCs w:val="32"/>
    </w:rPr>
  </w:style>
  <w:style w:type="paragraph" w:styleId="2">
    <w:name w:val="heading 6"/>
    <w:basedOn w:val="1"/>
    <w:next w:val="1"/>
    <w:link w:val="12"/>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5"/>
    <w:semiHidden/>
    <w:unhideWhenUsed/>
    <w:qFormat/>
    <w:uiPriority w:val="99"/>
    <w:rPr>
      <w:sz w:val="20"/>
      <w:szCs w:val="20"/>
    </w:rPr>
  </w:style>
  <w:style w:type="paragraph" w:styleId="5">
    <w:name w:val="footer"/>
    <w:basedOn w:val="1"/>
    <w:link w:val="14"/>
    <w:unhideWhenUsed/>
    <w:qFormat/>
    <w:uiPriority w:val="99"/>
    <w:pPr>
      <w:tabs>
        <w:tab w:val="center" w:pos="4320"/>
        <w:tab w:val="right" w:pos="8640"/>
      </w:tabs>
    </w:pPr>
  </w:style>
  <w:style w:type="paragraph" w:styleId="6">
    <w:name w:val="header"/>
    <w:basedOn w:val="1"/>
    <w:link w:val="13"/>
    <w:unhideWhenUsed/>
    <w:qFormat/>
    <w:uiPriority w:val="99"/>
    <w:pPr>
      <w:tabs>
        <w:tab w:val="center" w:pos="4320"/>
        <w:tab w:val="right" w:pos="8640"/>
      </w:tabs>
    </w:pPr>
  </w:style>
  <w:style w:type="paragraph" w:styleId="7">
    <w:name w:val="annotation subject"/>
    <w:basedOn w:val="4"/>
    <w:next w:val="4"/>
    <w:link w:val="16"/>
    <w:semiHidden/>
    <w:unhideWhenUsed/>
    <w:qFormat/>
    <w:uiPriority w:val="99"/>
    <w:rPr>
      <w:b/>
      <w:bCs/>
    </w:rPr>
  </w:style>
  <w:style w:type="character" w:styleId="10">
    <w:name w:val="Hyperlink"/>
    <w:basedOn w:val="9"/>
    <w:unhideWhenUsed/>
    <w:qFormat/>
    <w:uiPriority w:val="99"/>
    <w:rPr>
      <w:color w:val="0563C1" w:themeColor="hyperlink"/>
      <w:u w:val="single"/>
      <w14:textFill>
        <w14:solidFill>
          <w14:schemeClr w14:val="hlink"/>
        </w14:solidFill>
      </w14:textFill>
    </w:rPr>
  </w:style>
  <w:style w:type="character" w:styleId="11">
    <w:name w:val="annotation reference"/>
    <w:basedOn w:val="9"/>
    <w:semiHidden/>
    <w:unhideWhenUsed/>
    <w:qFormat/>
    <w:uiPriority w:val="99"/>
    <w:rPr>
      <w:sz w:val="16"/>
      <w:szCs w:val="16"/>
    </w:rPr>
  </w:style>
  <w:style w:type="character" w:customStyle="1" w:styleId="12">
    <w:name w:val="Heading 6 Char"/>
    <w:basedOn w:val="9"/>
    <w:link w:val="2"/>
    <w:semiHidden/>
    <w:qFormat/>
    <w:uiPriority w:val="9"/>
    <w:rPr>
      <w:rFonts w:asciiTheme="majorHAnsi" w:hAnsiTheme="majorHAnsi" w:eastAsiaTheme="majorEastAsia" w:cstheme="majorBidi"/>
      <w:b/>
      <w:bCs/>
      <w:sz w:val="24"/>
      <w:szCs w:val="24"/>
    </w:rPr>
  </w:style>
  <w:style w:type="character" w:customStyle="1" w:styleId="13">
    <w:name w:val="Header Char"/>
    <w:basedOn w:val="9"/>
    <w:link w:val="6"/>
    <w:qFormat/>
    <w:uiPriority w:val="99"/>
    <w:rPr>
      <w:rFonts w:ascii="Times New Roman" w:hAnsi="Times New Roman" w:eastAsia="宋体" w:cs="Times New Roman"/>
      <w:szCs w:val="24"/>
    </w:rPr>
  </w:style>
  <w:style w:type="character" w:customStyle="1" w:styleId="14">
    <w:name w:val="Footer Char"/>
    <w:basedOn w:val="9"/>
    <w:link w:val="5"/>
    <w:qFormat/>
    <w:uiPriority w:val="99"/>
    <w:rPr>
      <w:rFonts w:ascii="Times New Roman" w:hAnsi="Times New Roman" w:eastAsia="宋体" w:cs="Times New Roman"/>
      <w:szCs w:val="24"/>
    </w:rPr>
  </w:style>
  <w:style w:type="character" w:customStyle="1" w:styleId="15">
    <w:name w:val="Comment Text Char"/>
    <w:basedOn w:val="9"/>
    <w:link w:val="4"/>
    <w:semiHidden/>
    <w:qFormat/>
    <w:uiPriority w:val="99"/>
    <w:rPr>
      <w:rFonts w:ascii="Times New Roman" w:hAnsi="Times New Roman" w:eastAsia="宋体" w:cs="Times New Roman"/>
      <w:sz w:val="20"/>
      <w:szCs w:val="20"/>
    </w:rPr>
  </w:style>
  <w:style w:type="character" w:customStyle="1" w:styleId="16">
    <w:name w:val="Comment Subject Char"/>
    <w:basedOn w:val="15"/>
    <w:link w:val="7"/>
    <w:semiHidden/>
    <w:qFormat/>
    <w:uiPriority w:val="99"/>
    <w:rPr>
      <w:rFonts w:ascii="Times New Roman" w:hAnsi="Times New Roman" w:eastAsia="宋体" w:cs="Times New Roman"/>
      <w:b/>
      <w:bCs/>
      <w:sz w:val="20"/>
      <w:szCs w:val="20"/>
    </w:rPr>
  </w:style>
  <w:style w:type="character" w:customStyle="1" w:styleId="17">
    <w:name w:val="Heading 1 Char"/>
    <w:basedOn w:val="9"/>
    <w:link w:val="3"/>
    <w:qFormat/>
    <w:uiPriority w:val="9"/>
    <w:rPr>
      <w:rFonts w:asciiTheme="majorHAnsi" w:hAnsiTheme="majorHAnsi" w:eastAsiaTheme="majorEastAsia" w:cstheme="majorBidi"/>
      <w:color w:val="2F5597" w:themeColor="accent1" w:themeShade="BF"/>
      <w:sz w:val="32"/>
      <w:szCs w:val="32"/>
    </w:rPr>
  </w:style>
  <w:style w:type="character" w:customStyle="1" w:styleId="18">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424</Words>
  <Characters>2418</Characters>
  <Lines>20</Lines>
  <Paragraphs>5</Paragraphs>
  <TotalTime>12</TotalTime>
  <ScaleCrop>false</ScaleCrop>
  <LinksUpToDate>false</LinksUpToDate>
  <CharactersWithSpaces>2837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2023-10-19T23:56:00Z</dcterms:created>
  <dc:creator>Kairui You</dc:creator>
  <cp:lastModifiedBy>greatwall</cp:lastModifiedBy>
  <dcterms:modified xsi:type="dcterms:W3CDTF">2023-10-26T19:22:23Z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c19ca37c0d9e7b9efb6de4b401916af0926cd6da18359a36e5cc3bfdd71156d4</vt:lpwstr>
  </property>
  <property fmtid="{D5CDD505-2E9C-101B-9397-08002B2CF9AE}" pid="3" name="KSOProductBuildVer">
    <vt:lpwstr>2052-11.8.2.10125</vt:lpwstr>
  </property>
  <property fmtid="{D5CDD505-2E9C-101B-9397-08002B2CF9AE}" pid="4" name="ICV">
    <vt:lpwstr>8E4B25761C2249F79ACD11483AA00577</vt:lpwstr>
  </property>
</Properties>
</file>