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sz w:val="44"/>
          <w:szCs w:val="44"/>
          <w:lang w:bidi="ar-SA"/>
        </w:rPr>
      </w:pPr>
      <w:r>
        <w:rPr>
          <w:rFonts w:hint="eastAsia" w:eastAsia="方正小标宋简体"/>
          <w:sz w:val="44"/>
          <w:szCs w:val="44"/>
          <w:lang w:eastAsia="zh-CN" w:bidi="ar-SA"/>
        </w:rPr>
        <w:t>项目</w:t>
      </w:r>
      <w:r>
        <w:rPr>
          <w:rFonts w:ascii="Times New Roman" w:hAnsi="Times New Roman" w:eastAsia="方正小标宋简体"/>
          <w:sz w:val="44"/>
          <w:szCs w:val="44"/>
          <w:lang w:bidi="ar-SA"/>
        </w:rPr>
        <w:t>榜单</w:t>
      </w:r>
    </w:p>
    <w:tbl>
      <w:tblPr>
        <w:tblStyle w:val="2"/>
        <w:tblW w:w="89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jc w:val="center"/>
        </w:trPr>
        <w:tc>
          <w:tcPr>
            <w:tcW w:w="1190" w:type="dxa"/>
            <w:vAlign w:val="center"/>
          </w:tcPr>
          <w:p>
            <w:pPr>
              <w:jc w:val="center"/>
              <w:rPr>
                <w:rFonts w:ascii="Times New Roman" w:hAnsi="Times New Roman" w:eastAsia="宋体"/>
                <w:color w:val="auto"/>
                <w:sz w:val="21"/>
                <w:szCs w:val="21"/>
                <w:lang w:eastAsia="zh-CN" w:bidi="ar-SA"/>
              </w:rPr>
            </w:pPr>
            <w:r>
              <w:rPr>
                <w:rFonts w:ascii="Times New Roman" w:hAnsi="Times New Roman" w:eastAsia="宋体"/>
                <w:color w:val="auto"/>
                <w:sz w:val="21"/>
                <w:szCs w:val="21"/>
                <w:lang w:eastAsia="zh-CN" w:bidi="ar-SA"/>
              </w:rPr>
              <w:t>榜单名称</w:t>
            </w:r>
          </w:p>
        </w:tc>
        <w:tc>
          <w:tcPr>
            <w:tcW w:w="7771" w:type="dxa"/>
            <w:gridSpan w:val="3"/>
            <w:vAlign w:val="center"/>
          </w:tcPr>
          <w:p>
            <w:pPr>
              <w:keepNext w:val="0"/>
              <w:keepLines w:val="0"/>
              <w:widowControl/>
              <w:suppressLineNumbers w:val="0"/>
              <w:jc w:val="center"/>
              <w:rPr>
                <w:rFonts w:hint="eastAsia" w:ascii="宋体" w:hAnsi="宋体"/>
                <w:color w:val="auto"/>
                <w:sz w:val="24"/>
              </w:rPr>
            </w:pPr>
            <w:r>
              <w:rPr>
                <w:rFonts w:hint="eastAsia" w:ascii="宋体" w:hAnsi="宋体"/>
                <w:color w:val="auto"/>
                <w:sz w:val="24"/>
              </w:rPr>
              <w:t>新能源车用油冷电机复合材料应用研究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jc w:val="center"/>
        </w:trPr>
        <w:tc>
          <w:tcPr>
            <w:tcW w:w="1190" w:type="dxa"/>
            <w:vAlign w:val="center"/>
          </w:tcPr>
          <w:p>
            <w:pPr>
              <w:jc w:val="center"/>
              <w:rPr>
                <w:rFonts w:ascii="Times New Roman" w:hAnsi="Times New Roman" w:eastAsia="宋体"/>
                <w:color w:val="auto"/>
                <w:sz w:val="21"/>
                <w:szCs w:val="21"/>
                <w:lang w:eastAsia="zh-CN" w:bidi="ar-SA"/>
              </w:rPr>
            </w:pPr>
            <w:r>
              <w:rPr>
                <w:rFonts w:ascii="Times New Roman" w:hAnsi="Times New Roman" w:eastAsia="宋体"/>
                <w:color w:val="auto"/>
                <w:sz w:val="21"/>
                <w:szCs w:val="21"/>
                <w:lang w:eastAsia="zh-CN" w:bidi="ar-SA"/>
              </w:rPr>
              <w:t>专业领域及方向</w:t>
            </w:r>
          </w:p>
        </w:tc>
        <w:tc>
          <w:tcPr>
            <w:tcW w:w="7771" w:type="dxa"/>
            <w:gridSpan w:val="3"/>
            <w:vAlign w:val="center"/>
          </w:tcPr>
          <w:p>
            <w:pPr>
              <w:jc w:val="center"/>
              <w:rPr>
                <w:rFonts w:ascii="Times New Roman" w:hAnsi="Times New Roman" w:eastAsia="宋体"/>
                <w:color w:val="auto"/>
                <w:sz w:val="21"/>
                <w:szCs w:val="21"/>
                <w:lang w:bidi="ar-SA"/>
              </w:rPr>
            </w:pPr>
            <w:r>
              <w:rPr>
                <w:rFonts w:ascii="Times New Roman" w:hAnsi="Times New Roman" w:eastAsia="宋体"/>
                <w:color w:val="auto"/>
                <w:sz w:val="21"/>
                <w:szCs w:val="21"/>
                <w:lang w:bidi="ar-SA"/>
              </w:rPr>
              <w:t>新材料</w:t>
            </w:r>
            <w:r>
              <w:rPr>
                <w:rFonts w:ascii="Times New Roman" w:hAnsi="Times New Roman" w:eastAsia="宋体"/>
                <w:color w:val="auto"/>
                <w:sz w:val="21"/>
                <w:szCs w:val="21"/>
                <w:lang w:eastAsia="zh-CN" w:bidi="ar-SA"/>
              </w:rPr>
              <w:t>领域</w:t>
            </w:r>
            <w:r>
              <w:rPr>
                <w:rFonts w:hint="eastAsia" w:ascii="Times New Roman" w:hAnsi="Times New Roman"/>
                <w:color w:val="auto"/>
                <w:sz w:val="21"/>
                <w:szCs w:val="21"/>
                <w:lang w:eastAsia="zh-CN" w:bidi="ar-SA"/>
              </w:rPr>
              <w:t>—</w:t>
            </w:r>
            <w:r>
              <w:rPr>
                <w:rFonts w:hint="eastAsia"/>
                <w:color w:val="auto"/>
                <w:sz w:val="21"/>
                <w:szCs w:val="21"/>
                <w:lang w:val="en-US" w:eastAsia="zh-CN" w:bidi="ar-SA"/>
              </w:rPr>
              <w:t>高性能绝缘纸板及绝缘成型件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jc w:val="center"/>
        </w:trPr>
        <w:tc>
          <w:tcPr>
            <w:tcW w:w="1190" w:type="dxa"/>
            <w:vAlign w:val="center"/>
          </w:tcPr>
          <w:p>
            <w:pPr>
              <w:rPr>
                <w:rFonts w:ascii="Times New Roman" w:hAnsi="Times New Roman" w:eastAsia="宋体"/>
                <w:color w:val="auto"/>
                <w:sz w:val="21"/>
                <w:szCs w:val="21"/>
                <w:lang w:bidi="ar-SA"/>
              </w:rPr>
            </w:pPr>
            <w:r>
              <w:rPr>
                <w:rFonts w:ascii="Times New Roman" w:hAnsi="Times New Roman" w:eastAsia="宋体"/>
                <w:color w:val="auto"/>
                <w:sz w:val="21"/>
                <w:szCs w:val="21"/>
                <w:lang w:bidi="ar-SA"/>
              </w:rPr>
              <w:t>启动时间</w:t>
            </w:r>
          </w:p>
        </w:tc>
        <w:tc>
          <w:tcPr>
            <w:tcW w:w="3326" w:type="dxa"/>
            <w:vAlign w:val="center"/>
          </w:tcPr>
          <w:p>
            <w:pPr>
              <w:jc w:val="center"/>
              <w:rPr>
                <w:rFonts w:hint="eastAsia"/>
                <w:color w:val="auto"/>
                <w:sz w:val="21"/>
                <w:szCs w:val="21"/>
                <w:lang w:val="en-US" w:eastAsia="zh-CN" w:bidi="ar-SA"/>
              </w:rPr>
            </w:pPr>
            <w:r>
              <w:rPr>
                <w:rFonts w:hint="eastAsia"/>
                <w:color w:val="auto"/>
                <w:sz w:val="21"/>
                <w:szCs w:val="21"/>
                <w:lang w:val="en-US" w:eastAsia="zh-CN" w:bidi="ar-SA"/>
              </w:rPr>
              <w:t>2023-1-1</w:t>
            </w:r>
          </w:p>
        </w:tc>
        <w:tc>
          <w:tcPr>
            <w:tcW w:w="1594" w:type="dxa"/>
            <w:vAlign w:val="center"/>
          </w:tcPr>
          <w:p>
            <w:pPr>
              <w:rPr>
                <w:rFonts w:ascii="Times New Roman" w:hAnsi="Times New Roman" w:eastAsia="宋体"/>
                <w:color w:val="auto"/>
                <w:sz w:val="21"/>
                <w:szCs w:val="21"/>
                <w:lang w:val="en" w:eastAsia="en" w:bidi="ar-SA"/>
              </w:rPr>
            </w:pPr>
            <w:r>
              <w:rPr>
                <w:rFonts w:ascii="Times New Roman" w:hAnsi="Times New Roman" w:eastAsia="宋体"/>
                <w:color w:val="auto"/>
                <w:sz w:val="21"/>
                <w:szCs w:val="21"/>
                <w:lang w:val="en" w:eastAsia="en" w:bidi="ar-SA"/>
              </w:rPr>
              <w:t>计划完成</w:t>
            </w:r>
            <w:r>
              <w:rPr>
                <w:rFonts w:ascii="Times New Roman" w:hAnsi="Times New Roman" w:eastAsia="宋体"/>
                <w:color w:val="auto"/>
                <w:sz w:val="21"/>
                <w:szCs w:val="21"/>
                <w:lang w:bidi="ar-SA"/>
              </w:rPr>
              <w:t>时间</w:t>
            </w:r>
          </w:p>
        </w:tc>
        <w:tc>
          <w:tcPr>
            <w:tcW w:w="2851" w:type="dxa"/>
            <w:vAlign w:val="center"/>
          </w:tcPr>
          <w:p>
            <w:pPr>
              <w:jc w:val="center"/>
              <w:rPr>
                <w:rFonts w:hint="eastAsia"/>
                <w:color w:val="auto"/>
                <w:sz w:val="21"/>
                <w:szCs w:val="21"/>
                <w:lang w:val="en-US" w:eastAsia="zh-CN" w:bidi="ar-SA"/>
              </w:rPr>
            </w:pPr>
            <w:r>
              <w:rPr>
                <w:rFonts w:hint="eastAsia"/>
                <w:color w:val="auto"/>
                <w:sz w:val="21"/>
                <w:szCs w:val="21"/>
                <w:lang w:val="en-US" w:eastAsia="zh-CN" w:bidi="ar-SA"/>
              </w:rPr>
              <w:t>2024-12-31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190" w:type="dxa"/>
            <w:vAlign w:val="center"/>
          </w:tcPr>
          <w:p>
            <w:pPr>
              <w:jc w:val="center"/>
              <w:rPr>
                <w:rFonts w:ascii="Times New Roman" w:hAnsi="Times New Roman" w:eastAsia="宋体"/>
                <w:color w:val="auto"/>
                <w:sz w:val="21"/>
                <w:szCs w:val="21"/>
                <w:lang w:eastAsia="zh-CN" w:bidi="ar-SA"/>
              </w:rPr>
            </w:pPr>
            <w:r>
              <w:rPr>
                <w:rFonts w:ascii="Times New Roman" w:hAnsi="Times New Roman" w:eastAsia="宋体"/>
                <w:color w:val="auto"/>
                <w:sz w:val="21"/>
                <w:szCs w:val="21"/>
                <w:lang w:eastAsia="zh-CN" w:bidi="ar-SA"/>
              </w:rPr>
              <w:t>榜单具体</w:t>
            </w:r>
            <w:r>
              <w:rPr>
                <w:rFonts w:ascii="Times New Roman" w:hAnsi="Times New Roman" w:eastAsia="宋体"/>
                <w:color w:val="auto"/>
                <w:sz w:val="21"/>
                <w:szCs w:val="21"/>
                <w:lang w:bidi="ar-SA"/>
              </w:rPr>
              <w:t>内容</w:t>
            </w:r>
          </w:p>
        </w:tc>
        <w:tc>
          <w:tcPr>
            <w:tcW w:w="7771" w:type="dxa"/>
            <w:gridSpan w:val="3"/>
            <w:vAlign w:val="center"/>
          </w:tcPr>
          <w:p>
            <w:pPr>
              <w:rPr>
                <w:rFonts w:hint="eastAsia"/>
                <w:color w:val="auto"/>
                <w:sz w:val="21"/>
                <w:szCs w:val="21"/>
                <w:lang w:val="en-US" w:eastAsia="zh-CN" w:bidi="ar-SA"/>
              </w:rPr>
            </w:pPr>
          </w:p>
          <w:p>
            <w:pPr>
              <w:ind w:firstLine="420" w:firstLineChars="200"/>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1、技术方案</w:t>
            </w:r>
          </w:p>
          <w:p>
            <w:pPr>
              <w:ind w:firstLine="420" w:firstLineChars="200"/>
              <w:rPr>
                <w:rFonts w:ascii="Times New Roman" w:hAnsi="Times New Roman"/>
                <w:color w:val="auto"/>
                <w:sz w:val="21"/>
                <w:szCs w:val="21"/>
                <w:lang w:val="en-US" w:eastAsia="zh-CN" w:bidi="ar-SA"/>
              </w:rPr>
            </w:pPr>
            <w:r>
              <w:rPr>
                <w:rFonts w:ascii="Times New Roman" w:hAnsi="Times New Roman"/>
                <w:color w:val="auto"/>
                <w:sz w:val="21"/>
                <w:szCs w:val="21"/>
                <w:lang w:val="en-US" w:eastAsia="zh-CN" w:bidi="ar-SA"/>
              </w:rPr>
              <w:t>复合材料是一种由介电材料、胶粘剂、补强材料加工而成的复合绝缘材料。开发此款材料，针对汽车老化与ATF油相容性问题，需对材料进行筛选验证，其中补强材料方面聚苯硫醚薄膜、聚萘二甲酸乙二醇酯薄膜、聚醚醚酮薄膜等在此方面表现较好；而介电材料方面，高密度的国产芳纶纸或Nomex纸成为优选，其具有优秀的机械性能和介电性能；胶粘剂配方优选环氧，</w:t>
            </w:r>
            <w:r>
              <w:rPr>
                <w:rFonts w:hint="eastAsia" w:ascii="Times New Roman" w:hAnsi="Times New Roman"/>
                <w:color w:val="auto"/>
                <w:sz w:val="21"/>
                <w:szCs w:val="21"/>
                <w:lang w:val="en-US" w:eastAsia="zh-CN" w:bidi="ar-SA"/>
              </w:rPr>
              <w:t>因为</w:t>
            </w:r>
            <w:r>
              <w:rPr>
                <w:rFonts w:ascii="Times New Roman" w:hAnsi="Times New Roman"/>
                <w:color w:val="auto"/>
                <w:sz w:val="21"/>
                <w:szCs w:val="21"/>
                <w:lang w:val="en-US" w:eastAsia="zh-CN" w:bidi="ar-SA"/>
              </w:rPr>
              <w:t>其固化后</w:t>
            </w:r>
            <w:r>
              <w:rPr>
                <w:rFonts w:hint="eastAsia" w:ascii="Times New Roman" w:hAnsi="Times New Roman"/>
                <w:color w:val="auto"/>
                <w:sz w:val="21"/>
                <w:szCs w:val="21"/>
                <w:lang w:val="en-US" w:eastAsia="zh-CN" w:bidi="ar-SA"/>
              </w:rPr>
              <w:t>胶层需要</w:t>
            </w:r>
            <w:r>
              <w:rPr>
                <w:rFonts w:ascii="Times New Roman" w:hAnsi="Times New Roman"/>
                <w:color w:val="auto"/>
                <w:sz w:val="21"/>
                <w:szCs w:val="21"/>
                <w:lang w:val="en-US" w:eastAsia="zh-CN" w:bidi="ar-SA"/>
              </w:rPr>
              <w:t>具有一定的硬度、挺度。</w:t>
            </w:r>
          </w:p>
          <w:p>
            <w:pPr>
              <w:numPr>
                <w:ilvl w:val="0"/>
                <w:numId w:val="1"/>
              </w:numPr>
              <w:ind w:firstLine="420" w:firstLineChars="200"/>
              <w:rPr>
                <w:rFonts w:ascii="Times New Roman" w:hAnsi="Times New Roman"/>
                <w:color w:val="auto"/>
                <w:sz w:val="21"/>
                <w:szCs w:val="21"/>
                <w:lang w:val="en-US" w:eastAsia="zh-CN" w:bidi="ar-SA"/>
              </w:rPr>
            </w:pPr>
            <w:r>
              <w:rPr>
                <w:rFonts w:ascii="Times New Roman" w:hAnsi="Times New Roman"/>
                <w:color w:val="auto"/>
                <w:sz w:val="21"/>
                <w:szCs w:val="21"/>
                <w:lang w:val="en-US" w:eastAsia="zh-CN" w:bidi="ar-SA"/>
              </w:rPr>
              <w:t>技术性能指标及产业化指标</w:t>
            </w:r>
          </w:p>
          <w:p>
            <w:pPr>
              <w:widowControl w:val="0"/>
              <w:numPr>
                <w:ilvl w:val="0"/>
                <w:numId w:val="0"/>
              </w:numPr>
              <w:ind w:firstLine="420" w:firstLineChars="200"/>
              <w:jc w:val="both"/>
              <w:rPr>
                <w:rFonts w:ascii="Calibri" w:hAnsi="Calibri"/>
                <w:color w:val="auto"/>
                <w:sz w:val="21"/>
                <w:szCs w:val="21"/>
                <w:lang w:val="en-US" w:eastAsia="zh-CN" w:bidi="ar-SA"/>
              </w:rPr>
            </w:pPr>
            <w:r>
              <w:rPr>
                <w:rFonts w:ascii="Calibri" w:hAnsi="Calibri"/>
                <w:color w:val="auto"/>
                <w:sz w:val="21"/>
                <w:szCs w:val="21"/>
                <w:lang w:val="en-US" w:eastAsia="zh-CN" w:bidi="ar-SA"/>
              </w:rPr>
              <w:t>①</w:t>
            </w:r>
            <w:r>
              <w:rPr>
                <w:rFonts w:ascii="Times New Roman" w:hAnsi="Times New Roman"/>
                <w:color w:val="auto"/>
                <w:sz w:val="21"/>
                <w:szCs w:val="21"/>
                <w:lang w:val="en-US" w:eastAsia="zh-CN" w:bidi="ar-SA"/>
              </w:rPr>
              <w:t>技术性能指标</w:t>
            </w:r>
          </w:p>
          <w:p>
            <w:pPr>
              <w:widowControl w:val="0"/>
              <w:numPr>
                <w:ilvl w:val="0"/>
                <w:numId w:val="0"/>
              </w:numPr>
              <w:ind w:firstLine="420" w:firstLineChars="20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拉伸强度纵向未折≥135N/10mm，拉伸强度纵向折后≥135N/10mm，拉伸强度横向未折≥100N/10mm，拉伸强度横向折后≥100N/10mm，伸长率纵向≥3%，伸长率横向≥3%，挺度纵向≥20N，挺度横向≥30N，边缘抗撕裂纵向＞200N/20mm，边缘抗撕裂横向＞150N/20mm，击穿电压未折＞10KV，击穿电压未折后＞9KV，击穿电压吸湿后＞8KV，体积电阻率＞1.0*10^13Ω*cm，常态局部放电起始电压＞1000V，吸湿后局部放电起始电压＞900V，相比电痕化指数（CTI）≥500V。</w:t>
            </w:r>
          </w:p>
          <w:p>
            <w:pPr>
              <w:widowControl w:val="0"/>
              <w:numPr>
                <w:ilvl w:val="0"/>
                <w:numId w:val="0"/>
              </w:numPr>
              <w:ind w:firstLine="420" w:firstLineChars="200"/>
              <w:jc w:val="both"/>
              <w:rPr>
                <w:rFonts w:ascii="Calibri" w:hAnsi="Calibri"/>
                <w:color w:val="auto"/>
                <w:sz w:val="21"/>
                <w:szCs w:val="21"/>
                <w:lang w:val="en-US" w:eastAsia="zh-CN" w:bidi="ar-SA"/>
              </w:rPr>
            </w:pPr>
            <w:r>
              <w:rPr>
                <w:rFonts w:ascii="Calibri" w:hAnsi="Calibri"/>
                <w:color w:val="auto"/>
                <w:sz w:val="21"/>
                <w:szCs w:val="21"/>
                <w:lang w:val="en-US" w:eastAsia="zh-CN" w:bidi="ar-SA"/>
              </w:rPr>
              <w:t>②</w:t>
            </w:r>
            <w:r>
              <w:rPr>
                <w:rFonts w:hint="eastAsia" w:ascii="Times New Roman" w:hAnsi="Times New Roman"/>
                <w:color w:val="auto"/>
                <w:sz w:val="21"/>
                <w:szCs w:val="21"/>
                <w:lang w:val="en-US" w:eastAsia="zh-CN" w:bidi="ar-SA"/>
              </w:rPr>
              <w:t>产业化指标</w:t>
            </w:r>
          </w:p>
          <w:p>
            <w:pPr>
              <w:widowControl w:val="0"/>
              <w:numPr>
                <w:ilvl w:val="0"/>
                <w:numId w:val="0"/>
              </w:numPr>
              <w:ind w:firstLine="420" w:firstLineChars="200"/>
              <w:jc w:val="both"/>
              <w:rPr>
                <w:rFonts w:ascii="Times New Roman" w:hAnsi="Times New Roman"/>
                <w:color w:val="auto"/>
                <w:sz w:val="21"/>
                <w:szCs w:val="21"/>
                <w:lang w:val="en-US" w:eastAsia="zh-CN" w:bidi="ar-SA"/>
              </w:rPr>
            </w:pPr>
            <w:r>
              <w:rPr>
                <w:rFonts w:ascii="Times New Roman" w:hAnsi="Times New Roman"/>
                <w:color w:val="auto"/>
                <w:sz w:val="21"/>
                <w:szCs w:val="21"/>
                <w:lang w:val="en-US" w:eastAsia="zh-CN" w:bidi="ar-SA"/>
              </w:rPr>
              <w:t>外观</w:t>
            </w:r>
            <w:r>
              <w:rPr>
                <w:rFonts w:hint="eastAsia" w:ascii="Times New Roman" w:hAnsi="Times New Roman"/>
                <w:color w:val="auto"/>
                <w:sz w:val="21"/>
                <w:szCs w:val="21"/>
                <w:lang w:val="en-US" w:eastAsia="zh-CN" w:bidi="ar-SA"/>
              </w:rPr>
              <w:t>良好：表面光滑、无气泡，不流胶，边缘无开裂、无翻边，剪开口后手撕无分层；</w:t>
            </w:r>
          </w:p>
          <w:p>
            <w:pPr>
              <w:widowControl w:val="0"/>
              <w:numPr>
                <w:ilvl w:val="0"/>
                <w:numId w:val="0"/>
              </w:numPr>
              <w:ind w:firstLine="420" w:firstLineChars="200"/>
              <w:jc w:val="both"/>
              <w:rPr>
                <w:rFonts w:ascii="Times New Roman" w:hAnsi="Times New Roman"/>
                <w:color w:val="auto"/>
                <w:sz w:val="21"/>
                <w:szCs w:val="21"/>
                <w:lang w:val="en-US" w:eastAsia="zh-CN" w:bidi="ar-SA"/>
              </w:rPr>
            </w:pPr>
            <w:r>
              <w:rPr>
                <w:rFonts w:ascii="Times New Roman" w:hAnsi="Times New Roman"/>
                <w:color w:val="auto"/>
                <w:sz w:val="21"/>
                <w:szCs w:val="21"/>
                <w:lang w:val="en-US" w:eastAsia="zh-CN" w:bidi="ar-SA"/>
              </w:rPr>
              <w:t>热态粘结性</w:t>
            </w:r>
            <w:r>
              <w:rPr>
                <w:rFonts w:hint="eastAsia" w:ascii="Times New Roman" w:hAnsi="Times New Roman"/>
                <w:color w:val="auto"/>
                <w:sz w:val="21"/>
                <w:szCs w:val="21"/>
                <w:lang w:val="en-US" w:eastAsia="zh-CN" w:bidi="ar-SA"/>
              </w:rPr>
              <w:t>：在经过180℃*3h处理后，常温手撕不分层，外观不起泡、不流胶；</w:t>
            </w:r>
          </w:p>
          <w:p>
            <w:pPr>
              <w:widowControl w:val="0"/>
              <w:numPr>
                <w:ilvl w:val="0"/>
                <w:numId w:val="0"/>
              </w:numPr>
              <w:ind w:firstLine="420" w:firstLineChars="20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截面分析：不限于初始截面，热态、高低温、耐油8次循环后截面无空隙、气泡、杂质，截面层间各部位层次均匀；</w:t>
            </w:r>
          </w:p>
          <w:p>
            <w:pPr>
              <w:widowControl w:val="0"/>
              <w:numPr>
                <w:ilvl w:val="0"/>
                <w:numId w:val="0"/>
              </w:numPr>
              <w:ind w:firstLine="420" w:firstLineChars="20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高低温存储：180℃/-40℃各处理4h后，外观上不分层、不起泡、不流胶；</w:t>
            </w:r>
          </w:p>
          <w:p>
            <w:pPr>
              <w:widowControl w:val="0"/>
              <w:numPr>
                <w:ilvl w:val="0"/>
                <w:numId w:val="0"/>
              </w:numPr>
              <w:ind w:firstLine="420" w:firstLineChars="20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耐油：ATF油+0.5%水，置于带通气阀的罐体中，155℃*40h/-40℃*8h，进行8次循环处理后，外观上不分层、不起泡、不流胶；击穿电压、PDIV≥50%初始值；拉伸强度、边缘抗撕裂≥10%初始值。</w:t>
            </w:r>
          </w:p>
          <w:p>
            <w:pPr>
              <w:widowControl w:val="0"/>
              <w:numPr>
                <w:ilvl w:val="0"/>
                <w:numId w:val="0"/>
              </w:numPr>
              <w:ind w:firstLine="420" w:firstLineChars="200"/>
              <w:jc w:val="both"/>
              <w:rPr>
                <w:rFonts w:ascii="Times New Roman" w:hAnsi="Times New Roman"/>
                <w:color w:val="auto"/>
                <w:sz w:val="21"/>
                <w:szCs w:val="21"/>
                <w:lang w:val="en-US" w:eastAsia="zh-CN" w:bidi="ar-SA"/>
              </w:rPr>
            </w:pPr>
          </w:p>
          <w:p>
            <w:pPr>
              <w:widowControl w:val="0"/>
              <w:numPr>
                <w:ilvl w:val="0"/>
                <w:numId w:val="0"/>
              </w:numPr>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 xml:space="preserve">    3、</w:t>
            </w:r>
            <w:r>
              <w:rPr>
                <w:rFonts w:ascii="Times New Roman" w:hAnsi="Times New Roman"/>
                <w:color w:val="auto"/>
                <w:sz w:val="21"/>
                <w:szCs w:val="21"/>
                <w:lang w:val="en-US" w:eastAsia="zh-CN" w:bidi="ar-SA"/>
              </w:rPr>
              <w:t>主要设施设备及配套条件</w:t>
            </w:r>
          </w:p>
          <w:p>
            <w:pPr>
              <w:widowControl w:val="0"/>
              <w:numPr>
                <w:ilvl w:val="0"/>
                <w:numId w:val="0"/>
              </w:numPr>
              <w:ind w:firstLine="42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复合材料生产包括胶黏剂合成、复合、熟化后固化、加工成型等工序，其中胶黏剂合成需反应釜、研磨机、分散机等设备；复合工序需涂布机及配套供热设备；熟化后固化需高温烘箱等设备；成型需复卷机、分切机等后加工设备。</w:t>
            </w:r>
          </w:p>
          <w:p>
            <w:pPr>
              <w:widowControl w:val="0"/>
              <w:numPr>
                <w:ilvl w:val="0"/>
                <w:numId w:val="0"/>
              </w:numPr>
              <w:ind w:firstLine="42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开发过程还需配套实验仪器，包括气象色谱仪、恒温恒湿机、高低温交变湿热试验箱、击穿电压测试仪、红外FTIR、油冷测试治具、挺度测试治具、撕裂测试治具、漏电起痕测试仪、数字局放测试仪等相关设备与治具。</w:t>
            </w:r>
          </w:p>
          <w:p>
            <w:pPr>
              <w:widowControl w:val="0"/>
              <w:numPr>
                <w:ilvl w:val="0"/>
                <w:numId w:val="0"/>
              </w:numPr>
              <w:ind w:leftChars="200"/>
              <w:jc w:val="both"/>
              <w:rPr>
                <w:rFonts w:hint="eastAsia" w:ascii="Times New Roman" w:hAnsi="Times New Roman"/>
                <w:color w:val="auto"/>
                <w:sz w:val="21"/>
                <w:szCs w:val="21"/>
                <w:lang w:val="en-US" w:eastAsia="zh-CN" w:bidi="ar-SA"/>
              </w:rPr>
            </w:pPr>
            <w:r>
              <w:rPr>
                <w:rFonts w:hint="eastAsia" w:ascii="Times New Roman" w:hAnsi="Times New Roman"/>
                <w:color w:val="auto"/>
                <w:sz w:val="21"/>
                <w:szCs w:val="21"/>
                <w:lang w:val="en-US" w:eastAsia="zh-CN" w:bidi="ar-SA"/>
              </w:rPr>
              <w:t>4、关键核心技术</w:t>
            </w:r>
          </w:p>
          <w:p>
            <w:pPr>
              <w:widowControl w:val="0"/>
              <w:numPr>
                <w:ilvl w:val="0"/>
                <w:numId w:val="0"/>
              </w:numPr>
              <w:ind w:left="0" w:leftChars="0" w:firstLine="420" w:firstLineChars="200"/>
              <w:jc w:val="both"/>
              <w:rPr>
                <w:rFonts w:ascii="Calibri" w:hAnsi="Calibri"/>
                <w:color w:val="auto"/>
                <w:sz w:val="21"/>
                <w:szCs w:val="21"/>
                <w:lang w:val="en-US" w:eastAsia="zh-CN" w:bidi="ar-SA"/>
              </w:rPr>
            </w:pPr>
            <w:r>
              <w:rPr>
                <w:rFonts w:ascii="Calibri" w:hAnsi="Calibri"/>
                <w:color w:val="auto"/>
                <w:sz w:val="21"/>
                <w:szCs w:val="21"/>
                <w:lang w:val="en-US" w:eastAsia="zh-CN" w:bidi="ar-SA"/>
              </w:rPr>
              <w:t>①</w:t>
            </w:r>
            <w:r>
              <w:rPr>
                <w:rFonts w:hint="eastAsia" w:ascii="Calibri" w:hAnsi="Calibri"/>
                <w:color w:val="auto"/>
                <w:sz w:val="21"/>
                <w:szCs w:val="21"/>
                <w:lang w:val="en-US" w:eastAsia="zh-CN" w:bidi="ar-SA"/>
              </w:rPr>
              <w:t>胶黏剂配方设计：胶粘剂完全</w:t>
            </w:r>
            <w:r>
              <w:rPr>
                <w:rFonts w:ascii="Times New Roman" w:hAnsi="Times New Roman"/>
                <w:color w:val="auto"/>
                <w:sz w:val="21"/>
                <w:szCs w:val="21"/>
                <w:lang w:val="en-US" w:eastAsia="zh-CN" w:bidi="ar-SA"/>
              </w:rPr>
              <w:t>固化后</w:t>
            </w:r>
            <w:r>
              <w:rPr>
                <w:rFonts w:hint="eastAsia" w:ascii="Times New Roman" w:hAnsi="Times New Roman"/>
                <w:color w:val="auto"/>
                <w:sz w:val="21"/>
                <w:szCs w:val="21"/>
                <w:lang w:val="en-US" w:eastAsia="zh-CN" w:bidi="ar-SA"/>
              </w:rPr>
              <w:t>稳定性好，</w:t>
            </w:r>
            <w:r>
              <w:rPr>
                <w:rFonts w:ascii="Times New Roman" w:hAnsi="Times New Roman"/>
                <w:color w:val="auto"/>
                <w:sz w:val="21"/>
                <w:szCs w:val="21"/>
                <w:lang w:val="en-US" w:eastAsia="zh-CN" w:bidi="ar-SA"/>
              </w:rPr>
              <w:t>具有一定的硬度、挺度和优秀的耐</w:t>
            </w:r>
            <w:r>
              <w:rPr>
                <w:rFonts w:hint="eastAsia" w:ascii="Times New Roman" w:hAnsi="Times New Roman"/>
                <w:color w:val="auto"/>
                <w:sz w:val="21"/>
                <w:szCs w:val="21"/>
                <w:lang w:val="en-US" w:eastAsia="zh-CN" w:bidi="ar-SA"/>
              </w:rPr>
              <w:t>热、耐</w:t>
            </w:r>
            <w:r>
              <w:rPr>
                <w:rFonts w:ascii="Times New Roman" w:hAnsi="Times New Roman"/>
                <w:color w:val="auto"/>
                <w:sz w:val="21"/>
                <w:szCs w:val="21"/>
                <w:lang w:val="en-US" w:eastAsia="zh-CN" w:bidi="ar-SA"/>
              </w:rPr>
              <w:t>老化性能，</w:t>
            </w:r>
            <w:r>
              <w:rPr>
                <w:rFonts w:hint="eastAsia" w:ascii="Times New Roman" w:hAnsi="Times New Roman"/>
                <w:color w:val="auto"/>
                <w:sz w:val="21"/>
                <w:szCs w:val="21"/>
                <w:lang w:val="en-US" w:eastAsia="zh-CN" w:bidi="ar-SA"/>
              </w:rPr>
              <w:t>且对于水与ATF油具有良好的阻隔性。</w:t>
            </w:r>
          </w:p>
          <w:p>
            <w:pPr>
              <w:widowControl w:val="0"/>
              <w:numPr>
                <w:ilvl w:val="0"/>
                <w:numId w:val="0"/>
              </w:numPr>
              <w:ind w:left="0" w:leftChars="0" w:firstLine="420" w:firstLineChars="200"/>
              <w:jc w:val="both"/>
              <w:rPr>
                <w:rFonts w:ascii="Calibri" w:hAnsi="Calibri"/>
                <w:color w:val="auto"/>
                <w:sz w:val="21"/>
                <w:szCs w:val="21"/>
                <w:lang w:val="en-US" w:eastAsia="zh-CN" w:bidi="ar-SA"/>
              </w:rPr>
            </w:pPr>
            <w:r>
              <w:rPr>
                <w:rFonts w:ascii="Calibri" w:hAnsi="Calibri"/>
                <w:color w:val="auto"/>
                <w:sz w:val="21"/>
                <w:szCs w:val="21"/>
                <w:lang w:val="en-US" w:eastAsia="zh-CN" w:bidi="ar-SA"/>
              </w:rPr>
              <w:t>②材料</w:t>
            </w:r>
            <w:r>
              <w:rPr>
                <w:rFonts w:hint="eastAsia" w:ascii="Calibri" w:hAnsi="Calibri"/>
                <w:color w:val="auto"/>
                <w:sz w:val="21"/>
                <w:szCs w:val="21"/>
                <w:lang w:val="en-US" w:eastAsia="zh-CN" w:bidi="ar-SA"/>
              </w:rPr>
              <w:t>筛选及结构设计：通过目标物理与电气特性筛选绝缘基材进行组合，实现性能补强。</w:t>
            </w:r>
            <w:r>
              <w:rPr>
                <w:rFonts w:hint="eastAsia" w:ascii="Calibri" w:hAnsi="Calibri"/>
                <w:color w:val="auto"/>
                <w:sz w:val="21"/>
                <w:szCs w:val="21"/>
                <w:lang w:val="en-US" w:eastAsia="zh-CN" w:bidi="ar-SA"/>
              </w:rPr>
              <w:br w:type="textWrapping"/>
            </w:r>
            <w:r>
              <w:rPr>
                <w:rFonts w:hint="eastAsia" w:ascii="Calibri" w:hAnsi="Calibri"/>
                <w:color w:val="auto"/>
                <w:sz w:val="21"/>
                <w:szCs w:val="21"/>
                <w:lang w:val="en-US" w:eastAsia="zh-CN" w:bidi="ar-SA"/>
              </w:rPr>
              <w:t xml:space="preserve">    </w:t>
            </w:r>
            <w:r>
              <w:rPr>
                <w:rFonts w:ascii="Calibri" w:hAnsi="Calibri"/>
                <w:color w:val="auto"/>
                <w:sz w:val="21"/>
                <w:szCs w:val="21"/>
                <w:lang w:val="en-US" w:eastAsia="zh-CN" w:bidi="ar-SA"/>
              </w:rPr>
              <w:t>③</w:t>
            </w:r>
            <w:r>
              <w:rPr>
                <w:rFonts w:hint="eastAsia" w:ascii="Calibri" w:hAnsi="Calibri"/>
                <w:color w:val="auto"/>
                <w:sz w:val="21"/>
                <w:szCs w:val="21"/>
                <w:lang w:val="en-US" w:eastAsia="zh-CN" w:bidi="ar-SA"/>
              </w:rPr>
              <w:t>工艺设计：</w:t>
            </w:r>
            <w:r>
              <w:rPr>
                <w:rFonts w:ascii="Calibri" w:hAnsi="Calibri"/>
                <w:color w:val="auto"/>
                <w:sz w:val="21"/>
                <w:szCs w:val="21"/>
                <w:lang w:val="en-US" w:eastAsia="zh-CN" w:bidi="ar-SA"/>
              </w:rPr>
              <w:t>对涂布车速、烘干温度、收放卷张力、熟化方式与温度、后固化温度进行</w:t>
            </w:r>
            <w:r>
              <w:rPr>
                <w:rFonts w:hint="eastAsia" w:ascii="Calibri" w:hAnsi="Calibri"/>
                <w:color w:val="auto"/>
                <w:sz w:val="21"/>
                <w:szCs w:val="21"/>
                <w:lang w:val="en-US" w:eastAsia="zh-CN" w:bidi="ar-SA"/>
              </w:rPr>
              <w:t>设计，解决</w:t>
            </w:r>
            <w:r>
              <w:rPr>
                <w:rFonts w:ascii="Calibri" w:hAnsi="Calibri"/>
                <w:color w:val="auto"/>
                <w:sz w:val="21"/>
                <w:szCs w:val="21"/>
                <w:lang w:val="en-US" w:eastAsia="zh-CN" w:bidi="ar-SA"/>
              </w:rPr>
              <w:t>高胶层厚度的复合材料贴合</w:t>
            </w:r>
            <w:r>
              <w:rPr>
                <w:rFonts w:hint="eastAsia" w:ascii="Calibri" w:hAnsi="Calibri"/>
                <w:color w:val="auto"/>
                <w:sz w:val="21"/>
                <w:szCs w:val="21"/>
                <w:lang w:val="en-US" w:eastAsia="zh-CN" w:bidi="ar-SA"/>
              </w:rPr>
              <w:t>、收卷</w:t>
            </w:r>
            <w:r>
              <w:rPr>
                <w:rFonts w:ascii="Calibri" w:hAnsi="Calibri"/>
                <w:color w:val="auto"/>
                <w:sz w:val="21"/>
                <w:szCs w:val="21"/>
                <w:lang w:val="en-US" w:eastAsia="zh-CN" w:bidi="ar-SA"/>
              </w:rPr>
              <w:t>与熟化问题</w:t>
            </w:r>
            <w:r>
              <w:rPr>
                <w:rFonts w:hint="eastAsia" w:ascii="Calibri" w:hAnsi="Calibri"/>
                <w:color w:val="auto"/>
                <w:sz w:val="21"/>
                <w:szCs w:val="21"/>
                <w:lang w:val="en-US" w:eastAsia="zh-CN" w:bidi="ar-SA"/>
              </w:rPr>
              <w:t>。</w:t>
            </w:r>
          </w:p>
          <w:p>
            <w:pPr>
              <w:rPr>
                <w:rFonts w:ascii="Times New Roman" w:hAnsi="Times New Roman" w:eastAsia="宋体"/>
                <w:color w:val="auto"/>
                <w:sz w:val="21"/>
                <w:szCs w:val="21"/>
                <w:lang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190" w:type="dxa"/>
            <w:vAlign w:val="center"/>
          </w:tcPr>
          <w:p>
            <w:pPr>
              <w:jc w:val="center"/>
              <w:rPr>
                <w:rFonts w:ascii="Times New Roman" w:hAnsi="Times New Roman" w:eastAsia="宋体"/>
                <w:color w:val="auto"/>
                <w:sz w:val="21"/>
                <w:szCs w:val="21"/>
                <w:lang w:eastAsia="zh-CN" w:bidi="ar-SA"/>
              </w:rPr>
            </w:pPr>
            <w:r>
              <w:rPr>
                <w:rFonts w:ascii="Times New Roman" w:hAnsi="Times New Roman" w:eastAsia="宋体"/>
                <w:color w:val="auto"/>
                <w:sz w:val="21"/>
                <w:szCs w:val="21"/>
                <w:lang w:eastAsia="zh-CN" w:bidi="ar-SA"/>
              </w:rPr>
              <w:t>榜单效益</w:t>
            </w:r>
            <w:r>
              <w:rPr>
                <w:rFonts w:ascii="Times New Roman" w:hAnsi="Times New Roman" w:eastAsia="宋体"/>
                <w:color w:val="auto"/>
                <w:sz w:val="21"/>
                <w:szCs w:val="21"/>
                <w:lang w:bidi="ar-SA"/>
              </w:rPr>
              <w:t>目标</w:t>
            </w:r>
          </w:p>
        </w:tc>
        <w:tc>
          <w:tcPr>
            <w:tcW w:w="7771" w:type="dxa"/>
            <w:gridSpan w:val="3"/>
            <w:vAlign w:val="center"/>
          </w:tcPr>
          <w:p>
            <w:pPr>
              <w:rPr>
                <w:rFonts w:ascii="Times New Roman" w:hAnsi="Times New Roman" w:eastAsia="宋体"/>
                <w:color w:val="auto"/>
                <w:sz w:val="21"/>
                <w:szCs w:val="21"/>
                <w:lang w:bidi="ar-SA"/>
              </w:rPr>
            </w:pPr>
          </w:p>
          <w:p>
            <w:pPr>
              <w:rPr>
                <w:rFonts w:hint="eastAsia"/>
                <w:color w:val="auto"/>
                <w:sz w:val="21"/>
                <w:szCs w:val="21"/>
                <w:lang w:val="en-US" w:eastAsia="zh-CN" w:bidi="ar-SA"/>
              </w:rPr>
            </w:pPr>
            <w:r>
              <w:rPr>
                <w:rFonts w:hint="eastAsia"/>
                <w:color w:val="auto"/>
                <w:sz w:val="21"/>
                <w:szCs w:val="21"/>
                <w:lang w:val="en-US" w:eastAsia="zh-CN" w:bidi="ar-SA"/>
              </w:rPr>
              <w:t xml:space="preserve">    </w:t>
            </w:r>
            <w:r>
              <w:rPr>
                <w:rFonts w:hint="eastAsia" w:ascii="Calibri" w:hAnsi="Calibri"/>
                <w:color w:val="auto"/>
                <w:sz w:val="21"/>
                <w:szCs w:val="21"/>
                <w:lang w:val="en-US" w:eastAsia="zh-CN" w:bidi="ar-SA"/>
              </w:rPr>
              <w:t>1、市场前景</w:t>
            </w:r>
          </w:p>
          <w:p>
            <w:pPr>
              <w:ind w:firstLine="420" w:firstLineChars="200"/>
              <w:rPr>
                <w:rFonts w:ascii="Calibri" w:hAnsi="Calibri"/>
                <w:color w:val="auto"/>
                <w:sz w:val="21"/>
                <w:szCs w:val="21"/>
                <w:lang w:val="en-US" w:eastAsia="zh-CN" w:bidi="ar-SA"/>
              </w:rPr>
            </w:pPr>
            <w:r>
              <w:rPr>
                <w:rFonts w:ascii="Calibri" w:hAnsi="Calibri"/>
                <w:color w:val="auto"/>
                <w:sz w:val="21"/>
                <w:szCs w:val="21"/>
                <w:lang w:val="en-US" w:eastAsia="zh-CN" w:bidi="ar-SA"/>
              </w:rPr>
              <w:t>根据目前</w:t>
            </w:r>
            <w:r>
              <w:rPr>
                <w:rFonts w:hint="eastAsia" w:ascii="Calibri" w:hAnsi="Calibri"/>
                <w:color w:val="auto"/>
                <w:sz w:val="21"/>
                <w:szCs w:val="21"/>
                <w:lang w:val="en-US" w:eastAsia="zh-CN" w:bidi="ar-SA"/>
              </w:rPr>
              <w:t>新能源汽车的市场情况来看，</w:t>
            </w:r>
            <w:r>
              <w:rPr>
                <w:rFonts w:ascii="Calibri" w:hAnsi="Calibri"/>
                <w:color w:val="auto"/>
                <w:sz w:val="21"/>
                <w:szCs w:val="21"/>
                <w:lang w:val="en-US" w:eastAsia="zh-CN" w:bidi="ar-SA"/>
              </w:rPr>
              <w:t>油冷电机</w:t>
            </w:r>
            <w:r>
              <w:rPr>
                <w:rFonts w:hint="eastAsia" w:ascii="Calibri" w:hAnsi="Calibri"/>
                <w:color w:val="auto"/>
                <w:sz w:val="21"/>
                <w:szCs w:val="21"/>
                <w:lang w:val="en-US" w:eastAsia="zh-CN" w:bidi="ar-SA"/>
              </w:rPr>
              <w:t>装机量来看</w:t>
            </w:r>
            <w:r>
              <w:rPr>
                <w:rFonts w:ascii="Calibri" w:hAnsi="Calibri"/>
                <w:color w:val="auto"/>
                <w:sz w:val="21"/>
                <w:szCs w:val="21"/>
                <w:lang w:val="en-US" w:eastAsia="zh-CN" w:bidi="ar-SA"/>
              </w:rPr>
              <w:t>，</w:t>
            </w:r>
            <w:r>
              <w:rPr>
                <w:rFonts w:hint="eastAsia" w:ascii="Calibri" w:hAnsi="Calibri"/>
                <w:color w:val="auto"/>
                <w:sz w:val="21"/>
                <w:szCs w:val="21"/>
                <w:lang w:val="en-US" w:eastAsia="zh-CN" w:bidi="ar-SA"/>
              </w:rPr>
              <w:t>氟迪动力目前每月装机量约为60w台，即便以每套电机使用此种复合材料作为槽纸绝缘0.1kg计算，</w:t>
            </w:r>
            <w:r>
              <w:rPr>
                <w:rFonts w:ascii="Calibri" w:hAnsi="Calibri"/>
                <w:color w:val="auto"/>
                <w:sz w:val="21"/>
                <w:szCs w:val="21"/>
                <w:lang w:val="en-US" w:eastAsia="zh-CN" w:bidi="ar-SA"/>
              </w:rPr>
              <w:t>仅我公司目前客户比亚迪一家一年在此款材料上的采购数量即可达到</w:t>
            </w:r>
            <w:r>
              <w:rPr>
                <w:rFonts w:hint="eastAsia" w:ascii="Calibri" w:hAnsi="Calibri"/>
                <w:color w:val="auto"/>
                <w:sz w:val="21"/>
                <w:szCs w:val="21"/>
                <w:lang w:val="en-US" w:eastAsia="zh-CN" w:bidi="ar-SA"/>
              </w:rPr>
              <w:t>700</w:t>
            </w:r>
            <w:r>
              <w:rPr>
                <w:rFonts w:ascii="Calibri" w:hAnsi="Calibri"/>
                <w:color w:val="auto"/>
                <w:sz w:val="21"/>
                <w:szCs w:val="21"/>
                <w:lang w:val="en-US" w:eastAsia="zh-CN" w:bidi="ar-SA"/>
              </w:rPr>
              <w:t>吨以上，折合销售额接近</w:t>
            </w:r>
            <w:r>
              <w:rPr>
                <w:rFonts w:hint="eastAsia" w:ascii="Calibri" w:hAnsi="Calibri"/>
                <w:color w:val="auto"/>
                <w:sz w:val="21"/>
                <w:szCs w:val="21"/>
                <w:lang w:val="en-US" w:eastAsia="zh-CN" w:bidi="ar-SA"/>
              </w:rPr>
              <w:t>2.16</w:t>
            </w:r>
            <w:r>
              <w:rPr>
                <w:rFonts w:ascii="Calibri" w:hAnsi="Calibri"/>
                <w:color w:val="auto"/>
                <w:sz w:val="21"/>
                <w:szCs w:val="21"/>
                <w:lang w:val="en-US" w:eastAsia="zh-CN" w:bidi="ar-SA"/>
              </w:rPr>
              <w:t>亿元。预计2024年投产后，按目前我司在比亚迪份额份额预估，年销售额3000万元左右，2025年预计增长率10%，即3300万元，利税600万元。</w:t>
            </w:r>
          </w:p>
          <w:p>
            <w:pPr>
              <w:ind w:firstLine="420" w:firstLineChars="200"/>
              <w:rPr>
                <w:rFonts w:hint="eastAsia" w:ascii="Calibri" w:hAnsi="Calibri"/>
                <w:color w:val="auto"/>
                <w:sz w:val="21"/>
                <w:szCs w:val="21"/>
                <w:lang w:val="en-US" w:eastAsia="zh-CN" w:bidi="ar-SA"/>
              </w:rPr>
            </w:pPr>
            <w:r>
              <w:rPr>
                <w:rFonts w:hint="eastAsia" w:ascii="Calibri" w:hAnsi="Calibri"/>
                <w:color w:val="auto"/>
                <w:sz w:val="21"/>
                <w:szCs w:val="21"/>
                <w:lang w:val="en-US" w:eastAsia="zh-CN" w:bidi="ar-SA"/>
              </w:rPr>
              <w:t>而氟迪动力约占有国内</w:t>
            </w:r>
            <w:r>
              <w:rPr>
                <w:rFonts w:ascii="Calibri" w:hAnsi="Calibri"/>
                <w:color w:val="auto"/>
                <w:sz w:val="21"/>
                <w:szCs w:val="21"/>
                <w:lang w:val="en-US" w:eastAsia="zh-CN" w:bidi="ar-SA"/>
              </w:rPr>
              <w:t>新能源油冷电机</w:t>
            </w:r>
            <w:r>
              <w:rPr>
                <w:rFonts w:hint="eastAsia" w:ascii="Calibri" w:hAnsi="Calibri"/>
                <w:color w:val="auto"/>
                <w:sz w:val="21"/>
                <w:szCs w:val="21"/>
                <w:lang w:val="en-US" w:eastAsia="zh-CN" w:bidi="ar-SA"/>
              </w:rPr>
              <w:t>市场份额的20%左右，即国内月产量接近290-300w台，年总产能达3000w台，预计复合材料市场容量约3000-3500吨，产值约9-10.5亿元，经济效益非常显著。</w:t>
            </w:r>
          </w:p>
          <w:p>
            <w:pPr>
              <w:ind w:firstLine="420" w:firstLineChars="200"/>
              <w:rPr>
                <w:rFonts w:hint="eastAsia" w:ascii="Calibri" w:hAnsi="Calibri"/>
                <w:color w:val="auto"/>
                <w:sz w:val="21"/>
                <w:szCs w:val="21"/>
                <w:lang w:val="en-US" w:eastAsia="zh-CN" w:bidi="ar-SA"/>
              </w:rPr>
            </w:pPr>
            <w:r>
              <w:rPr>
                <w:rFonts w:hint="eastAsia" w:ascii="Calibri" w:hAnsi="Calibri"/>
                <w:color w:val="auto"/>
                <w:sz w:val="21"/>
                <w:szCs w:val="21"/>
                <w:lang w:val="en-US" w:eastAsia="zh-CN" w:bidi="ar-SA"/>
              </w:rPr>
              <w:t>2、产业发展作用</w:t>
            </w:r>
          </w:p>
          <w:p>
            <w:pPr>
              <w:ind w:firstLine="420" w:firstLineChars="200"/>
              <w:rPr>
                <w:rFonts w:ascii="Calibri" w:hAnsi="Calibri"/>
                <w:color w:val="auto"/>
                <w:sz w:val="21"/>
                <w:szCs w:val="21"/>
                <w:lang w:val="en-US" w:eastAsia="zh-CN" w:bidi="ar-SA"/>
              </w:rPr>
            </w:pPr>
            <w:r>
              <w:rPr>
                <w:rFonts w:ascii="Calibri" w:hAnsi="Calibri"/>
                <w:color w:val="auto"/>
                <w:sz w:val="21"/>
                <w:szCs w:val="21"/>
                <w:lang w:val="en-US" w:eastAsia="zh-CN" w:bidi="ar-SA"/>
              </w:rPr>
              <w:t>油冷电机</w:t>
            </w:r>
            <w:r>
              <w:rPr>
                <w:rFonts w:hint="eastAsia" w:ascii="Calibri" w:hAnsi="Calibri"/>
                <w:color w:val="auto"/>
                <w:sz w:val="21"/>
                <w:szCs w:val="21"/>
                <w:lang w:val="en-US" w:eastAsia="zh-CN" w:bidi="ar-SA"/>
              </w:rPr>
              <w:t>相对水冷电机散热能力好，电机功率密度大。</w:t>
            </w:r>
            <w:r>
              <w:rPr>
                <w:rFonts w:ascii="Calibri" w:hAnsi="Calibri"/>
                <w:color w:val="auto"/>
                <w:sz w:val="21"/>
                <w:szCs w:val="21"/>
                <w:lang w:val="en-US" w:eastAsia="zh-CN" w:bidi="ar-SA"/>
              </w:rPr>
              <w:t>此项目</w:t>
            </w:r>
            <w:r>
              <w:rPr>
                <w:rFonts w:hint="eastAsia" w:ascii="Calibri" w:hAnsi="Calibri"/>
                <w:color w:val="auto"/>
                <w:sz w:val="21"/>
                <w:szCs w:val="21"/>
                <w:lang w:val="en-US" w:eastAsia="zh-CN" w:bidi="ar-SA"/>
              </w:rPr>
              <w:t>产品开发成功后，</w:t>
            </w:r>
            <w:r>
              <w:rPr>
                <w:rFonts w:ascii="Calibri" w:hAnsi="Calibri"/>
                <w:color w:val="auto"/>
                <w:sz w:val="21"/>
                <w:szCs w:val="21"/>
                <w:lang w:val="en-US" w:eastAsia="zh-CN" w:bidi="ar-SA"/>
              </w:rPr>
              <w:t>油冷电机</w:t>
            </w:r>
            <w:r>
              <w:rPr>
                <w:rFonts w:hint="eastAsia" w:ascii="Calibri" w:hAnsi="Calibri"/>
                <w:color w:val="auto"/>
                <w:sz w:val="21"/>
                <w:szCs w:val="21"/>
                <w:lang w:val="en-US" w:eastAsia="zh-CN" w:bidi="ar-SA"/>
              </w:rPr>
              <w:t>在新能源汽车应用中的ATF油相容性和老化问题得以解决，其次精简浸泡电解液工序后，降低环保处理成本，有利于提高生产效率，对推动新能源汽车产业发展提供支撑。</w:t>
            </w:r>
          </w:p>
          <w:p>
            <w:pPr>
              <w:ind w:firstLine="420" w:firstLineChars="200"/>
              <w:rPr>
                <w:rFonts w:ascii="Calibri" w:hAnsi="Calibri"/>
                <w:color w:val="auto"/>
                <w:sz w:val="21"/>
                <w:szCs w:val="21"/>
                <w:lang w:val="en-US" w:eastAsia="zh-CN" w:bidi="ar-SA"/>
              </w:rPr>
            </w:pPr>
          </w:p>
        </w:tc>
      </w:tr>
    </w:tbl>
    <w:p>
      <w:pPr>
        <w:spacing w:line="560" w:lineRule="exact"/>
        <w:rPr>
          <w:rFonts w:ascii="Times New Roman" w:hAnsi="Times New Roman" w:eastAsia="黑体"/>
          <w:bCs/>
          <w:sz w:val="32"/>
          <w:szCs w:val="32"/>
          <w:lang w:bidi="ar-SA"/>
        </w:rPr>
      </w:pPr>
      <w:bookmarkStart w:id="0" w:name="_GoBack"/>
      <w:bookmarkEnd w:id="0"/>
    </w:p>
    <w:sectPr>
      <w:pgSz w:w="11906" w:h="16838"/>
      <w:pgMar w:top="1440" w:right="1474" w:bottom="1440"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015A1B"/>
    <w:multiLevelType w:val="singleLevel"/>
    <w:tmpl w:val="CA015A1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1"/>
  </w:compat>
  <w:rsids>
    <w:rsidRoot w:val="00000000"/>
    <w:rsid w:val="23653258"/>
    <w:rsid w:val="3EC91EFC"/>
    <w:rsid w:val="4EF572E4"/>
    <w:rsid w:val="7ABBD1A8"/>
    <w:rsid w:val="E0FF37B9"/>
    <w:rsid w:val="E65F0E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21"/>
    <w:basedOn w:val="1"/>
    <w:qFormat/>
    <w:uiPriority w:val="0"/>
    <w:pPr>
      <w:keepNext/>
      <w:keepLines/>
      <w:widowControl w:val="0"/>
      <w:jc w:val="left"/>
      <w:outlineLvl w:val="1"/>
    </w:pPr>
    <w:rPr>
      <w:rFonts w:eastAsia="楷体_GB2312"/>
      <w:bCs/>
      <w:color w:val="000000"/>
      <w:szCs w:val="32"/>
      <w:lang w:bidi="ar-SA"/>
    </w:rPr>
  </w:style>
  <w:style w:type="paragraph" w:customStyle="1" w:styleId="5">
    <w:name w:val="标题 61"/>
    <w:basedOn w:val="1"/>
    <w:qFormat/>
    <w:uiPriority w:val="0"/>
    <w:pPr>
      <w:keepNext/>
      <w:keepLines/>
      <w:spacing w:before="240" w:after="64" w:line="320" w:lineRule="auto"/>
      <w:outlineLvl w:val="5"/>
    </w:pPr>
    <w:rPr>
      <w:rFonts w:ascii="Cambria" w:hAnsi="Cambria" w:eastAsia="宋体"/>
      <w:b/>
      <w:bCs/>
      <w:sz w:val="24"/>
    </w:rPr>
  </w:style>
  <w:style w:type="character" w:customStyle="1" w:styleId="6">
    <w:name w:val="默认段落字体1"/>
    <w:link w:val="1"/>
    <w:semiHidden/>
    <w:qFormat/>
    <w:uiPriority w:val="0"/>
  </w:style>
  <w:style w:type="table" w:customStyle="1" w:styleId="7">
    <w:name w:val="普通表格1"/>
    <w:semiHidden/>
    <w:qFormat/>
    <w:uiPriority w:val="0"/>
  </w:style>
  <w:style w:type="paragraph" w:customStyle="1" w:styleId="8">
    <w:name w:val="正文文本1"/>
    <w:basedOn w:val="1"/>
    <w:qFormat/>
    <w:uiPriority w:val="0"/>
    <w:pPr>
      <w:spacing w:afterAutospacing="0"/>
      <w:ind w:firstLine="640" w:firstLineChars="200"/>
    </w:pPr>
  </w:style>
  <w:style w:type="paragraph" w:customStyle="1" w:styleId="9">
    <w:name w:val="页脚1"/>
    <w:basedOn w:val="1"/>
    <w:qFormat/>
    <w:uiPriority w:val="0"/>
    <w:pPr>
      <w:tabs>
        <w:tab w:val="center" w:pos="4153"/>
        <w:tab w:val="right" w:pos="8306"/>
      </w:tabs>
      <w:snapToGrid w:val="0"/>
      <w:jc w:val="left"/>
    </w:pPr>
    <w:rPr>
      <w:sz w:val="18"/>
      <w:szCs w:val="18"/>
    </w:rPr>
  </w:style>
  <w:style w:type="character" w:customStyle="1" w:styleId="10">
    <w:name w:val="强调1"/>
    <w:basedOn w:val="6"/>
    <w:link w:val="1"/>
    <w:qFormat/>
    <w:uiPriority w:val="0"/>
    <w:rPr>
      <w:i/>
    </w:rPr>
  </w:style>
  <w:style w:type="character" w:customStyle="1" w:styleId="11">
    <w:name w:val="超链接1"/>
    <w:basedOn w:val="6"/>
    <w:link w:val="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2023-10-13T16:40:00Z</dcterms:created>
  <dc:creator>陈立伟</dc:creator>
  <cp:lastModifiedBy>禤维强</cp:lastModifiedBy>
  <dcterms:modified xsi:type="dcterms:W3CDTF">2023-10-26T19:41:14Z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