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9" w:line="225" w:lineRule="auto"/>
        <w:ind w:left="3400"/>
        <w:rPr>
          <w:rFonts w:ascii="黑体" w:hAnsi="黑体" w:eastAsia="黑体" w:cs="黑体"/>
          <w:sz w:val="43"/>
          <w:szCs w:val="43"/>
        </w:rPr>
      </w:pPr>
      <w:r>
        <w:rPr>
          <w:rFonts w:hint="eastAsia" w:ascii="黑体" w:hAnsi="黑体" w:eastAsia="黑体" w:cs="黑体"/>
          <w:spacing w:val="7"/>
          <w:sz w:val="43"/>
          <w:szCs w:val="43"/>
          <w:lang w:eastAsia="zh-CN"/>
        </w:rPr>
        <w:t>项目</w:t>
      </w:r>
      <w:r>
        <w:rPr>
          <w:rFonts w:ascii="黑体" w:hAnsi="黑体" w:eastAsia="黑体" w:cs="黑体"/>
          <w:spacing w:val="7"/>
          <w:sz w:val="43"/>
          <w:szCs w:val="43"/>
        </w:rPr>
        <w:t>榜单</w:t>
      </w:r>
    </w:p>
    <w:tbl>
      <w:tblPr>
        <w:tblStyle w:val="4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3325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194" w:type="dxa"/>
            <w:vAlign w:val="top"/>
          </w:tcPr>
          <w:p>
            <w:pPr>
              <w:spacing w:before="223" w:line="228" w:lineRule="auto"/>
              <w:ind w:left="1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榜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单名称</w:t>
            </w:r>
          </w:p>
        </w:tc>
        <w:tc>
          <w:tcPr>
            <w:tcW w:w="7772" w:type="dxa"/>
            <w:gridSpan w:val="3"/>
            <w:vAlign w:val="top"/>
          </w:tcPr>
          <w:p>
            <w:pPr>
              <w:spacing w:before="223" w:line="228" w:lineRule="auto"/>
              <w:ind w:left="18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玻璃配合料造粒及窑外预分解技术开发与应用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94" w:type="dxa"/>
            <w:vAlign w:val="top"/>
          </w:tcPr>
          <w:p>
            <w:pPr>
              <w:spacing w:before="93" w:line="287" w:lineRule="auto"/>
              <w:ind w:left="392" w:right="70" w:hanging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专业领域及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方向</w:t>
            </w:r>
          </w:p>
        </w:tc>
        <w:tc>
          <w:tcPr>
            <w:tcW w:w="7772" w:type="dxa"/>
            <w:gridSpan w:val="3"/>
            <w:vAlign w:val="top"/>
          </w:tcPr>
          <w:p>
            <w:pPr>
              <w:spacing w:before="248" w:line="228" w:lineRule="auto"/>
              <w:ind w:left="30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碳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达峰碳中和领域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194" w:type="dxa"/>
            <w:vAlign w:val="top"/>
          </w:tcPr>
          <w:p>
            <w:pPr>
              <w:spacing w:before="92" w:line="228" w:lineRule="auto"/>
              <w:ind w:left="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启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时</w:t>
            </w:r>
            <w:r>
              <w:rPr>
                <w:rFonts w:ascii="宋体" w:hAnsi="宋体" w:eastAsia="宋体" w:cs="宋体"/>
                <w:sz w:val="20"/>
                <w:szCs w:val="20"/>
              </w:rPr>
              <w:t>间</w:t>
            </w:r>
          </w:p>
        </w:tc>
        <w:tc>
          <w:tcPr>
            <w:tcW w:w="3325" w:type="dxa"/>
            <w:vAlign w:val="top"/>
          </w:tcPr>
          <w:p>
            <w:pPr>
              <w:spacing w:before="248" w:line="228" w:lineRule="auto"/>
              <w:ind w:left="9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24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月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宋体" w:hAnsi="宋体" w:eastAsia="宋体" w:cs="宋体"/>
                <w:sz w:val="20"/>
                <w:szCs w:val="20"/>
              </w:rPr>
              <w:t>日</w:t>
            </w:r>
          </w:p>
        </w:tc>
        <w:tc>
          <w:tcPr>
            <w:tcW w:w="1593" w:type="dxa"/>
            <w:vAlign w:val="center"/>
          </w:tcPr>
          <w:p>
            <w:pPr>
              <w:spacing w:before="92" w:line="229" w:lineRule="auto"/>
              <w:ind w:left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划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完成时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间</w:t>
            </w:r>
          </w:p>
        </w:tc>
        <w:tc>
          <w:tcPr>
            <w:tcW w:w="2854" w:type="dxa"/>
            <w:vAlign w:val="top"/>
          </w:tcPr>
          <w:p>
            <w:pPr>
              <w:spacing w:before="248" w:line="228" w:lineRule="auto"/>
              <w:ind w:left="5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2025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12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31 </w:t>
            </w:r>
            <w:r>
              <w:rPr>
                <w:rFonts w:ascii="宋体" w:hAnsi="宋体" w:eastAsia="宋体" w:cs="宋体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4" w:hRule="atLeast"/>
        </w:trPr>
        <w:tc>
          <w:tcPr>
            <w:tcW w:w="1194" w:type="dxa"/>
            <w:vAlign w:val="center"/>
          </w:tcPr>
          <w:p>
            <w:pPr>
              <w:spacing w:before="52" w:line="288" w:lineRule="auto"/>
              <w:ind w:right="4"/>
              <w:jc w:val="center"/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>榜 单 具 体 内 容</w:t>
            </w:r>
          </w:p>
        </w:tc>
        <w:tc>
          <w:tcPr>
            <w:tcW w:w="7772" w:type="dxa"/>
            <w:gridSpan w:val="3"/>
            <w:vAlign w:val="top"/>
          </w:tcPr>
          <w:p>
            <w:pPr>
              <w:spacing w:before="52" w:line="288" w:lineRule="auto"/>
              <w:ind w:left="9" w:right="4" w:firstLine="421"/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>技术方案主要是通过选择高校进行产学研合作，进行专业系统的基础研究工作， 明确生产的最佳造粒条件和预分解工艺参数；然后调研相关行业的知名企业，联合开 发本课题需求的工艺设备，主要核心设备是造粒和预分解装置；最终开展玻璃配合料 造粒及窑外预分解工艺的工程化应用并推广到行业内；</w:t>
            </w:r>
          </w:p>
          <w:p>
            <w:pPr>
              <w:spacing w:before="52" w:line="288" w:lineRule="auto"/>
              <w:ind w:left="9" w:right="4" w:firstLine="421"/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>技术性能指标：针对玻璃配合料的特殊特性，按照 100t/d 产能连续稳定生产造粒料，造粒成品率≥85% ，杂质金属元素引入≤30ppm；装置回收的热量 2774400Kcal/h, 烟气回收温度 800℃以上。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2" w:hRule="atLeast"/>
        </w:trPr>
        <w:tc>
          <w:tcPr>
            <w:tcW w:w="1194" w:type="dxa"/>
            <w:vAlign w:val="center"/>
          </w:tcPr>
          <w:p>
            <w:pPr>
              <w:spacing w:before="52" w:line="288" w:lineRule="auto"/>
              <w:ind w:right="4"/>
              <w:jc w:val="center"/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>榜单效益目 标</w:t>
            </w:r>
          </w:p>
        </w:tc>
        <w:tc>
          <w:tcPr>
            <w:tcW w:w="7772" w:type="dxa"/>
            <w:gridSpan w:val="3"/>
            <w:vAlign w:val="top"/>
          </w:tcPr>
          <w:p>
            <w:pPr>
              <w:spacing w:before="52" w:line="288" w:lineRule="auto"/>
              <w:ind w:left="9" w:right="4" w:firstLine="421"/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>通过本课题的开展，将玻璃配合料中的碳酸盐分解转移到玻璃熔窑之外进行，大 大地降低了玻璃配合料中的气体含量，有效提高了热量的传递，缩短了玻璃澄清、均 化的时间，提高了其单线产量，降低了能源消耗；大幅减少超细粉料飞散，减少对窑 炉耐材的侵蚀，延长窑炉使用寿命，同时更大程度的保证玻璃成分稳定和生产稳定，提高玻璃质量和成品率。</w:t>
            </w:r>
          </w:p>
          <w:p>
            <w:pPr>
              <w:spacing w:before="52" w:line="288" w:lineRule="auto"/>
              <w:ind w:left="9" w:right="4" w:firstLine="421"/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>经济效益：余热回收的热量为 1955000Kcal/h ，每小时节约的天然气为 181Nm3, 每年节约的天然气量 130.32 万 Nm3 ，每年节约的天然气费用 456. 12 万元；</w:t>
            </w:r>
          </w:p>
          <w:p>
            <w:pPr>
              <w:spacing w:before="52" w:line="288" w:lineRule="auto"/>
              <w:ind w:left="9" w:right="4" w:firstLine="421"/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>环保效益：年总节约标煤量 2854t,年减排 CO</w:t>
            </w: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 xml:space="preserve"> 量 7420t,年减排 SO</w:t>
            </w: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spacing w:val="12"/>
                <w:sz w:val="20"/>
                <w:szCs w:val="20"/>
              </w:rPr>
              <w:t xml:space="preserve"> 量 24t。</w:t>
            </w:r>
          </w:p>
        </w:tc>
      </w:tr>
    </w:tbl>
    <w:p>
      <w:pPr>
        <w:spacing w:before="52" w:line="288" w:lineRule="auto"/>
        <w:ind w:left="9" w:right="4" w:firstLine="421"/>
        <w:rPr>
          <w:rFonts w:hint="default" w:ascii="Times New Roman" w:hAnsi="Times New Roman" w:eastAsia="宋体" w:cs="Times New Roman"/>
          <w:spacing w:val="12"/>
          <w:sz w:val="20"/>
          <w:szCs w:val="20"/>
        </w:rPr>
      </w:pPr>
      <w:bookmarkStart w:id="0" w:name="_GoBack"/>
      <w:bookmarkEnd w:id="0"/>
    </w:p>
    <w:sectPr>
      <w:pgSz w:w="11906" w:h="16838"/>
      <w:pgMar w:top="1431" w:right="1467" w:bottom="0" w:left="146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E2YzYxYmUzYWRiYzBhOTY4NjVlNjE3OWQ5NTg4ZWYifQ=="/>
  </w:docVars>
  <w:rsids>
    <w:rsidRoot w:val="00000000"/>
    <w:rsid w:val="01D072B3"/>
    <w:rsid w:val="06144A75"/>
    <w:rsid w:val="2FB5C72F"/>
    <w:rsid w:val="5DF65333"/>
    <w:rsid w:val="D8EFA4A3"/>
    <w:rsid w:val="EABD4367"/>
    <w:rsid w:val="FAFF09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1582</Words>
  <Characters>1733</Characters>
  <TotalTime>3</TotalTime>
  <ScaleCrop>false</ScaleCrop>
  <LinksUpToDate>false</LinksUpToDate>
  <CharactersWithSpaces>1826</CharactersWithSpaces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2023-08-18T10:18:00Z</dcterms:created>
  <dc:creator>l</dc:creator>
  <cp:lastModifiedBy>greatwall</cp:lastModifiedBy>
  <dcterms:modified xsi:type="dcterms:W3CDTF">2023-10-26T19:25:41Z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2023-08-17T10:18:14Z</vt:filetime>
  </property>
  <property fmtid="{D5CDD505-2E9C-101B-9397-08002B2CF9AE}" pid="4" name="KSOProductBuildVer">
    <vt:lpwstr>2052-11.8.2.10125</vt:lpwstr>
  </property>
  <property fmtid="{D5CDD505-2E9C-101B-9397-08002B2CF9AE}" pid="5" name="ICV">
    <vt:lpwstr>F67FB02B1F0E41989175E82043A48361</vt:lpwstr>
  </property>
</Properties>
</file>