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sz w:val="44"/>
          <w:szCs w:val="44"/>
          <w:lang w:eastAsia="zh-CN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项目榜单</w:t>
      </w:r>
    </w:p>
    <w:tbl>
      <w:tblPr>
        <w:tblStyle w:val="13"/>
        <w:tblW w:w="501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1"/>
        <w:gridCol w:w="3443"/>
        <w:gridCol w:w="1618"/>
        <w:gridCol w:w="34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140" w:type="dxa"/>
            <w:vAlign w:val="center"/>
          </w:tcPr>
          <w:p>
            <w:pPr>
              <w:pStyle w:val="15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榜单名称</w:t>
            </w:r>
          </w:p>
        </w:tc>
        <w:tc>
          <w:tcPr>
            <w:tcW w:w="8519" w:type="dxa"/>
            <w:gridSpan w:val="3"/>
            <w:vAlign w:val="center"/>
          </w:tcPr>
          <w:p>
            <w:pPr>
              <w:pStyle w:val="15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普宁纺织服装产业数字化转型项目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140" w:type="dxa"/>
            <w:vAlign w:val="center"/>
          </w:tcPr>
          <w:p>
            <w:pPr>
              <w:pStyle w:val="15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专业领域及方向</w:t>
            </w:r>
          </w:p>
        </w:tc>
        <w:tc>
          <w:tcPr>
            <w:tcW w:w="8519" w:type="dxa"/>
            <w:gridSpan w:val="3"/>
            <w:vAlign w:val="center"/>
          </w:tcPr>
          <w:p>
            <w:pPr>
              <w:pStyle w:val="15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制造业数字化转型领域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140" w:type="dxa"/>
            <w:vAlign w:val="center"/>
          </w:tcPr>
          <w:p>
            <w:pPr>
              <w:pStyle w:val="15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启动时间</w:t>
            </w:r>
          </w:p>
        </w:tc>
        <w:tc>
          <w:tcPr>
            <w:tcW w:w="3440" w:type="dxa"/>
            <w:vAlign w:val="center"/>
          </w:tcPr>
          <w:p>
            <w:pPr>
              <w:pStyle w:val="15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2023年8月</w:t>
            </w:r>
          </w:p>
        </w:tc>
        <w:tc>
          <w:tcPr>
            <w:tcW w:w="1617" w:type="dxa"/>
            <w:vAlign w:val="center"/>
          </w:tcPr>
          <w:p>
            <w:pPr>
              <w:pStyle w:val="15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计划完成时间</w:t>
            </w:r>
          </w:p>
        </w:tc>
        <w:tc>
          <w:tcPr>
            <w:tcW w:w="3462" w:type="dxa"/>
            <w:vAlign w:val="center"/>
          </w:tcPr>
          <w:p>
            <w:pPr>
              <w:pStyle w:val="15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2026年7月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1140" w:type="dxa"/>
            <w:vAlign w:val="center"/>
          </w:tcPr>
          <w:p>
            <w:pPr>
              <w:pStyle w:val="15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项目内容</w:t>
            </w:r>
          </w:p>
        </w:tc>
        <w:tc>
          <w:tcPr>
            <w:tcW w:w="8519" w:type="dxa"/>
            <w:gridSpan w:val="3"/>
            <w:vAlign w:val="center"/>
          </w:tcPr>
          <w:p>
            <w:pPr>
              <w:pStyle w:val="4"/>
              <w:spacing w:before="0" w:after="0" w:line="240" w:lineRule="auto"/>
              <w:ind w:firstLine="421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bookmarkStart w:id="0" w:name="_Toc25611"/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（一）总体路径</w:t>
            </w:r>
            <w:bookmarkEnd w:id="0"/>
          </w:p>
          <w:p>
            <w:pPr>
              <w:pStyle w:val="4"/>
              <w:spacing w:before="0" w:after="0" w:line="240" w:lineRule="auto"/>
              <w:ind w:firstLine="420" w:firstLineChars="200"/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  <w:t>根据普宁纺织服装产业集群未来发展趋势，必须优化产业结构，从众多舢板聚集，逐步变成联合舰队，走数字化转型是必经之路。</w:t>
            </w:r>
          </w:p>
          <w:p>
            <w:pPr>
              <w:pStyle w:val="4"/>
              <w:spacing w:before="0" w:after="0" w:line="240" w:lineRule="auto"/>
              <w:ind w:firstLine="420" w:firstLineChars="200"/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  <w:t>1、打造关键环节，包括：仓配中心、裁剪中心、印花中心、智造大厂和卫星小场，紧密协同，并往“专精特新”发展；</w:t>
            </w:r>
          </w:p>
          <w:p>
            <w:pPr>
              <w:pStyle w:val="4"/>
              <w:spacing w:before="0" w:after="0" w:line="240" w:lineRule="auto"/>
              <w:ind w:firstLine="420" w:firstLineChars="200"/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  <w:t>2、打造普宁π型服装产业发展定位（一横：电商等渠道支撑多品类；两竖：重点打造两竖的规模规格类品类内裤和家居服的本地产业链深耕）；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3、当前最重要举措是“品质扩大订单、订单优化产业”，重点解决疏通成品电商和供货的瓶颈。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4、优先在底裤、T恤、家居服等规模类产品，从低价低品，变成低价好品，并逐步培养品牌。</w:t>
            </w:r>
          </w:p>
          <w:p>
            <w:pPr>
              <w:pStyle w:val="2"/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5、随着规模类产品放量，将带动本地对应面料厂家在染整和织造环节响应生产和备货，并与布仓中心相结合，降低仓储物流成本。</w:t>
            </w:r>
          </w:p>
          <w:p>
            <w:pPr>
              <w:pStyle w:val="4"/>
              <w:spacing w:before="0" w:after="0" w:line="240" w:lineRule="auto"/>
              <w:ind w:firstLine="421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bookmarkStart w:id="1" w:name="_Toc26670"/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（二）重点任务</w:t>
            </w:r>
            <w:bookmarkEnd w:id="1"/>
          </w:p>
          <w:p>
            <w:pPr>
              <w:pStyle w:val="4"/>
              <w:spacing w:before="0" w:after="0" w:line="240" w:lineRule="auto"/>
              <w:ind w:firstLine="420" w:firstLineChars="200"/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sz w:val="21"/>
                <w:szCs w:val="21"/>
                <w:lang w:eastAsia="zh-CN"/>
              </w:rPr>
              <w:t>根据总体路径，</w:t>
            </w:r>
            <w:r>
              <w:rPr>
                <w:rFonts w:hint="eastAsia" w:ascii="宋体" w:hAnsi="宋体" w:eastAsia="宋体" w:cs="宋体"/>
                <w:b w:val="0"/>
                <w:sz w:val="21"/>
                <w:szCs w:val="21"/>
                <w:lang w:eastAsia="zh-CN"/>
              </w:rPr>
              <w:t>通过打造数字化平台，以数字化串通产业链，提高集群资源配置能力、协作能力，帮助企业降本增效。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1、建设全产业链数字化协同服务平台，汇聚纺织服装行业资源，使每个相关供应链更加高效对接。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2、为供应链中小微建立产业生态聚集的新业态、新模式，以网络化协同弥补单个企业资源和能力不足，提高集群资源配置能力、生产管理协作能力，通过数字化平台帮助企业降本增效，打开销路；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3、依托平台探索基于业务、设备上云产生的真实业务场景、真实订单交易的供应链金融模式。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、聚合面辅料生产供应资源，在纺织和印染等环节加大自动化和数字化改造，打造织染平台，发展云打版、云设计、云工厂等供应链柔性服务，重点支持数码印制提升打版环节效率、降低污染，形成智能制造为方向的柔性快反供应链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5、围绕服装和面料的交易环节改变现有专业市场为主的业态，将多种类型的数字化渠道融入产业链平台，以数字化疏通产业链，构建纺织服装行业新发展格局。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1140" w:type="dxa"/>
            <w:vAlign w:val="center"/>
          </w:tcPr>
          <w:p>
            <w:pPr>
              <w:pStyle w:val="15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项目目标</w:t>
            </w:r>
          </w:p>
        </w:tc>
        <w:tc>
          <w:tcPr>
            <w:tcW w:w="8519" w:type="dxa"/>
            <w:gridSpan w:val="3"/>
            <w:vAlign w:val="center"/>
          </w:tcPr>
          <w:p>
            <w:pPr>
              <w:pStyle w:val="2"/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字化解决方案覆盖产业集群内纺纱、织造、印染、成衣设计加工等企业类型，打造3个以上不同类型、各具特色的转型标杆案例；服务20家以上企业数字化转型，在降低运营成本、提升产品质量、增加优质订单等方面取得明显效果，助推纺织服装产业快速发展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1.构建消费渠道端的新模式，聚合纺织服装细分行业订单，拉动鞋帽、配饰等时尚穿戴品类发展。</w:t>
            </w:r>
            <w:bookmarkStart w:id="2" w:name="_GoBack"/>
            <w:bookmarkEnd w:id="2"/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2.面向纺织服装细分行业构建设计为中心环节的产业运作模式样例，数字化重构产业链。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3.建设面向各纺织服装细分行业的柔性绿色生产模式，建立数字化/智能化平台，向能支撑服装矩阵的大格局、大生态、大平台发展升级。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4.重构面辅料市场数字化，集中商品信息，统一分类检索，协同区内和区外物流体系。</w:t>
            </w:r>
          </w:p>
          <w:p>
            <w:pPr>
              <w:spacing w:line="24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5.打通面料织染环节，推动织染环节数字化，供应链系统数字化延伸到织染，并深入纤维材料环节；加强织染数字化平台建设承上启下。</w:t>
            </w:r>
          </w:p>
        </w:tc>
      </w:tr>
    </w:tbl>
    <w:p>
      <w:pPr>
        <w:rPr>
          <w:rFonts w:ascii="仿宋" w:hAnsi="仿宋" w:eastAsia="仿宋"/>
          <w:b/>
          <w:sz w:val="32"/>
          <w:szCs w:val="32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 Light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4ZmIyOTY0MzhlMDZmNTUyNTExMDYwNGM4Y2UwZWYifQ=="/>
  </w:docVars>
  <w:rsids>
    <w:rsidRoot w:val="00962460"/>
    <w:rsid w:val="000141D1"/>
    <w:rsid w:val="000200D7"/>
    <w:rsid w:val="00023E6B"/>
    <w:rsid w:val="00054788"/>
    <w:rsid w:val="0007158C"/>
    <w:rsid w:val="000A0832"/>
    <w:rsid w:val="000B2A73"/>
    <w:rsid w:val="000C4C0A"/>
    <w:rsid w:val="000D7682"/>
    <w:rsid w:val="00101175"/>
    <w:rsid w:val="001618DC"/>
    <w:rsid w:val="00166D2C"/>
    <w:rsid w:val="0018066E"/>
    <w:rsid w:val="001B02EE"/>
    <w:rsid w:val="001B4D0F"/>
    <w:rsid w:val="00200EDD"/>
    <w:rsid w:val="002025F2"/>
    <w:rsid w:val="002119DE"/>
    <w:rsid w:val="00221B07"/>
    <w:rsid w:val="002237C5"/>
    <w:rsid w:val="002415B5"/>
    <w:rsid w:val="00245EA8"/>
    <w:rsid w:val="0025041A"/>
    <w:rsid w:val="00263121"/>
    <w:rsid w:val="00280FC7"/>
    <w:rsid w:val="0029034F"/>
    <w:rsid w:val="002938A4"/>
    <w:rsid w:val="002A6F47"/>
    <w:rsid w:val="002B658F"/>
    <w:rsid w:val="002D28CA"/>
    <w:rsid w:val="00302870"/>
    <w:rsid w:val="00310C09"/>
    <w:rsid w:val="00314A55"/>
    <w:rsid w:val="003636C9"/>
    <w:rsid w:val="003903B8"/>
    <w:rsid w:val="00397DB6"/>
    <w:rsid w:val="003C7C4F"/>
    <w:rsid w:val="003C7DBC"/>
    <w:rsid w:val="003F5F73"/>
    <w:rsid w:val="0041491A"/>
    <w:rsid w:val="0042022C"/>
    <w:rsid w:val="00445A89"/>
    <w:rsid w:val="00471A9C"/>
    <w:rsid w:val="004B51E6"/>
    <w:rsid w:val="004C0DF0"/>
    <w:rsid w:val="004D6F69"/>
    <w:rsid w:val="0050393B"/>
    <w:rsid w:val="005136E3"/>
    <w:rsid w:val="00524E0C"/>
    <w:rsid w:val="00531D29"/>
    <w:rsid w:val="00552CE2"/>
    <w:rsid w:val="00587E9A"/>
    <w:rsid w:val="005B296F"/>
    <w:rsid w:val="005B542D"/>
    <w:rsid w:val="005C04FF"/>
    <w:rsid w:val="005C1F77"/>
    <w:rsid w:val="005D38CA"/>
    <w:rsid w:val="005D6061"/>
    <w:rsid w:val="005F6CD7"/>
    <w:rsid w:val="0060246D"/>
    <w:rsid w:val="00604D0E"/>
    <w:rsid w:val="00613431"/>
    <w:rsid w:val="00634C60"/>
    <w:rsid w:val="00676F93"/>
    <w:rsid w:val="006B4654"/>
    <w:rsid w:val="006B787C"/>
    <w:rsid w:val="006D6160"/>
    <w:rsid w:val="007014BD"/>
    <w:rsid w:val="007020F0"/>
    <w:rsid w:val="00715996"/>
    <w:rsid w:val="00772C22"/>
    <w:rsid w:val="007833FA"/>
    <w:rsid w:val="007E3744"/>
    <w:rsid w:val="007F0EB8"/>
    <w:rsid w:val="0083354F"/>
    <w:rsid w:val="008819CE"/>
    <w:rsid w:val="008835B8"/>
    <w:rsid w:val="00911721"/>
    <w:rsid w:val="00915607"/>
    <w:rsid w:val="00951775"/>
    <w:rsid w:val="00951BD9"/>
    <w:rsid w:val="00952F69"/>
    <w:rsid w:val="00953A62"/>
    <w:rsid w:val="00962460"/>
    <w:rsid w:val="009A514C"/>
    <w:rsid w:val="009C1D57"/>
    <w:rsid w:val="00A02F16"/>
    <w:rsid w:val="00A10C26"/>
    <w:rsid w:val="00A35263"/>
    <w:rsid w:val="00A632DC"/>
    <w:rsid w:val="00A83160"/>
    <w:rsid w:val="00A9140F"/>
    <w:rsid w:val="00AA66AD"/>
    <w:rsid w:val="00AD511D"/>
    <w:rsid w:val="00AF1C26"/>
    <w:rsid w:val="00AF6198"/>
    <w:rsid w:val="00B07F14"/>
    <w:rsid w:val="00B13980"/>
    <w:rsid w:val="00B20015"/>
    <w:rsid w:val="00B43BD0"/>
    <w:rsid w:val="00B43E1A"/>
    <w:rsid w:val="00B74C5D"/>
    <w:rsid w:val="00B8158F"/>
    <w:rsid w:val="00B94D88"/>
    <w:rsid w:val="00BA42FB"/>
    <w:rsid w:val="00BA59A2"/>
    <w:rsid w:val="00BD2455"/>
    <w:rsid w:val="00C07B4C"/>
    <w:rsid w:val="00C37A20"/>
    <w:rsid w:val="00C40847"/>
    <w:rsid w:val="00C46DAD"/>
    <w:rsid w:val="00C532FE"/>
    <w:rsid w:val="00C67EB1"/>
    <w:rsid w:val="00C7118C"/>
    <w:rsid w:val="00C74919"/>
    <w:rsid w:val="00C81F1B"/>
    <w:rsid w:val="00C92D05"/>
    <w:rsid w:val="00CB4492"/>
    <w:rsid w:val="00CF0BD4"/>
    <w:rsid w:val="00D033A8"/>
    <w:rsid w:val="00D63405"/>
    <w:rsid w:val="00D74F26"/>
    <w:rsid w:val="00D80D53"/>
    <w:rsid w:val="00DE3D8E"/>
    <w:rsid w:val="00DE460A"/>
    <w:rsid w:val="00E00C78"/>
    <w:rsid w:val="00E36A1E"/>
    <w:rsid w:val="00E45890"/>
    <w:rsid w:val="00E46D46"/>
    <w:rsid w:val="00E60DA5"/>
    <w:rsid w:val="00E621FC"/>
    <w:rsid w:val="00E91BF4"/>
    <w:rsid w:val="00EB651A"/>
    <w:rsid w:val="00EC3F60"/>
    <w:rsid w:val="00EE5F72"/>
    <w:rsid w:val="00F16292"/>
    <w:rsid w:val="00F336AA"/>
    <w:rsid w:val="00F338AF"/>
    <w:rsid w:val="00F52A0B"/>
    <w:rsid w:val="00F63943"/>
    <w:rsid w:val="00F6449E"/>
    <w:rsid w:val="00F77116"/>
    <w:rsid w:val="00F8286E"/>
    <w:rsid w:val="00FA5EE4"/>
    <w:rsid w:val="00FC361C"/>
    <w:rsid w:val="00FD09FD"/>
    <w:rsid w:val="05CE724E"/>
    <w:rsid w:val="12C510E1"/>
    <w:rsid w:val="1AED0D17"/>
    <w:rsid w:val="22FFE8BE"/>
    <w:rsid w:val="2ADE90D6"/>
    <w:rsid w:val="312A1BA6"/>
    <w:rsid w:val="3AA53E4C"/>
    <w:rsid w:val="3E933A66"/>
    <w:rsid w:val="54927A55"/>
    <w:rsid w:val="65FB383F"/>
    <w:rsid w:val="6995118D"/>
    <w:rsid w:val="6BD13A7E"/>
    <w:rsid w:val="8CFFBDAB"/>
    <w:rsid w:val="AFEF5395"/>
    <w:rsid w:val="E5D7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2"/>
    <w:qFormat/>
    <w:uiPriority w:val="9"/>
    <w:pPr>
      <w:ind w:left="193" w:right="279"/>
      <w:jc w:val="center"/>
      <w:outlineLvl w:val="0"/>
    </w:pPr>
    <w:rPr>
      <w:sz w:val="43"/>
      <w:szCs w:val="43"/>
    </w:rPr>
  </w:style>
  <w:style w:type="paragraph" w:styleId="4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1"/>
    <w:rPr>
      <w:sz w:val="31"/>
      <w:szCs w:val="31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标题 1 字符"/>
    <w:basedOn w:val="10"/>
    <w:link w:val="3"/>
    <w:qFormat/>
    <w:uiPriority w:val="9"/>
    <w:rPr>
      <w:rFonts w:ascii="宋体" w:hAnsi="宋体" w:eastAsia="宋体" w:cs="宋体"/>
      <w:kern w:val="0"/>
      <w:sz w:val="43"/>
      <w:szCs w:val="43"/>
      <w:lang w:eastAsia="en-US"/>
    </w:rPr>
  </w:style>
  <w:style w:type="table" w:customStyle="1" w:styleId="13">
    <w:name w:val="Table Normal"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正文文本 字符"/>
    <w:basedOn w:val="10"/>
    <w:link w:val="2"/>
    <w:qFormat/>
    <w:uiPriority w:val="1"/>
    <w:rPr>
      <w:rFonts w:ascii="宋体" w:hAnsi="宋体" w:eastAsia="宋体" w:cs="宋体"/>
      <w:kern w:val="0"/>
      <w:sz w:val="31"/>
      <w:szCs w:val="31"/>
      <w:lang w:eastAsia="en-US"/>
    </w:rPr>
  </w:style>
  <w:style w:type="paragraph" w:customStyle="1" w:styleId="15">
    <w:name w:val="Table Paragraph"/>
    <w:basedOn w:val="1"/>
    <w:qFormat/>
    <w:uiPriority w:val="1"/>
  </w:style>
  <w:style w:type="character" w:customStyle="1" w:styleId="16">
    <w:name w:val="页眉 字符"/>
    <w:basedOn w:val="10"/>
    <w:link w:val="7"/>
    <w:qFormat/>
    <w:uiPriority w:val="99"/>
    <w:rPr>
      <w:rFonts w:ascii="宋体" w:hAnsi="宋体" w:eastAsia="宋体" w:cs="宋体"/>
      <w:kern w:val="0"/>
      <w:sz w:val="18"/>
      <w:szCs w:val="18"/>
      <w:lang w:eastAsia="en-US"/>
    </w:rPr>
  </w:style>
  <w:style w:type="character" w:customStyle="1" w:styleId="17">
    <w:name w:val="页脚 字符"/>
    <w:basedOn w:val="10"/>
    <w:link w:val="6"/>
    <w:qFormat/>
    <w:uiPriority w:val="99"/>
    <w:rPr>
      <w:rFonts w:ascii="宋体" w:hAnsi="宋体" w:eastAsia="宋体" w:cs="宋体"/>
      <w:kern w:val="0"/>
      <w:sz w:val="18"/>
      <w:szCs w:val="18"/>
      <w:lang w:eastAsia="en-US"/>
    </w:rPr>
  </w:style>
  <w:style w:type="character" w:customStyle="1" w:styleId="18">
    <w:name w:val="标题 2 字符"/>
    <w:basedOn w:val="10"/>
    <w:link w:val="4"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  <w:lang w:eastAsia="en-US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="宋体" w:hAnsi="宋体" w:eastAsia="宋体" w:cs="宋体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330</Words>
  <Characters>1886</Characters>
  <Lines>15</Lines>
  <Paragraphs>4</Paragraphs>
  <TotalTime>1</TotalTime>
  <ScaleCrop>false</ScaleCrop>
  <LinksUpToDate>false</LinksUpToDate>
  <CharactersWithSpaces>2212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2023-09-14T16:10:00Z</dcterms:created>
  <dc:creator>Michael Weng</dc:creator>
  <cp:lastModifiedBy>greatwall</cp:lastModifiedBy>
  <cp:lastPrinted>2023-08-10T16:57:00Z</cp:lastPrinted>
  <dcterms:modified xsi:type="dcterms:W3CDTF">2023-10-26T19:06:39Z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0F5AED0A9F464BD8BEAACA3624A9CA54_13</vt:lpwstr>
  </property>
</Properties>
</file>