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</w:pPr>
    </w:p>
    <w:p>
      <w:pPr>
        <w:spacing w:line="560" w:lineRule="exact"/>
        <w:jc w:val="center"/>
        <w:rPr>
          <w:rFonts w:ascii="微软雅黑" w:hAnsi="微软雅黑" w:eastAsia="微软雅黑" w:cs="微软雅黑"/>
          <w:spacing w:val="8"/>
          <w:sz w:val="43"/>
          <w:szCs w:val="43"/>
        </w:rPr>
      </w:pPr>
      <w:r>
        <w:rPr>
          <w:rFonts w:hint="eastAsia" w:ascii="微软雅黑" w:hAnsi="微软雅黑" w:eastAsia="微软雅黑" w:cs="微软雅黑"/>
          <w:spacing w:val="10"/>
          <w:sz w:val="43"/>
          <w:szCs w:val="43"/>
        </w:rPr>
        <w:t>项目</w:t>
      </w:r>
      <w:r>
        <w:rPr>
          <w:rFonts w:ascii="微软雅黑" w:hAnsi="微软雅黑" w:eastAsia="微软雅黑" w:cs="微软雅黑"/>
          <w:spacing w:val="10"/>
          <w:sz w:val="43"/>
          <w:szCs w:val="43"/>
        </w:rPr>
        <w:t>榜</w:t>
      </w:r>
      <w:r>
        <w:rPr>
          <w:rFonts w:ascii="微软雅黑" w:hAnsi="微软雅黑" w:eastAsia="微软雅黑" w:cs="微软雅黑"/>
          <w:spacing w:val="8"/>
          <w:sz w:val="43"/>
          <w:szCs w:val="43"/>
        </w:rPr>
        <w:t>单</w:t>
      </w:r>
    </w:p>
    <w:tbl>
      <w:tblPr>
        <w:tblStyle w:val="6"/>
        <w:tblW w:w="5006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4377"/>
        <w:gridCol w:w="1591"/>
        <w:gridCol w:w="286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138" w:type="dxa"/>
            <w:vAlign w:val="center"/>
          </w:tcPr>
          <w:p>
            <w:pPr>
              <w:kinsoku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pacing w:val="9"/>
              </w:rPr>
              <w:t>榜</w:t>
            </w:r>
            <w:r>
              <w:rPr>
                <w:rFonts w:ascii="Times New Roman" w:hAnsi="Times New Roman" w:eastAsia="宋体" w:cs="Times New Roman"/>
                <w:spacing w:val="7"/>
              </w:rPr>
              <w:t>单名称</w:t>
            </w:r>
          </w:p>
        </w:tc>
        <w:tc>
          <w:tcPr>
            <w:tcW w:w="8831" w:type="dxa"/>
            <w:gridSpan w:val="3"/>
            <w:vAlign w:val="center"/>
          </w:tcPr>
          <w:p>
            <w:pPr>
              <w:kinsoku/>
              <w:jc w:val="center"/>
              <w:rPr>
                <w:rFonts w:ascii="Times New Roman" w:hAnsi="Times New Roman" w:eastAsia="宋体" w:cs="Times New Roman"/>
                <w:spacing w:val="17"/>
              </w:rPr>
            </w:pPr>
            <w:r>
              <w:rPr>
                <w:rFonts w:ascii="Times New Roman" w:hAnsi="Times New Roman" w:eastAsia="宋体" w:cs="Times New Roman"/>
                <w:spacing w:val="17"/>
              </w:rPr>
              <w:t>深圳市发电行业智能电厂数字化转型整体解决方案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138" w:type="dxa"/>
            <w:vAlign w:val="center"/>
          </w:tcPr>
          <w:p>
            <w:pPr>
              <w:kinsoku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pacing w:val="12"/>
              </w:rPr>
              <w:t>专</w:t>
            </w:r>
            <w:r>
              <w:rPr>
                <w:rFonts w:ascii="Times New Roman" w:hAnsi="Times New Roman" w:eastAsia="宋体" w:cs="Times New Roman"/>
                <w:spacing w:val="8"/>
              </w:rPr>
              <w:t>业领域及方向</w:t>
            </w:r>
          </w:p>
        </w:tc>
        <w:tc>
          <w:tcPr>
            <w:tcW w:w="8831" w:type="dxa"/>
            <w:gridSpan w:val="3"/>
            <w:vAlign w:val="center"/>
          </w:tcPr>
          <w:p>
            <w:pPr>
              <w:kinsoku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制造业数字化转型领域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138" w:type="dxa"/>
            <w:vAlign w:val="center"/>
          </w:tcPr>
          <w:p>
            <w:pPr>
              <w:kinsoku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pacing w:val="7"/>
              </w:rPr>
              <w:t>启</w:t>
            </w:r>
            <w:r>
              <w:rPr>
                <w:rFonts w:ascii="Times New Roman" w:hAnsi="Times New Roman" w:eastAsia="宋体" w:cs="Times New Roman"/>
                <w:spacing w:val="6"/>
              </w:rPr>
              <w:t>动时间</w:t>
            </w:r>
          </w:p>
        </w:tc>
        <w:tc>
          <w:tcPr>
            <w:tcW w:w="4375" w:type="dxa"/>
            <w:vAlign w:val="center"/>
          </w:tcPr>
          <w:p>
            <w:pPr>
              <w:kinsoku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2023年10月</w:t>
            </w:r>
          </w:p>
        </w:tc>
        <w:tc>
          <w:tcPr>
            <w:tcW w:w="1590" w:type="dxa"/>
            <w:vAlign w:val="center"/>
          </w:tcPr>
          <w:p>
            <w:pPr>
              <w:kinsoku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pacing w:val="10"/>
              </w:rPr>
              <w:t>计</w:t>
            </w:r>
            <w:r>
              <w:rPr>
                <w:rFonts w:ascii="Times New Roman" w:hAnsi="Times New Roman" w:eastAsia="宋体" w:cs="Times New Roman"/>
                <w:spacing w:val="8"/>
              </w:rPr>
              <w:t>划完成时间</w:t>
            </w:r>
          </w:p>
        </w:tc>
        <w:tc>
          <w:tcPr>
            <w:tcW w:w="2866" w:type="dxa"/>
            <w:vAlign w:val="center"/>
          </w:tcPr>
          <w:p>
            <w:pPr>
              <w:kinsoku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2026年10月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1138" w:type="dxa"/>
            <w:vAlign w:val="center"/>
          </w:tcPr>
          <w:p>
            <w:pPr>
              <w:kinsoku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pacing w:val="8"/>
              </w:rPr>
              <w:t>项</w:t>
            </w:r>
            <w:r>
              <w:rPr>
                <w:rFonts w:ascii="Times New Roman" w:hAnsi="Times New Roman" w:eastAsia="宋体" w:cs="Times New Roman"/>
                <w:spacing w:val="6"/>
              </w:rPr>
              <w:t>目内容</w:t>
            </w:r>
          </w:p>
        </w:tc>
        <w:tc>
          <w:tcPr>
            <w:tcW w:w="8831" w:type="dxa"/>
            <w:gridSpan w:val="3"/>
            <w:vAlign w:val="center"/>
          </w:tcPr>
          <w:p>
            <w:pPr>
              <w:kinsoku/>
              <w:ind w:firstLine="420" w:firstLineChars="200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依托平台能力，集中技术力量协同研发打造生产运维智能应用及生产管理智能应用，利用平台的集成能力以及可拓展性，构建以自有产品为中心的智能电厂生态圈。</w:t>
            </w:r>
          </w:p>
          <w:p>
            <w:pPr>
              <w:kinsoku/>
              <w:ind w:firstLine="420" w:firstLineChars="200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研究并建设智能电厂智能电厂低代码数智中台、工业互联网平台、生产运维智能应用以及生产管理智能应用，产品内容包括：</w:t>
            </w:r>
          </w:p>
          <w:p>
            <w:pPr>
              <w:kinsoku/>
              <w:ind w:firstLine="420" w:firstLineChars="200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①</w:t>
            </w:r>
            <w:r>
              <w:rPr>
                <w:rFonts w:ascii="Times New Roman" w:hAnsi="Times New Roman" w:eastAsia="宋体" w:cs="Times New Roman"/>
              </w:rPr>
              <w:t>开发智能电厂低代码数智中台，构建规范化、标准化的支撑平台，实现设备数字化信息模型的定义与构建、实体与虚拟模型的接口映射和数据交互、可视化的低代码建模等服务，为各类智能应用的开发实施提供建平台基础；</w:t>
            </w:r>
          </w:p>
          <w:p>
            <w:pPr>
              <w:kinsoku/>
              <w:ind w:firstLine="420" w:firstLineChars="200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②</w:t>
            </w:r>
            <w:r>
              <w:rPr>
                <w:rFonts w:ascii="Times New Roman" w:hAnsi="Times New Roman" w:eastAsia="宋体" w:cs="Times New Roman"/>
              </w:rPr>
              <w:t>基于智能电厂低代码数智中台，开发一系列生产运维智能应用，提高设备运行安全性与经济性，包括设备智能预警及故障诊断、智能监盘、启停监督、能效监测及优化、冷端优化、压气机水洗优化、负荷分配优化、智能经营决策等应用模块。</w:t>
            </w:r>
          </w:p>
          <w:p>
            <w:pPr>
              <w:kinsoku/>
              <w:ind w:firstLine="420" w:firstLineChars="200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③</w:t>
            </w:r>
            <w:r>
              <w:rPr>
                <w:rFonts w:ascii="Times New Roman" w:hAnsi="Times New Roman" w:eastAsia="宋体" w:cs="Times New Roman"/>
              </w:rPr>
              <w:t>工业互联网平台帮助打通设备管控到企业资源信息化管理，一站式提供：数据采集、设备管控、企业流程管控、信息化管理等服务，为智慧工业赋能。通过工业互联网平台提供的互联网+、大数据、物联网、移动应用、人工智能等技术手段，将全部信息整合到统一的数据中心，消除信息孤岛，实现智慧管控一体化，打造更加经济、安全、环保、高效、先进的智慧型电厂。</w:t>
            </w:r>
          </w:p>
          <w:p>
            <w:pPr>
              <w:kinsoku/>
              <w:ind w:firstLine="420" w:firstLineChars="200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</w:rPr>
              <w:t>④</w:t>
            </w:r>
            <w:r>
              <w:rPr>
                <w:rFonts w:ascii="Times New Roman" w:hAnsi="Times New Roman" w:eastAsia="宋体" w:cs="Times New Roman"/>
              </w:rPr>
              <w:t>基于工业互联网平台的生产管理智能应用特色功能包括：智能安全管理、智能运行管理、智能设备管理、智能物资管理、三维数字化移交等。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1" w:hRule="atLeast"/>
        </w:trPr>
        <w:tc>
          <w:tcPr>
            <w:tcW w:w="1138" w:type="dxa"/>
            <w:vAlign w:val="center"/>
          </w:tcPr>
          <w:p>
            <w:pPr>
              <w:kinsoku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spacing w:val="-15"/>
              </w:rPr>
              <w:t>项</w:t>
            </w:r>
            <w:r>
              <w:rPr>
                <w:rFonts w:ascii="Times New Roman" w:hAnsi="Times New Roman" w:eastAsia="宋体" w:cs="Times New Roman"/>
                <w:spacing w:val="-11"/>
              </w:rPr>
              <w:t>目目标</w:t>
            </w:r>
          </w:p>
        </w:tc>
        <w:tc>
          <w:tcPr>
            <w:tcW w:w="8831" w:type="dxa"/>
            <w:gridSpan w:val="3"/>
            <w:vAlign w:val="center"/>
          </w:tcPr>
          <w:p>
            <w:pPr>
              <w:kinsoku/>
              <w:ind w:firstLine="420" w:firstLineChars="200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聚焦智能设备、智能运行、生产监控等重点业务需求，高质量开展系统一体化设计、实施及完善提升，实现全模块、全组织的覆盖，流程数据互联互通，系统高频有效使用，夯实“电厂业务线上运作”。对具备条件的电厂/企业以数字化技术改造提升电厂生产环节，实现三维设计建模与数字化移交试点应用。最终达到以下建设目标：</w:t>
            </w:r>
          </w:p>
          <w:p>
            <w:pPr>
              <w:numPr>
                <w:ilvl w:val="0"/>
                <w:numId w:val="1"/>
              </w:numPr>
              <w:kinsoku/>
              <w:ind w:left="0" w:firstLine="420" w:firstLineChars="200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在信息传递方式方面把电厂设备与工业互联网相连接，进行信息交换和通信，实现对物体的智能化识别、定位、跟踪、监控和管理，管理者可以轻松管理与控制大规模数据；</w:t>
            </w:r>
          </w:p>
          <w:p>
            <w:pPr>
              <w:numPr>
                <w:ilvl w:val="0"/>
                <w:numId w:val="1"/>
              </w:numPr>
              <w:kinsoku/>
              <w:ind w:left="0" w:firstLine="420" w:firstLineChars="200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在信息化建设方面通过信息管理系统与物联网建设，将企业的物流、资金流和信息流整合管理，对企业所拥有的人力、资金、材料、设备、方法(生产技术)、信息和时间等各项资源进行综合平衡和充分考虑，科学有效地管理企业人、财、物、产、供、销等各项具体业务，实现生产控制、安全控制与数据管理。以最大限度利用企业的现有资源，取得最大的经济效益；</w:t>
            </w:r>
          </w:p>
          <w:p>
            <w:pPr>
              <w:numPr>
                <w:ilvl w:val="0"/>
                <w:numId w:val="1"/>
              </w:numPr>
              <w:kinsoku/>
              <w:ind w:left="0" w:firstLine="420" w:firstLineChars="200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在安全可靠性方面大幅提高安全可靠性，通过物联网、人员定位构建预警体系、信息化体系与安全制度的建设，做到有效防范和控制各种风险，增强风险意识，提高风险管控能力，使企业逐渐趋近于本质安全的水平；</w:t>
            </w:r>
          </w:p>
          <w:p>
            <w:pPr>
              <w:numPr>
                <w:ilvl w:val="0"/>
                <w:numId w:val="1"/>
              </w:numPr>
              <w:kinsoku/>
              <w:ind w:left="0" w:firstLine="420" w:firstLineChars="200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在设备维护方面通过大数据分析和人工智能技术，密切关注数据变化，综合分析设备状态，进行设备故障预警和自动诊断设备事故；</w:t>
            </w:r>
          </w:p>
          <w:p>
            <w:pPr>
              <w:numPr>
                <w:ilvl w:val="0"/>
                <w:numId w:val="1"/>
              </w:numPr>
              <w:kinsoku/>
              <w:ind w:left="0" w:firstLine="420" w:firstLineChars="200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在电力市场交易方面，通过电厂运营实时成本核算，结合“专家+算力”以及本地化经营策略的有机融合，实现电力现货市场、中长交易市场规则以及专家知识的数字化智能化应用，最终实现电力交易的最优决策，协助电厂创造更高的经济效益；</w:t>
            </w:r>
          </w:p>
          <w:p>
            <w:pPr>
              <w:numPr>
                <w:ilvl w:val="0"/>
                <w:numId w:val="1"/>
              </w:numPr>
              <w:kinsoku/>
              <w:ind w:left="0" w:firstLine="420" w:firstLineChars="200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在员工能力方面，在管理理念、人才队伍建设上强调建立学习型组织，在技术进步、管理创新上与社会各方深度合作、各展所长，通过合作提升电厂员工的学习能力，为进一步创新奠定基础；</w:t>
            </w:r>
          </w:p>
          <w:p>
            <w:pPr>
              <w:kinsoku/>
              <w:ind w:firstLine="420" w:firstLineChars="200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在电厂效益方面无论在经济效益还是在社会效益方面，智能电厂将达到远胜过同类型同级别的传统电厂。通过智能电厂数字化转型整体解决方案的揭榜实施，将打造智能电厂示范基地1-2个，进一步可推广至全市各区火力、环保发电厂，服务企业10家以上。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31" w:right="918" w:bottom="1309" w:left="1032" w:header="0" w:footer="102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925"/>
      <w:rPr>
        <w:rFonts w:ascii="仿宋" w:hAnsi="仿宋" w:eastAsia="仿宋" w:cs="仿宋"/>
        <w:sz w:val="28"/>
        <w:szCs w:val="28"/>
      </w:rPr>
    </w:pPr>
    <w:r>
      <w:rPr>
        <w:rFonts w:ascii="仿宋" w:hAnsi="仿宋" w:eastAsia="仿宋" w:cs="仿宋"/>
        <w:sz w:val="28"/>
        <w:szCs w:val="28"/>
      </w:rPr>
      <w:t>-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E3E78E"/>
    <w:multiLevelType w:val="singleLevel"/>
    <w:tmpl w:val="7AE3E78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displayBackgroundShape w:val="true"/>
  <w:bordersDoNotSurroundHeader w:val="true"/>
  <w:bordersDoNotSurroundFooter w:val="true"/>
  <w:documentProtection w:enforcement="0"/>
  <w:defaultTabStop w:val="420"/>
  <w:noPunctuationKerning w:val="true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mZiOTA0YjliMWQyOGZmNzE3ZTVkZGVhYTM1MTM2NTAifQ=="/>
  </w:docVars>
  <w:rsids>
    <w:rsidRoot w:val="00BF57FD"/>
    <w:rsid w:val="0007766F"/>
    <w:rsid w:val="00092DE0"/>
    <w:rsid w:val="000D6404"/>
    <w:rsid w:val="001B2448"/>
    <w:rsid w:val="00331F08"/>
    <w:rsid w:val="003477DC"/>
    <w:rsid w:val="00375006"/>
    <w:rsid w:val="00440C6C"/>
    <w:rsid w:val="00472550"/>
    <w:rsid w:val="004B53BA"/>
    <w:rsid w:val="00500787"/>
    <w:rsid w:val="00552203"/>
    <w:rsid w:val="0064369F"/>
    <w:rsid w:val="0068552F"/>
    <w:rsid w:val="007B3823"/>
    <w:rsid w:val="007B551C"/>
    <w:rsid w:val="00977045"/>
    <w:rsid w:val="00A16A91"/>
    <w:rsid w:val="00A36663"/>
    <w:rsid w:val="00B634C5"/>
    <w:rsid w:val="00BF57FD"/>
    <w:rsid w:val="00DD76AC"/>
    <w:rsid w:val="00E77195"/>
    <w:rsid w:val="00EC7ED2"/>
    <w:rsid w:val="00F70D9A"/>
    <w:rsid w:val="00F8167E"/>
    <w:rsid w:val="072F5ACF"/>
    <w:rsid w:val="0B3411E8"/>
    <w:rsid w:val="0D5750F2"/>
    <w:rsid w:val="1DAF7BF1"/>
    <w:rsid w:val="21E07055"/>
    <w:rsid w:val="231453DF"/>
    <w:rsid w:val="2D483DC1"/>
    <w:rsid w:val="2FCA4873"/>
    <w:rsid w:val="3E3957C3"/>
    <w:rsid w:val="3FEF0589"/>
    <w:rsid w:val="40710EFB"/>
    <w:rsid w:val="52BC6534"/>
    <w:rsid w:val="56120816"/>
    <w:rsid w:val="5EDF9E34"/>
    <w:rsid w:val="677BD2A9"/>
    <w:rsid w:val="6BE925BA"/>
    <w:rsid w:val="769E3364"/>
    <w:rsid w:val="78BFC4BC"/>
    <w:rsid w:val="CEFF166F"/>
    <w:rsid w:val="EFA728B9"/>
    <w:rsid w:val="F7FE6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5"/>
    <w:link w:val="3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427</Words>
  <Characters>2435</Characters>
  <Lines>20</Lines>
  <Paragraphs>5</Paragraphs>
  <TotalTime>0</TotalTime>
  <ScaleCrop>false</ScaleCrop>
  <LinksUpToDate>false</LinksUpToDate>
  <CharactersWithSpaces>2857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2023-08-04T00:00:00Z</dcterms:created>
  <dc:creator>Data</dc:creator>
  <cp:lastModifiedBy>greatwall</cp:lastModifiedBy>
  <cp:lastPrinted>2023-08-04T23:21:00Z</cp:lastPrinted>
  <dcterms:modified xsi:type="dcterms:W3CDTF">2023-10-26T19:13:32Z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2023-08-02T14:35:35Z</vt:filetime>
  </property>
  <property fmtid="{D5CDD505-2E9C-101B-9397-08002B2CF9AE}" pid="4" name="UsrData">
    <vt:lpwstr>64c9f92a39f1df001f54f7cb</vt:lpwstr>
  </property>
  <property fmtid="{D5CDD505-2E9C-101B-9397-08002B2CF9AE}" pid="5" name="KSOProductBuildVer">
    <vt:lpwstr>2052-11.8.2.10125</vt:lpwstr>
  </property>
  <property fmtid="{D5CDD505-2E9C-101B-9397-08002B2CF9AE}" pid="6" name="ICV">
    <vt:lpwstr>CCD9C1DD3A60A9544FFBC964A54D8D55_42</vt:lpwstr>
  </property>
</Properties>
</file>