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新宋体" w:hAnsi="新宋体" w:eastAsia="新宋体" w:cs="新宋体"/>
          <w:b/>
          <w:bCs/>
        </w:rPr>
      </w:pPr>
      <w:r>
        <w:rPr>
          <w:rFonts w:hint="eastAsia" w:ascii="新宋体" w:hAnsi="新宋体" w:eastAsia="新宋体" w:cs="新宋体"/>
          <w:b/>
          <w:bCs/>
          <w:color w:val="000000"/>
          <w:kern w:val="0"/>
          <w:sz w:val="43"/>
          <w:szCs w:val="43"/>
          <w:lang w:val="en-US" w:eastAsia="zh-CN" w:bidi="ar"/>
        </w:rPr>
        <w:t>项目榜单</w:t>
      </w:r>
    </w:p>
    <w:tbl>
      <w:tblPr>
        <w:tblStyle w:val="4"/>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4"/>
        <w:gridCol w:w="2502"/>
        <w:gridCol w:w="1303"/>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624" w:type="dxa"/>
            <w:vAlign w:val="center"/>
          </w:tcPr>
          <w:p>
            <w:pPr>
              <w:keepNext w:val="0"/>
              <w:keepLines w:val="0"/>
              <w:widowControl/>
              <w:suppressLineNumbers w:val="0"/>
              <w:jc w:val="center"/>
              <w:rPr>
                <w:vertAlign w:val="baseline"/>
              </w:rPr>
            </w:pPr>
            <w:r>
              <w:rPr>
                <w:rFonts w:hint="eastAsia" w:ascii="宋体" w:hAnsi="宋体" w:eastAsia="宋体" w:cs="宋体"/>
                <w:color w:val="000000"/>
                <w:kern w:val="0"/>
                <w:sz w:val="20"/>
                <w:szCs w:val="20"/>
                <w:lang w:val="en-US" w:eastAsia="zh-CN" w:bidi="ar"/>
              </w:rPr>
              <w:t>榜单名称</w:t>
            </w:r>
          </w:p>
        </w:tc>
        <w:tc>
          <w:tcPr>
            <w:tcW w:w="6901" w:type="dxa"/>
            <w:gridSpan w:val="3"/>
            <w:vAlign w:val="center"/>
          </w:tcPr>
          <w:p>
            <w:pPr>
              <w:jc w:val="center"/>
              <w:rPr>
                <w:vertAlign w:val="baseline"/>
              </w:rPr>
            </w:pPr>
            <w:r>
              <w:rPr>
                <w:rFonts w:hint="eastAsia"/>
                <w:vertAlign w:val="baseline"/>
                <w:lang w:val="en-US" w:eastAsia="zh-CN"/>
              </w:rPr>
              <w:t>基于自主可控综合能源求解器的数字化碳管理平台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624" w:type="dxa"/>
            <w:vAlign w:val="center"/>
          </w:tcPr>
          <w:p>
            <w:pPr>
              <w:keepNext w:val="0"/>
              <w:keepLines w:val="0"/>
              <w:widowControl/>
              <w:suppressLineNumbers w:val="0"/>
              <w:jc w:val="center"/>
              <w:rPr>
                <w:vertAlign w:val="baseline"/>
              </w:rPr>
            </w:pPr>
            <w:r>
              <w:rPr>
                <w:rFonts w:hint="eastAsia" w:ascii="宋体" w:hAnsi="宋体" w:eastAsia="宋体" w:cs="宋体"/>
                <w:color w:val="000000"/>
                <w:kern w:val="0"/>
                <w:sz w:val="20"/>
                <w:szCs w:val="20"/>
                <w:lang w:val="en-US" w:eastAsia="zh-CN" w:bidi="ar"/>
              </w:rPr>
              <w:t>专业领域及方向</w:t>
            </w:r>
          </w:p>
        </w:tc>
        <w:tc>
          <w:tcPr>
            <w:tcW w:w="6901" w:type="dxa"/>
            <w:gridSpan w:val="3"/>
            <w:vAlign w:val="center"/>
          </w:tcPr>
          <w:p>
            <w:pPr>
              <w:jc w:val="center"/>
              <w:rPr>
                <w:rFonts w:hint="default" w:eastAsiaTheme="minorEastAsia"/>
                <w:vertAlign w:val="baseline"/>
                <w:lang w:val="en-US" w:eastAsia="zh-CN"/>
              </w:rPr>
            </w:pPr>
            <w:r>
              <w:rPr>
                <w:rFonts w:hint="eastAsia"/>
                <w:vertAlign w:val="baseline"/>
                <w:lang w:val="en-US" w:eastAsia="zh-CN"/>
              </w:rPr>
              <w:t>碳达峰碳中和领域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624" w:type="dxa"/>
            <w:vAlign w:val="center"/>
          </w:tcPr>
          <w:p>
            <w:pPr>
              <w:keepNext w:val="0"/>
              <w:keepLines w:val="0"/>
              <w:widowControl/>
              <w:suppressLineNumbers w:val="0"/>
              <w:jc w:val="center"/>
              <w:rPr>
                <w:vertAlign w:val="baseline"/>
              </w:rPr>
            </w:pPr>
            <w:r>
              <w:rPr>
                <w:rFonts w:hint="eastAsia" w:ascii="宋体" w:hAnsi="宋体" w:eastAsia="宋体" w:cs="宋体"/>
                <w:color w:val="000000"/>
                <w:kern w:val="0"/>
                <w:sz w:val="20"/>
                <w:szCs w:val="20"/>
                <w:lang w:val="en-US" w:eastAsia="zh-CN" w:bidi="ar"/>
              </w:rPr>
              <w:t>启动时间</w:t>
            </w:r>
          </w:p>
        </w:tc>
        <w:tc>
          <w:tcPr>
            <w:tcW w:w="2502" w:type="dxa"/>
            <w:vAlign w:val="center"/>
          </w:tcPr>
          <w:p>
            <w:pPr>
              <w:jc w:val="center"/>
              <w:rPr>
                <w:rFonts w:hint="default" w:eastAsiaTheme="minorEastAsia"/>
                <w:vertAlign w:val="baseline"/>
                <w:lang w:val="en-US" w:eastAsia="zh-CN"/>
              </w:rPr>
            </w:pPr>
            <w:r>
              <w:rPr>
                <w:rFonts w:hint="eastAsia"/>
                <w:vertAlign w:val="baseline"/>
                <w:lang w:val="en-US" w:eastAsia="zh-CN"/>
              </w:rPr>
              <w:t>2023年12月1日</w:t>
            </w:r>
          </w:p>
        </w:tc>
        <w:tc>
          <w:tcPr>
            <w:tcW w:w="1303" w:type="dxa"/>
            <w:vAlign w:val="center"/>
          </w:tcPr>
          <w:p>
            <w:pPr>
              <w:jc w:val="center"/>
              <w:rPr>
                <w:rFonts w:hint="default" w:eastAsiaTheme="minorEastAsia"/>
                <w:vertAlign w:val="baseline"/>
                <w:lang w:val="en-US" w:eastAsia="zh-CN"/>
              </w:rPr>
            </w:pPr>
            <w:r>
              <w:rPr>
                <w:rFonts w:hint="eastAsia"/>
                <w:vertAlign w:val="baseline"/>
                <w:lang w:val="en-US" w:eastAsia="zh-CN"/>
              </w:rPr>
              <w:t>计划完成时间</w:t>
            </w:r>
          </w:p>
        </w:tc>
        <w:tc>
          <w:tcPr>
            <w:tcW w:w="3096" w:type="dxa"/>
            <w:vAlign w:val="center"/>
          </w:tcPr>
          <w:p>
            <w:pPr>
              <w:jc w:val="center"/>
              <w:rPr>
                <w:rFonts w:hint="default" w:eastAsiaTheme="minorEastAsia"/>
                <w:vertAlign w:val="baseline"/>
                <w:lang w:val="en-US" w:eastAsia="zh-CN"/>
              </w:rPr>
            </w:pPr>
            <w:r>
              <w:rPr>
                <w:rFonts w:hint="eastAsia"/>
                <w:vertAlign w:val="baseline"/>
                <w:lang w:val="en-US" w:eastAsia="zh-CN"/>
              </w:rPr>
              <w:t>2025年12月1日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624" w:type="dxa"/>
            <w:vAlign w:val="center"/>
          </w:tcPr>
          <w:p>
            <w:pPr>
              <w:jc w:val="center"/>
              <w:rPr>
                <w:rFonts w:hint="default" w:eastAsiaTheme="minorEastAsia"/>
                <w:vertAlign w:val="baseline"/>
                <w:lang w:val="en-US" w:eastAsia="zh-CN"/>
              </w:rPr>
            </w:pPr>
            <w:r>
              <w:rPr>
                <w:rFonts w:hint="eastAsia"/>
                <w:vertAlign w:val="baseline"/>
                <w:lang w:val="en-US" w:eastAsia="zh-CN"/>
              </w:rPr>
              <w:t>榜单具体内容</w:t>
            </w:r>
          </w:p>
        </w:tc>
        <w:tc>
          <w:tcPr>
            <w:tcW w:w="6901" w:type="dxa"/>
            <w:gridSpan w:val="3"/>
            <w:vAlign w:val="center"/>
          </w:tcPr>
          <w:p>
            <w:pPr>
              <w:numPr>
                <w:ilvl w:val="0"/>
                <w:numId w:val="1"/>
              </w:numPr>
              <w:jc w:val="both"/>
              <w:rPr>
                <w:rFonts w:hint="eastAsia"/>
                <w:vertAlign w:val="baseline"/>
                <w:lang w:val="en-US" w:eastAsia="zh-CN"/>
              </w:rPr>
            </w:pPr>
            <w:r>
              <w:rPr>
                <w:rFonts w:hint="eastAsia"/>
                <w:vertAlign w:val="baseline"/>
                <w:lang w:val="en-US" w:eastAsia="zh-CN"/>
              </w:rPr>
              <w:t>建立数字化碳管理平台；对碳流和能耗进行准确监测与统计，建立碳指标分析，建立碳足迹核算评价体系、排放因子数据集及核算模型、实现对企业产品碳足迹核算等，同时进行能耗成本分析、能耗指标分析、能耗预测分析和能耗平衡分析，将能耗进行细化高效分析，实现能耗管理快速科学决策，实现企业人力、物力和财力的科学评价及快速配置，特别是规划性资源的有效管理，能够有效降低企业资源损耗，比如能耗预测分析可有效决策管理能耗的购入量和控制能源的使用量等，从而降低能耗管理成本；比如能耗平衡分析，有效对比各系统能耗消耗，为产线扩能及投建提供大数据支持，实现最佳产能衔接配置。</w:t>
            </w:r>
          </w:p>
          <w:p>
            <w:pPr>
              <w:numPr>
                <w:ilvl w:val="0"/>
                <w:numId w:val="1"/>
              </w:numPr>
              <w:jc w:val="both"/>
              <w:rPr>
                <w:rFonts w:hint="default"/>
                <w:vertAlign w:val="baseline"/>
                <w:lang w:val="en-US" w:eastAsia="zh-CN"/>
              </w:rPr>
            </w:pPr>
            <w:r>
              <w:rPr>
                <w:rFonts w:hint="default"/>
                <w:vertAlign w:val="baseline"/>
                <w:lang w:val="en-US" w:eastAsia="zh-CN"/>
              </w:rPr>
              <w:t>开发</w:t>
            </w:r>
            <w:r>
              <w:rPr>
                <w:rFonts w:hint="eastAsia"/>
                <w:vertAlign w:val="baseline"/>
                <w:lang w:val="en-US" w:eastAsia="zh-CN"/>
              </w:rPr>
              <w:t>应用</w:t>
            </w:r>
            <w:r>
              <w:rPr>
                <w:rFonts w:hint="default"/>
                <w:vertAlign w:val="baseline"/>
                <w:lang w:val="en-US" w:eastAsia="zh-CN"/>
              </w:rPr>
              <w:t>综合能源求解器</w:t>
            </w:r>
            <w:r>
              <w:rPr>
                <w:rFonts w:hint="eastAsia"/>
                <w:vertAlign w:val="baseline"/>
                <w:lang w:val="en-US" w:eastAsia="zh-CN"/>
              </w:rPr>
              <w:t>；基于数字化碳管理平台准确的碳排放模型和能耗模型，综合能源求解器应可求解碳排放与经济性之间的最优平衡策略，指导产能与用能行为，并实现与数字化碳管理平台的对接，可直接下发自动化运行指令。综合能源求解器应可求解线性规划和混合整数规划问题，并15分钟内计算出优于同等问题下通用启发式算法的结果。</w:t>
            </w:r>
          </w:p>
          <w:p>
            <w:pPr>
              <w:numPr>
                <w:ilvl w:val="0"/>
                <w:numId w:val="1"/>
              </w:numPr>
              <w:jc w:val="both"/>
              <w:rPr>
                <w:rFonts w:hint="default"/>
                <w:vertAlign w:val="baseline"/>
                <w:lang w:val="en-US" w:eastAsia="zh-CN"/>
              </w:rPr>
            </w:pPr>
            <w:r>
              <w:rPr>
                <w:rFonts w:hint="eastAsia"/>
                <w:vertAlign w:val="baseline"/>
                <w:lang w:val="en-US" w:eastAsia="zh-CN"/>
              </w:rPr>
              <w:t>应用于绿色工业园区、绿色楼宇等场景，构建横向“电、冷、热、气”多源互补、纵向“源、网、荷、储”协调、能源与信息高度融合的新型能源体系，基于综合能源求解器优化碳排放与能耗策略，对新能源发电的不确定性进行平抑，优化日常调度策略，实现能源高效利用，提高经济效益，降低碳排放，在统筹能源管理、优化运维成本、运行状态优化等方面有更好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1624" w:type="dxa"/>
            <w:vAlign w:val="center"/>
          </w:tcPr>
          <w:p>
            <w:pPr>
              <w:jc w:val="center"/>
              <w:rPr>
                <w:rFonts w:hint="default"/>
                <w:vertAlign w:val="baseline"/>
                <w:lang w:val="en-US" w:eastAsia="zh-CN"/>
              </w:rPr>
            </w:pPr>
            <w:r>
              <w:rPr>
                <w:rFonts w:hint="eastAsia"/>
                <w:vertAlign w:val="baseline"/>
                <w:lang w:val="en-US" w:eastAsia="zh-CN"/>
              </w:rPr>
              <w:t>榜单效益目标</w:t>
            </w:r>
          </w:p>
        </w:tc>
        <w:tc>
          <w:tcPr>
            <w:tcW w:w="6901" w:type="dxa"/>
            <w:gridSpan w:val="3"/>
            <w:vAlign w:val="center"/>
          </w:tcPr>
          <w:p>
            <w:pPr>
              <w:rPr>
                <w:vertAlign w:val="baseline"/>
              </w:rPr>
            </w:pPr>
            <w:r>
              <w:rPr>
                <w:rFonts w:hint="eastAsia"/>
                <w:vertAlign w:val="baseline"/>
              </w:rPr>
              <w:t>求解器</w:t>
            </w:r>
            <w:r>
              <w:rPr>
                <w:rFonts w:hint="eastAsia"/>
                <w:vertAlign w:val="baseline"/>
                <w:lang w:val="en-US" w:eastAsia="zh-CN"/>
              </w:rPr>
              <w:t>属于</w:t>
            </w:r>
            <w:r>
              <w:rPr>
                <w:rFonts w:hint="eastAsia"/>
                <w:vertAlign w:val="baseline"/>
              </w:rPr>
              <w:t>底层基础技术和软件</w:t>
            </w:r>
            <w:r>
              <w:rPr>
                <w:rFonts w:hint="eastAsia"/>
                <w:vertAlign w:val="baseline"/>
                <w:lang w:eastAsia="zh-CN"/>
              </w:rPr>
              <w:t>，现实生产生活中具有重要价值和意义，许多</w:t>
            </w:r>
            <w:r>
              <w:rPr>
                <w:rFonts w:hint="eastAsia"/>
                <w:vertAlign w:val="baseline"/>
                <w:lang w:val="en-US" w:eastAsia="zh-CN"/>
              </w:rPr>
              <w:t>问题</w:t>
            </w:r>
            <w:r>
              <w:rPr>
                <w:rFonts w:hint="eastAsia"/>
                <w:vertAlign w:val="baseline"/>
                <w:lang w:eastAsia="zh-CN"/>
              </w:rPr>
              <w:t>都需要借助于求解器来对自己所建立的复杂模型进行</w:t>
            </w:r>
            <w:r>
              <w:rPr>
                <w:rFonts w:hint="eastAsia"/>
                <w:vertAlign w:val="baseline"/>
                <w:lang w:val="en-US" w:eastAsia="zh-CN"/>
              </w:rPr>
              <w:t>求解和</w:t>
            </w:r>
            <w:r>
              <w:rPr>
                <w:rFonts w:hint="eastAsia"/>
                <w:vertAlign w:val="baseline"/>
                <w:lang w:eastAsia="zh-CN"/>
              </w:rPr>
              <w:t>验证。</w:t>
            </w:r>
            <w:r>
              <w:rPr>
                <w:rFonts w:hint="eastAsia"/>
                <w:vertAlign w:val="baseline"/>
                <w:lang w:val="en-US" w:eastAsia="zh-CN"/>
              </w:rPr>
              <w:t>综合能源求解器技术在能源行业的技术创新和应用落地也属于共性技术，可支撑各类数字化平台优化调度功能的实施，成功开发落地能够降低数字能源行业技术门槛，减少实施成本，并可快速推广至综合能源、智慧能源、虚拟电厂等领域，应用于园</w:t>
            </w:r>
            <w:r>
              <w:rPr>
                <w:rFonts w:hint="eastAsia"/>
                <w:highlight w:val="none"/>
                <w:vertAlign w:val="baseline"/>
                <w:lang w:val="en-US" w:eastAsia="zh-CN"/>
              </w:rPr>
              <w:t>区、楼宇、能源站等场景，估算经济效益可达5亿元以上。</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新宋体">
    <w:altName w:val="方正书宋_GBK"/>
    <w:panose1 w:val="02010609030101010101"/>
    <w:charset w:val="86"/>
    <w:family w:val="auto"/>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FEC35"/>
    <w:multiLevelType w:val="singleLevel"/>
    <w:tmpl w:val="852FEC3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MGViZjIwNThlMTg4YzBlMGE2OGViZWM5ZGExYWEifQ=="/>
  </w:docVars>
  <w:rsids>
    <w:rsidRoot w:val="4CF00CFE"/>
    <w:rsid w:val="008B79FC"/>
    <w:rsid w:val="01FD54FA"/>
    <w:rsid w:val="04754611"/>
    <w:rsid w:val="14812B5E"/>
    <w:rsid w:val="17F77E13"/>
    <w:rsid w:val="18120C08"/>
    <w:rsid w:val="193B777F"/>
    <w:rsid w:val="1C746753"/>
    <w:rsid w:val="22911651"/>
    <w:rsid w:val="23DC56BB"/>
    <w:rsid w:val="25117791"/>
    <w:rsid w:val="25302162"/>
    <w:rsid w:val="36803488"/>
    <w:rsid w:val="3B380EFD"/>
    <w:rsid w:val="401C35B7"/>
    <w:rsid w:val="4493752E"/>
    <w:rsid w:val="45793884"/>
    <w:rsid w:val="46E35C6B"/>
    <w:rsid w:val="4CBA03DF"/>
    <w:rsid w:val="4CF00CFE"/>
    <w:rsid w:val="5160602A"/>
    <w:rsid w:val="5DC866D4"/>
    <w:rsid w:val="5E390623"/>
    <w:rsid w:val="5FC1162D"/>
    <w:rsid w:val="601427B8"/>
    <w:rsid w:val="615243ED"/>
    <w:rsid w:val="619D0D81"/>
    <w:rsid w:val="681744E0"/>
    <w:rsid w:val="68C16804"/>
    <w:rsid w:val="6967357B"/>
    <w:rsid w:val="69AE2C22"/>
    <w:rsid w:val="758405F1"/>
    <w:rsid w:val="75A35605"/>
    <w:rsid w:val="F35E1547"/>
    <w:rsid w:val="FFFF5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rPr>
      <w:rFonts w:eastAsia="宋体" w:asciiTheme="minorAscii" w:hAnsiTheme="minorAscii"/>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2023-08-02T21:55:00Z</dcterms:created>
  <dc:creator>AX</dc:creator>
  <cp:lastModifiedBy>greatwall</cp:lastModifiedBy>
  <cp:lastPrinted>2023-08-03T01:10:00Z</cp:lastPrinted>
  <dcterms:modified xsi:type="dcterms:W3CDTF">2023-10-26T19:16:22Z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621EBFC4563A4D3AB395964CC103E24A</vt:lpwstr>
  </property>
</Properties>
</file>