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320" w:firstLineChars="100"/>
        <w:rPr>
          <w:rFonts w:eastAsia="仿宋_GB2312"/>
          <w:sz w:val="32"/>
          <w:szCs w:val="32"/>
        </w:rPr>
      </w:pPr>
      <w:r>
        <w:rPr>
          <w:rFonts w:eastAsia="仿宋_GB2312"/>
          <w:sz w:val="32"/>
          <w:szCs w:val="32"/>
        </w:rPr>
        <w:t xml:space="preserve">  </w:t>
      </w:r>
    </w:p>
    <w:p>
      <w:pPr>
        <w:spacing w:line="560" w:lineRule="exact"/>
        <w:jc w:val="center"/>
        <w:rPr>
          <w:rFonts w:eastAsia="方正小标宋简体"/>
          <w:sz w:val="44"/>
          <w:szCs w:val="44"/>
        </w:rPr>
      </w:pPr>
      <w:r>
        <w:rPr>
          <w:rFonts w:hint="eastAsia" w:eastAsia="方正小标宋简体" w:cs="Times New Roman"/>
          <w:color w:val="auto"/>
          <w:sz w:val="44"/>
          <w:szCs w:val="44"/>
          <w:highlight w:val="none"/>
          <w:lang w:eastAsia="zh-CN" w:bidi="ar-SA"/>
        </w:rPr>
        <w:t>项目</w:t>
      </w:r>
      <w:r>
        <w:rPr>
          <w:rFonts w:hint="default" w:ascii="Times New Roman" w:hAnsi="Times New Roman" w:eastAsia="方正小标宋简体" w:cs="Times New Roman"/>
          <w:color w:val="auto"/>
          <w:sz w:val="44"/>
          <w:szCs w:val="44"/>
          <w:highlight w:val="none"/>
          <w:lang w:bidi="ar-SA"/>
        </w:rPr>
        <w:t>榜单</w:t>
      </w:r>
    </w:p>
    <w:tbl>
      <w:tblPr>
        <w:tblStyle w:val="6"/>
        <w:tblW w:w="8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90"/>
        <w:gridCol w:w="3326"/>
        <w:gridCol w:w="1594"/>
        <w:gridCol w:w="2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榜单名称</w:t>
            </w:r>
          </w:p>
        </w:tc>
        <w:tc>
          <w:tcPr>
            <w:tcW w:w="7771" w:type="dxa"/>
            <w:gridSpan w:val="3"/>
            <w:tcBorders>
              <w:top w:val="single" w:color="auto" w:sz="4" w:space="0"/>
              <w:left w:val="nil"/>
              <w:bottom w:val="single" w:color="auto" w:sz="4" w:space="0"/>
              <w:right w:val="single" w:color="auto" w:sz="4" w:space="0"/>
            </w:tcBorders>
            <w:vAlign w:val="center"/>
          </w:tcPr>
          <w:p>
            <w:pPr>
              <w:jc w:val="center"/>
              <w:rPr>
                <w:color w:val="000000"/>
                <w:szCs w:val="21"/>
              </w:rPr>
            </w:pPr>
            <w:r>
              <w:rPr>
                <w:rFonts w:hint="eastAsia"/>
                <w:color w:val="000000"/>
                <w:szCs w:val="21"/>
              </w:rPr>
              <w:t>中山市厨卫行业质量数字化服务平台工程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专业领域及方向</w:t>
            </w:r>
          </w:p>
        </w:tc>
        <w:tc>
          <w:tcPr>
            <w:tcW w:w="7771" w:type="dxa"/>
            <w:gridSpan w:val="3"/>
            <w:tcBorders>
              <w:top w:val="single" w:color="auto" w:sz="4" w:space="0"/>
              <w:left w:val="nil"/>
              <w:bottom w:val="single" w:color="auto" w:sz="4" w:space="0"/>
              <w:right w:val="single" w:color="auto" w:sz="4" w:space="0"/>
            </w:tcBorders>
            <w:vAlign w:val="center"/>
          </w:tcPr>
          <w:p>
            <w:pPr>
              <w:jc w:val="center"/>
              <w:rPr>
                <w:color w:val="000000"/>
                <w:szCs w:val="21"/>
                <w:lang w:val="en"/>
              </w:rPr>
            </w:pPr>
            <w:r>
              <w:rPr>
                <w:color w:val="000000"/>
                <w:szCs w:val="21"/>
                <w:lang w:val="en"/>
              </w:rPr>
              <w:t>制造业数字化转型</w:t>
            </w:r>
            <w:r>
              <w:rPr>
                <w:rFonts w:hint="eastAsia"/>
                <w:color w:val="000000"/>
                <w:szCs w:val="21"/>
                <w:lang w:val="en"/>
              </w:rPr>
              <w:t>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9"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启动时间</w:t>
            </w:r>
          </w:p>
        </w:tc>
        <w:tc>
          <w:tcPr>
            <w:tcW w:w="3326" w:type="dxa"/>
            <w:tcBorders>
              <w:top w:val="single" w:color="auto" w:sz="4" w:space="0"/>
              <w:left w:val="nil"/>
              <w:bottom w:val="single" w:color="auto" w:sz="4" w:space="0"/>
              <w:right w:val="single" w:color="auto" w:sz="4" w:space="0"/>
            </w:tcBorders>
            <w:vAlign w:val="center"/>
          </w:tcPr>
          <w:p>
            <w:pPr>
              <w:jc w:val="center"/>
              <w:rPr>
                <w:rFonts w:hint="eastAsia" w:eastAsia="宋体"/>
                <w:color w:val="000000"/>
                <w:szCs w:val="21"/>
                <w:lang w:eastAsia="zh-CN"/>
              </w:rPr>
            </w:pPr>
            <w:r>
              <w:rPr>
                <w:rFonts w:hint="eastAsia"/>
                <w:color w:val="000000"/>
                <w:szCs w:val="21"/>
              </w:rPr>
              <w:t>2023</w:t>
            </w:r>
            <w:r>
              <w:rPr>
                <w:rFonts w:hint="eastAsia"/>
                <w:color w:val="000000"/>
                <w:szCs w:val="21"/>
                <w:lang w:eastAsia="zh-CN"/>
              </w:rPr>
              <w:t>年</w:t>
            </w:r>
            <w:r>
              <w:rPr>
                <w:rFonts w:hint="eastAsia"/>
                <w:color w:val="000000"/>
                <w:szCs w:val="21"/>
              </w:rPr>
              <w:t>8</w:t>
            </w:r>
            <w:r>
              <w:rPr>
                <w:rFonts w:hint="eastAsia"/>
                <w:color w:val="000000"/>
                <w:szCs w:val="21"/>
                <w:lang w:eastAsia="zh-CN"/>
              </w:rPr>
              <w:t>月</w:t>
            </w:r>
          </w:p>
        </w:tc>
        <w:tc>
          <w:tcPr>
            <w:tcW w:w="1594" w:type="dxa"/>
            <w:tcBorders>
              <w:top w:val="single" w:color="auto" w:sz="4" w:space="0"/>
              <w:left w:val="nil"/>
              <w:bottom w:val="single" w:color="auto" w:sz="4" w:space="0"/>
              <w:right w:val="single" w:color="auto" w:sz="4" w:space="0"/>
            </w:tcBorders>
            <w:vAlign w:val="center"/>
          </w:tcPr>
          <w:p>
            <w:pPr>
              <w:jc w:val="center"/>
              <w:rPr>
                <w:color w:val="000000"/>
              </w:rPr>
            </w:pPr>
            <w:r>
              <w:rPr>
                <w:color w:val="000000"/>
                <w:szCs w:val="21"/>
                <w:lang w:val="en" w:eastAsia="en"/>
              </w:rPr>
              <w:t>计划完成</w:t>
            </w:r>
            <w:r>
              <w:rPr>
                <w:color w:val="000000"/>
                <w:szCs w:val="21"/>
              </w:rPr>
              <w:t>时间</w:t>
            </w:r>
          </w:p>
        </w:tc>
        <w:tc>
          <w:tcPr>
            <w:tcW w:w="2851" w:type="dxa"/>
            <w:tcBorders>
              <w:top w:val="single" w:color="auto" w:sz="4" w:space="0"/>
              <w:left w:val="nil"/>
              <w:bottom w:val="single" w:color="auto" w:sz="4" w:space="0"/>
              <w:right w:val="single" w:color="auto" w:sz="4" w:space="0"/>
            </w:tcBorders>
            <w:vAlign w:val="center"/>
          </w:tcPr>
          <w:p>
            <w:pPr>
              <w:jc w:val="center"/>
              <w:rPr>
                <w:rFonts w:hint="eastAsia" w:eastAsia="宋体"/>
                <w:color w:val="000000"/>
                <w:szCs w:val="21"/>
                <w:lang w:eastAsia="zh-CN"/>
              </w:rPr>
            </w:pPr>
            <w:r>
              <w:rPr>
                <w:rFonts w:hint="eastAsia"/>
                <w:color w:val="000000"/>
                <w:szCs w:val="21"/>
              </w:rPr>
              <w:t>2025</w:t>
            </w:r>
            <w:r>
              <w:rPr>
                <w:rFonts w:hint="eastAsia"/>
                <w:color w:val="000000"/>
                <w:szCs w:val="21"/>
                <w:lang w:eastAsia="zh-CN"/>
              </w:rPr>
              <w:t>年</w:t>
            </w:r>
            <w:r>
              <w:rPr>
                <w:rFonts w:hint="eastAsia"/>
                <w:color w:val="000000"/>
                <w:szCs w:val="21"/>
              </w:rPr>
              <w:t>8</w:t>
            </w:r>
            <w:r>
              <w:rPr>
                <w:rFonts w:hint="eastAsia"/>
                <w:color w:val="000000"/>
                <w:szCs w:val="21"/>
                <w:lang w:eastAsia="zh-CN"/>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72"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项目内容</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color w:val="000000"/>
              </w:rPr>
            </w:pP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系统研究集群产业现状、问题与原因，梳理产业集群数字化转型共性需求，寻求数字技术对厨卫产业进行全方位、全链条的改造，并输出可实施性强的建设方案或技术方案。</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对细分行业内的企业进行分类分级，梳理细分行业比较优势、企业问题清单与需求库，并开展制定调研及诊断计划的深调研及企业数字化水平评价诊断，分阶段形成调研及诊断报告</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针对产业集群不同企业、不同发展阶段，提供针对性的数字化解决方案，从技术创新、应用落地等方面提供精准的技术和产品供给，并输出标准化的产品或服务来推进企业、产业数字化升级。</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凝练行业共性场景，结合产业集群未来发展趋势、瓶颈突破领域、关键成功因素等，聚焦痛点问题及共性需求，制定出数字化转型解决方案顶层设计及项目实施切入点。</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根据方案实施路径，绘制数字化转型路线图，并根据各发展阶段制定总体的推进计划，并梳理出重点任务内容。</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针对重点任务科学确定需研发和推广的产品</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建设面向细分行业领域的行业工业互联网平台，扩大服务面积，帮助企业提质增效，降低转型的技术门槛，减少实施成本。</w:t>
            </w:r>
          </w:p>
          <w:p>
            <w:pPr>
              <w:numPr>
                <w:ilvl w:val="0"/>
                <w:numId w:val="1"/>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打造“5G+工业互联网”应用示范园区</w:t>
            </w:r>
          </w:p>
          <w:p>
            <w:pPr>
              <w:numPr>
                <w:ilvl w:val="0"/>
                <w:numId w:val="1"/>
              </w:numPr>
              <w:adjustRightInd w:val="0"/>
              <w:spacing w:line="360" w:lineRule="auto"/>
              <w:ind w:firstLine="42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rPr>
              <w:t>平台聚集集群生态协作伙伴，包括共性底座型企业、专业技术服务型企业、产业链相关企业、数字化复合型人才培育机构等</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在行业内打造转型标杆案例；并服务多企业数字化转型，在降低运营成本、提升产品质量、增加优质订单等方面取得明显成效。</w:t>
            </w:r>
          </w:p>
          <w:p>
            <w:pPr>
              <w:numPr>
                <w:ilvl w:val="0"/>
                <w:numId w:val="1"/>
              </w:numPr>
              <w:adjustRightInd w:val="0"/>
              <w:spacing w:line="360" w:lineRule="auto"/>
              <w:ind w:firstLine="440" w:firstLineChars="200"/>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为行业企业整合新型产业链服务（如金融、保险）</w:t>
            </w:r>
          </w:p>
          <w:p>
            <w:pPr>
              <w:numPr>
                <w:ilvl w:val="0"/>
                <w:numId w:val="1"/>
              </w:numPr>
              <w:adjustRightInd w:val="0"/>
              <w:spacing w:line="360" w:lineRule="auto"/>
              <w:ind w:firstLine="440" w:firstLineChars="200"/>
              <w:rPr>
                <w:color w:val="000000"/>
                <w:szCs w:val="21"/>
              </w:rPr>
            </w:pPr>
            <w:r>
              <w:rPr>
                <w:rFonts w:hint="eastAsia" w:ascii="仿宋_GB2312" w:hAnsi="仿宋_GB2312" w:eastAsia="仿宋_GB2312" w:cs="仿宋_GB2312"/>
                <w:color w:val="000000"/>
                <w:sz w:val="22"/>
                <w:szCs w:val="22"/>
              </w:rPr>
              <w:t>与行业协会、机构达成深度合作，在产业内开展人才培育、政策宣讲等活动。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40" w:hRule="atLeast"/>
          <w:jc w:val="center"/>
        </w:trPr>
        <w:tc>
          <w:tcPr>
            <w:tcW w:w="1190" w:type="dxa"/>
            <w:tcBorders>
              <w:top w:val="single" w:color="auto" w:sz="4" w:space="0"/>
              <w:left w:val="single" w:color="auto" w:sz="4" w:space="0"/>
              <w:bottom w:val="single" w:color="auto" w:sz="4" w:space="0"/>
              <w:right w:val="single" w:color="auto" w:sz="4" w:space="0"/>
            </w:tcBorders>
            <w:vAlign w:val="center"/>
          </w:tcPr>
          <w:p>
            <w:pPr>
              <w:jc w:val="center"/>
              <w:rPr>
                <w:color w:val="000000"/>
                <w:szCs w:val="21"/>
              </w:rPr>
            </w:pPr>
            <w:r>
              <w:rPr>
                <w:color w:val="000000"/>
                <w:szCs w:val="21"/>
              </w:rPr>
              <w:t>项目目标</w:t>
            </w:r>
          </w:p>
        </w:tc>
        <w:tc>
          <w:tcPr>
            <w:tcW w:w="7771" w:type="dxa"/>
            <w:gridSpan w:val="3"/>
            <w:tcBorders>
              <w:top w:val="single" w:color="auto" w:sz="4" w:space="0"/>
              <w:left w:val="single" w:color="auto" w:sz="4" w:space="0"/>
              <w:bottom w:val="single" w:color="auto" w:sz="4" w:space="0"/>
              <w:right w:val="single" w:color="auto" w:sz="4" w:space="0"/>
            </w:tcBorders>
            <w:vAlign w:val="center"/>
          </w:tcPr>
          <w:p>
            <w:pPr>
              <w:pStyle w:val="2"/>
              <w:numPr>
                <w:ilvl w:val="0"/>
                <w:numId w:val="2"/>
              </w:numPr>
              <w:rPr>
                <w:rFonts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绩效目标</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建设厨卫行业数字化公共服务平台</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打造可供参观的产业链数字化展示中心</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数字化转型服务客户数不低于100家</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为不少于30家企业进行数字化水平评价诊断，并输出调研诊断报告</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完成产业图谱及企业分类分级画像</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打造不少于6家标杆企业案例</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具有至少1项成熟的厨卫行业数字化转型业务</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在平台上线产品或服务不少于5个</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帮助区域内入驻平台的厨卫企业实现所有通过检测项目下线的产品检测项100%合格。</w:t>
            </w:r>
          </w:p>
          <w:p>
            <w:pPr>
              <w:numPr>
                <w:ilvl w:val="0"/>
                <w:numId w:val="3"/>
              </w:numPr>
              <w:adjustRightInd w:val="0"/>
              <w:spacing w:line="360" w:lineRule="auto"/>
              <w:ind w:firstLine="420" w:firstLineChars="200"/>
              <w:rPr>
                <w:rFonts w:ascii="仿宋_GB2312" w:hAnsi="仿宋_GB2312" w:eastAsia="仿宋_GB2312" w:cs="仿宋_GB2312"/>
                <w:color w:val="000000"/>
              </w:rPr>
            </w:pPr>
            <w:r>
              <w:rPr>
                <w:rFonts w:hint="eastAsia" w:ascii="仿宋_GB2312" w:hAnsi="仿宋_GB2312" w:eastAsia="仿宋_GB2312" w:cs="仿宋_GB2312"/>
                <w:color w:val="000000"/>
              </w:rPr>
              <w:t>每年开展不少于3场的政策宣讲会议</w:t>
            </w:r>
          </w:p>
          <w:p>
            <w:pPr>
              <w:adjustRightInd w:val="0"/>
              <w:spacing w:line="360" w:lineRule="auto"/>
              <w:ind w:left="420" w:leftChars="200"/>
              <w:rPr>
                <w:rFonts w:ascii="仿宋_GB2312" w:hAnsi="仿宋_GB2312" w:eastAsia="仿宋_GB2312" w:cs="仿宋_GB2312"/>
                <w:color w:val="000000"/>
                <w:szCs w:val="21"/>
              </w:rPr>
            </w:pPr>
          </w:p>
          <w:p>
            <w:pPr>
              <w:numPr>
                <w:ilvl w:val="0"/>
                <w:numId w:val="2"/>
              </w:numPr>
              <w:adjustRightInd w:val="0"/>
              <w:spacing w:line="360" w:lineRule="auto"/>
              <w:ind w:left="401"/>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经济及社会效益</w:t>
            </w:r>
          </w:p>
          <w:p>
            <w:pPr>
              <w:adjustRightInd w:val="0"/>
              <w:spacing w:line="360" w:lineRule="auto"/>
              <w:ind w:firstLine="420" w:firstLineChars="200"/>
              <w:rPr>
                <w:rFonts w:ascii="仿宋_GB2312" w:hAnsi="仿宋_GB2312" w:eastAsia="仿宋_GB2312" w:cs="仿宋_GB2312"/>
                <w:color w:val="000000"/>
                <w:szCs w:val="21"/>
              </w:rPr>
            </w:pPr>
            <w:r>
              <w:rPr>
                <w:rFonts w:hint="eastAsia" w:ascii="仿宋_GB2312" w:hAnsi="仿宋_GB2312" w:eastAsia="仿宋_GB2312" w:cs="仿宋_GB2312"/>
                <w:color w:val="000000"/>
              </w:rPr>
              <w:t>推动厨卫行业高质量发展，突破产业集群上下游信息不透明、质量信息不对称、新基建薄弱等瓶颈问题，实现区域企业数据协同，以数字化实现“补链”、“强链”，通过以点带面及产业标杆效益，实现企业销售倍增的经济效益，为区域政府带来税收提升及监管提升，形成可信区域产业效益。</w:t>
            </w:r>
          </w:p>
          <w:p>
            <w:pPr>
              <w:pStyle w:val="2"/>
              <w:spacing w:before="2" w:line="360" w:lineRule="auto"/>
              <w:ind w:left="0" w:firstLine="640" w:firstLineChars="200"/>
              <w:rPr>
                <w:color w:val="000000"/>
              </w:rPr>
            </w:pPr>
          </w:p>
        </w:tc>
      </w:tr>
    </w:tbl>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方正小标宋简体">
    <w:panose1 w:val="03000509000000000000"/>
    <w:charset w:val="86"/>
    <w:family w:val="script"/>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7F5406"/>
    <w:multiLevelType w:val="singleLevel"/>
    <w:tmpl w:val="D77F5406"/>
    <w:lvl w:ilvl="0" w:tentative="0">
      <w:start w:val="1"/>
      <w:numFmt w:val="chineseCounting"/>
      <w:suff w:val="nothing"/>
      <w:lvlText w:val="%1、"/>
      <w:lvlJc w:val="left"/>
      <w:rPr>
        <w:rFonts w:hint="eastAsia"/>
      </w:rPr>
    </w:lvl>
  </w:abstractNum>
  <w:abstractNum w:abstractNumId="1">
    <w:nsid w:val="6BDBD8D3"/>
    <w:multiLevelType w:val="singleLevel"/>
    <w:tmpl w:val="6BDBD8D3"/>
    <w:lvl w:ilvl="0" w:tentative="0">
      <w:start w:val="1"/>
      <w:numFmt w:val="decimal"/>
      <w:suff w:val="nothing"/>
      <w:lvlText w:val="%1．"/>
      <w:lvlJc w:val="left"/>
      <w:pPr>
        <w:ind w:left="0" w:firstLine="400"/>
      </w:pPr>
      <w:rPr>
        <w:rFonts w:hint="default"/>
      </w:rPr>
    </w:lvl>
  </w:abstractNum>
  <w:abstractNum w:abstractNumId="2">
    <w:nsid w:val="769E459E"/>
    <w:multiLevelType w:val="singleLevel"/>
    <w:tmpl w:val="769E459E"/>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3NTAyZDcyY2I5MzE3N2U1ZWY3Y2YwNzdjYWEzNDAifQ=="/>
  </w:docVars>
  <w:rsids>
    <w:rsidRoot w:val="F3FFD52D"/>
    <w:rsid w:val="00117DB7"/>
    <w:rsid w:val="003D0FB5"/>
    <w:rsid w:val="005F3ABB"/>
    <w:rsid w:val="00886755"/>
    <w:rsid w:val="03980ED3"/>
    <w:rsid w:val="08BB0B67"/>
    <w:rsid w:val="19F67CCD"/>
    <w:rsid w:val="28AE4C20"/>
    <w:rsid w:val="33F91F35"/>
    <w:rsid w:val="4BC9535A"/>
    <w:rsid w:val="4ED9085A"/>
    <w:rsid w:val="5DE71157"/>
    <w:rsid w:val="675FB067"/>
    <w:rsid w:val="6CEA7B3C"/>
    <w:rsid w:val="BF575C0E"/>
    <w:rsid w:val="CBFE0455"/>
    <w:rsid w:val="F3FFD52D"/>
    <w:rsid w:val="F6AB8E9F"/>
    <w:rsid w:val="F9732D06"/>
    <w:rsid w:val="FC7BA5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jc w:val="left"/>
      <w:outlineLvl w:val="1"/>
    </w:pPr>
    <w:rPr>
      <w:rFonts w:eastAsia="楷体_GB2312" w:cs="黑体"/>
      <w:bCs/>
      <w:color w:val="000000"/>
      <w:szCs w:val="32"/>
    </w:rPr>
  </w:style>
  <w:style w:type="paragraph" w:styleId="4">
    <w:name w:val="heading 6"/>
    <w:basedOn w:val="1"/>
    <w:next w:val="1"/>
    <w:unhideWhenUsed/>
    <w:qFormat/>
    <w:uiPriority w:val="0"/>
    <w:pPr>
      <w:keepNext/>
      <w:keepLines/>
      <w:spacing w:before="240" w:after="64" w:line="320" w:lineRule="auto"/>
      <w:outlineLvl w:val="5"/>
    </w:pPr>
    <w:rPr>
      <w:rFonts w:ascii="Cambria" w:hAnsi="Cambria"/>
      <w:b/>
      <w:bCs/>
      <w:sz w:val="2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214"/>
      <w:ind w:left="401"/>
    </w:pPr>
    <w:rPr>
      <w:sz w:val="32"/>
      <w:szCs w:val="32"/>
    </w:rPr>
  </w:style>
  <w:style w:type="paragraph" w:styleId="5">
    <w:name w:val="Title"/>
    <w:basedOn w:val="1"/>
    <w:next w:val="1"/>
    <w:qFormat/>
    <w:uiPriority w:val="0"/>
    <w:pPr>
      <w:spacing w:before="240" w:after="60"/>
      <w:jc w:val="center"/>
      <w:outlineLvl w:val="0"/>
    </w:pPr>
    <w:rPr>
      <w:rFonts w:ascii="Calibri Light" w:hAnsi="Calibri Light"/>
      <w:b/>
      <w:bCs/>
      <w:sz w:val="32"/>
      <w:szCs w:val="32"/>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410</Words>
  <Characters>2340</Characters>
  <Lines>19</Lines>
  <Paragraphs>5</Paragraphs>
  <TotalTime>0</TotalTime>
  <ScaleCrop>false</ScaleCrop>
  <LinksUpToDate>false</LinksUpToDate>
  <CharactersWithSpaces>2745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2023-07-29T08:49:00Z</dcterms:created>
  <dc:creator>林</dc:creator>
  <cp:lastModifiedBy>禤维强</cp:lastModifiedBy>
  <dcterms:modified xsi:type="dcterms:W3CDTF">2023-10-26T18:43:37Z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2119004317DF43779F93E12D303AE86D_13</vt:lpwstr>
  </property>
</Properties>
</file>