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before="51" w:line="220" w:lineRule="auto"/>
        <w:ind w:left="3394"/>
        <w:rPr>
          <w:rFonts w:ascii="微软雅黑" w:hAnsi="微软雅黑" w:eastAsia="微软雅黑" w:cs="微软雅黑"/>
          <w:color w:val="auto"/>
          <w:sz w:val="43"/>
          <w:szCs w:val="43"/>
          <w:highlight w:val="none"/>
        </w:rPr>
      </w:pPr>
      <w:r>
        <w:rPr>
          <w:rFonts w:hint="eastAsia" w:ascii="微软雅黑" w:hAnsi="微软雅黑" w:eastAsia="微软雅黑" w:cs="微软雅黑"/>
          <w:color w:val="auto"/>
          <w:spacing w:val="9"/>
          <w:sz w:val="43"/>
          <w:szCs w:val="43"/>
          <w:highlight w:val="none"/>
          <w:lang w:eastAsia="zh-CN"/>
        </w:rPr>
        <w:t>项目</w:t>
      </w:r>
      <w:r>
        <w:rPr>
          <w:rFonts w:ascii="微软雅黑" w:hAnsi="微软雅黑" w:eastAsia="微软雅黑" w:cs="微软雅黑"/>
          <w:color w:val="auto"/>
          <w:spacing w:val="9"/>
          <w:sz w:val="43"/>
          <w:szCs w:val="43"/>
          <w:highlight w:val="none"/>
        </w:rPr>
        <w:t>榜</w:t>
      </w:r>
      <w:r>
        <w:rPr>
          <w:rFonts w:ascii="微软雅黑" w:hAnsi="微软雅黑" w:eastAsia="微软雅黑" w:cs="微软雅黑"/>
          <w:color w:val="auto"/>
          <w:spacing w:val="8"/>
          <w:sz w:val="43"/>
          <w:szCs w:val="43"/>
          <w:highlight w:val="none"/>
        </w:rPr>
        <w:t>单</w:t>
      </w:r>
    </w:p>
    <w:p>
      <w:pPr>
        <w:shd w:val="clear"/>
        <w:spacing w:line="30" w:lineRule="exact"/>
        <w:rPr>
          <w:color w:val="auto"/>
          <w:highlight w:val="none"/>
        </w:rPr>
      </w:pPr>
    </w:p>
    <w:tbl>
      <w:tblPr>
        <w:tblStyle w:val="5"/>
        <w:tblW w:w="89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3325"/>
        <w:gridCol w:w="1593"/>
        <w:gridCol w:w="2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1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leftChars="0" w:right="0" w:hanging="6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highlight w:val="none"/>
              </w:rPr>
              <w:t>榜单名称</w:t>
            </w:r>
          </w:p>
        </w:tc>
        <w:tc>
          <w:tcPr>
            <w:tcW w:w="777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leftChars="0" w:right="0" w:hanging="6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highlight w:val="none"/>
              </w:rPr>
              <w:t>碳排放实时智能监测与大数据管理平台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leftChars="0" w:right="0" w:hanging="6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highlight w:val="none"/>
              </w:rPr>
              <w:t>专业领域及方向</w:t>
            </w:r>
          </w:p>
        </w:tc>
        <w:tc>
          <w:tcPr>
            <w:tcW w:w="7772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leftChars="0" w:right="0" w:hanging="6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highlight w:val="none"/>
              </w:rPr>
              <w:t>碳达峰碳中和领域——数字化碳管理平台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leftChars="0" w:right="0" w:hanging="6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highlight w:val="none"/>
              </w:rPr>
              <w:t>启动时间</w:t>
            </w:r>
          </w:p>
        </w:tc>
        <w:tc>
          <w:tcPr>
            <w:tcW w:w="332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leftChars="0" w:right="0" w:hanging="6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highlight w:val="none"/>
              </w:rPr>
              <w:t>2024年1月</w:t>
            </w:r>
          </w:p>
        </w:tc>
        <w:tc>
          <w:tcPr>
            <w:tcW w:w="15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leftChars="0" w:right="0" w:hanging="6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2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highlight w:val="none"/>
              </w:rPr>
              <w:t>计划完成时间</w:t>
            </w:r>
          </w:p>
        </w:tc>
        <w:tc>
          <w:tcPr>
            <w:tcW w:w="285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0" w:leftChars="0" w:right="0" w:hanging="6"/>
              <w:jc w:val="center"/>
              <w:textAlignment w:val="baseline"/>
              <w:rPr>
                <w:rFonts w:ascii="宋体" w:hAnsi="宋体" w:eastAsia="宋体" w:cs="宋体"/>
                <w:color w:val="auto"/>
                <w:spacing w:val="-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highlight w:val="none"/>
              </w:rPr>
              <w:t>2025年12月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11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40" w:lineRule="auto"/>
              <w:ind w:left="0" w:leftChars="0" w:right="0"/>
              <w:jc w:val="center"/>
              <w:textAlignment w:val="baseline"/>
              <w:rPr>
                <w:color w:val="auto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8" w:lineRule="auto"/>
              <w:ind w:left="0" w:leftChars="0" w:right="0" w:hanging="420"/>
              <w:jc w:val="center"/>
              <w:textAlignment w:val="baseline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highlight w:val="none"/>
              </w:rPr>
              <w:t>榜单具体</w:t>
            </w:r>
            <w:r>
              <w:rPr>
                <w:rFonts w:ascii="宋体" w:hAnsi="宋体" w:eastAsia="宋体" w:cs="宋体"/>
                <w:color w:val="auto"/>
                <w:spacing w:val="-1"/>
                <w:highlight w:val="none"/>
              </w:rPr>
              <w:t>内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>容</w:t>
            </w:r>
          </w:p>
        </w:tc>
        <w:tc>
          <w:tcPr>
            <w:tcW w:w="7772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hanging="3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</w:rPr>
              <w:t>技术方案概述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1" w:firstLineChars="198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综合运用工业互联网、物联网、区块链、云计算、5G、大数据、人工智能、工业视觉、边缘计算等前沿技术，结合国家/行业/地区温室气体排放核算方法与报告指南等相关政策，通过技术创新、产品结构创新、产品性能创新及使用效果创新等途径，研发具有核心自主知识产权且达到国际先进、国内领先水平的监测管理平台，实现对企业生产全过程能耗和碳排放数据的实时监测与智能管理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hanging="3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</w:rPr>
              <w:t>相关内容指标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6" w:firstLineChars="20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具有可靠的兼容性和性能效率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可与国产化平台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适配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且在性能效率方面，系统50并发时，事务成功率≥99%、CPU使用率&lt;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%、内存使用率&lt;6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%；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6" w:firstLineChars="20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碳排放数据的智能识别、自动采集、大数据分析，可追溯，可视化展示；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6" w:firstLineChars="20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形成知识产权的技术成果：形成2项II类知识产权或1项发明专利；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6" w:firstLineChars="20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实现良好的经济社会效益：成果产业化两年内，产生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达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500万的经济收益；落地行业应用企业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达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10家；技术服务累计覆盖二氧化碳排放当量超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0万吨。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0" w:firstLineChars="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</w:rPr>
              <w:t>、涉及基本模块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6" w:firstLineChars="20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1、</w:t>
            </w:r>
            <w:r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设备信息统计：统计所有设备的数量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基本信息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质保期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使用场景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eastAsia="zh-CN"/>
              </w:rPr>
              <w:t>、</w:t>
            </w:r>
            <w:r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报废年限等。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6" w:firstLineChars="20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2、</w:t>
            </w:r>
            <w:r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各种能耗数据在线采集、监测。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6" w:firstLineChars="20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3、</w:t>
            </w:r>
            <w:r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设备的能耗、碳排放数据统计与分析。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6" w:firstLineChars="20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4、</w:t>
            </w:r>
            <w:r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空气质量分析，监测点PM2.5、温度、湿度、二氧化碳浓度、可挥发性有机物的数据采集与分析。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6" w:firstLineChars="20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5、</w:t>
            </w:r>
            <w:r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用户管理，开户登记与角色管理，操作权限分配，用户注销等。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</w:rPr>
              <w:t>技术路径导向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1" w:firstLineChars="198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按照“需求分析—架构设计—技术攻关—平台研发—成果转化及工程化、产业化示范应用”的总体路线开展研究。主要探索以标识解析技术与物联网技术为支撑，构建碳排放在线监测和管理的系统平台。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1" w:firstLineChars="198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采用“总体设计、适当超前、分期实施”的建设思路开展实施。由展现层、应用层、平台层、采集层和设备/现场5大部分组成。其中展现层是将所采集的数据经过特定算法处理后呈现给用户的；应用层是指我们将该平台实际应用在的行业和领域；平台层是整个碳排放物联网监测与管理平台系统的核心，包含数据处理中心、Web交互界面、大屏幕投影等；采集层和设备/现场是服务前端的各类数据采集点，通过不同的传感器和通信节点完成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1" w:firstLineChars="198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从节能减排方面监测，涉及的主要有用电量、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天然气使用量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、煤消耗等方面的数据采集。监测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对象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是根据政府相关部门的要求来确定的，这里主要研究的是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  <w:lang w:val="en-US" w:eastAsia="zh-CN"/>
              </w:rPr>
              <w:t>对象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特点和选用数据采集的技术方案。在数据信息传输方面主要运用互联网、5G网络“片切块”及短距离射频芯片解决。平台建成后旨在实现节能减排指标在线动态监控，为节能减排工作提供了客观的数据基础。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11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08" w:lineRule="auto"/>
              <w:ind w:left="0" w:leftChars="0" w:right="0"/>
              <w:jc w:val="center"/>
              <w:textAlignment w:val="baseline"/>
              <w:rPr>
                <w:color w:val="auto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8" w:lineRule="auto"/>
              <w:ind w:left="0" w:leftChars="0" w:right="0" w:hanging="418"/>
              <w:jc w:val="center"/>
              <w:textAlignment w:val="baseline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highlight w:val="none"/>
              </w:rPr>
              <w:t>榜单效益</w:t>
            </w:r>
            <w:r>
              <w:rPr>
                <w:rFonts w:ascii="宋体" w:hAnsi="宋体" w:eastAsia="宋体" w:cs="宋体"/>
                <w:color w:val="auto"/>
                <w:spacing w:val="-1"/>
                <w:highlight w:val="none"/>
              </w:rPr>
              <w:t>目</w:t>
            </w:r>
            <w:r>
              <w:rPr>
                <w:rFonts w:ascii="宋体" w:hAnsi="宋体" w:eastAsia="宋体" w:cs="宋体"/>
                <w:color w:val="auto"/>
                <w:highlight w:val="none"/>
              </w:rPr>
              <w:t>标</w:t>
            </w:r>
          </w:p>
        </w:tc>
        <w:tc>
          <w:tcPr>
            <w:tcW w:w="7772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1" w:firstLineChars="198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研发成果将应用在木材和木材加工业，在碳排放监测、碳盘查、碳足迹、碳核算等业务工作中，为降碳、减污、节能、增效提供平台支撑、数据服务、技术咨询和决策支持，帮助用户如期实现碳达峰、碳中和，并推动区域经济绿色化、数字化、智慧化转型发展和产业结构优化升级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1" w:firstLineChars="198"/>
              <w:textAlignment w:val="baseline"/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  <w:t>木材和木材加工业中的龙头企业重视低碳发展，已在陆续开展光伏发电、碳排放监测等项目进行节能减排，如顾家家居预估年均减少用电量3000万度，减少二氧化碳排放2.35万吨；索菲亚折合年均减少二氧化碳排放3.71万吨，相当于节约标准煤3696.2吨；欧派家居年均可节约二氧化碳排放量1.87万吨。本项目相关成果在广东省产业化试点应用并取得良好示范效益后，向全行业全面铺开推广，快速形成产业化规模应用效应，实现全社会对碳排放的有效管控和科学决策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3" w:firstLineChars="198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</w:rPr>
              <w:t>碳排放监测市场总规模约为1573亿元，预测木材和木材加工业的市场规模约50亿元，且随着我国双碳政策收紧，市场空间将进一步释放。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 w:firstLine="417" w:firstLineChars="200"/>
              <w:textAlignment w:val="baseline"/>
              <w:rPr>
                <w:rFonts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4"/>
                <w:sz w:val="20"/>
                <w:szCs w:val="20"/>
                <w:highlight w:val="none"/>
              </w:rPr>
              <w:t>相关成果的应用和推广，为木材和木材加工业“双碳”目标提供工业互联网标识解析、物联网数据采集与区块链存证、碳排放智能监测等技术支持，对加快推动建设我国碳达峰碳中和现代产业体系，助力如期实现2030年碳达峰、2060年碳中和具有重大的社会效益。</w:t>
            </w:r>
          </w:p>
          <w:p>
            <w:pPr>
              <w:keepNext w:val="0"/>
              <w:keepLines w:val="0"/>
              <w:pageBreakBefore w:val="0"/>
              <w:widowControl/>
              <w:shd w:val="clear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96" w:lineRule="auto"/>
              <w:ind w:left="0" w:leftChars="0" w:right="0"/>
              <w:textAlignment w:val="baseline"/>
              <w:rPr>
                <w:rFonts w:ascii="宋体" w:hAnsi="宋体" w:eastAsia="宋体" w:cs="宋体"/>
                <w:color w:val="auto"/>
                <w:spacing w:val="4"/>
                <w:sz w:val="20"/>
                <w:szCs w:val="20"/>
                <w:highlight w:val="none"/>
              </w:rPr>
            </w:pPr>
          </w:p>
        </w:tc>
      </w:tr>
    </w:tbl>
    <w:p>
      <w:pPr>
        <w:shd w:val="clear"/>
        <w:rPr>
          <w:color w:val="auto"/>
          <w:highlight w:val="none"/>
        </w:rPr>
      </w:pPr>
      <w:bookmarkStart w:id="0" w:name="_GoBack"/>
      <w:bookmarkEnd w:id="0"/>
    </w:p>
    <w:sectPr>
      <w:footerReference r:id="rId3" w:type="default"/>
      <w:pgSz w:w="11907" w:h="16839"/>
      <w:pgMar w:top="1235" w:right="1413" w:bottom="1146" w:left="1521" w:header="0" w:footer="85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9" w:lineRule="auto"/>
      <w:ind w:right="411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9"/>
        <w:sz w:val="28"/>
        <w:szCs w:val="28"/>
      </w:rPr>
      <w:t>—11—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true"/>
  <w:bordersDoNotSurroundHeader w:val="true"/>
  <w:bordersDoNotSurroundFooter w:val="true"/>
  <w:documentProtection w:enforcement="0"/>
  <w:defaultTabStop w:val="420"/>
  <w:displayHorizontalDrawingGridEvery w:val="0"/>
  <w:displayVerticalDrawingGridEvery w:val="2"/>
  <w:characterSpacingControl w:val="doNotCompress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wMGRhMzg4MDU3N2U1YjdiZDlmNmRmOTg2Yzk5MDMifQ=="/>
  </w:docVars>
  <w:rsids>
    <w:rsidRoot w:val="00AA748F"/>
    <w:rsid w:val="002233FB"/>
    <w:rsid w:val="003E5B23"/>
    <w:rsid w:val="004B6518"/>
    <w:rsid w:val="00777157"/>
    <w:rsid w:val="00AA748F"/>
    <w:rsid w:val="00B92313"/>
    <w:rsid w:val="00F3505A"/>
    <w:rsid w:val="09273A00"/>
    <w:rsid w:val="0F3B4D2F"/>
    <w:rsid w:val="0F56096D"/>
    <w:rsid w:val="0F751E70"/>
    <w:rsid w:val="1556100F"/>
    <w:rsid w:val="16BA43AA"/>
    <w:rsid w:val="17161452"/>
    <w:rsid w:val="1E7547C4"/>
    <w:rsid w:val="224B7D46"/>
    <w:rsid w:val="22BE442A"/>
    <w:rsid w:val="27845B11"/>
    <w:rsid w:val="2CBF0996"/>
    <w:rsid w:val="3D1A3226"/>
    <w:rsid w:val="4540092C"/>
    <w:rsid w:val="4C442057"/>
    <w:rsid w:val="50190BCC"/>
    <w:rsid w:val="525E054E"/>
    <w:rsid w:val="56226A41"/>
    <w:rsid w:val="675237F5"/>
    <w:rsid w:val="76074E41"/>
    <w:rsid w:val="786540DE"/>
    <w:rsid w:val="78F80BDA"/>
    <w:rsid w:val="7A474EB6"/>
    <w:rsid w:val="7B423A8E"/>
    <w:rsid w:val="7BE14791"/>
    <w:rsid w:val="7C7000E8"/>
    <w:rsid w:val="7D3E0ACF"/>
    <w:rsid w:val="7DA22C75"/>
    <w:rsid w:val="7F6852F2"/>
    <w:rsid w:val="7F92054D"/>
    <w:rsid w:val="7FFE0B26"/>
    <w:rsid w:val="8DD9F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table" w:customStyle="1" w:styleId="5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批注框文本 Char"/>
    <w:basedOn w:val="4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4113</Words>
  <Characters>4233</Characters>
  <Lines>37</Lines>
  <Paragraphs>10</Paragraphs>
  <TotalTime>24</TotalTime>
  <ScaleCrop>false</ScaleCrop>
  <LinksUpToDate>false</LinksUpToDate>
  <CharactersWithSpaces>4233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2023-08-05T08:24:00Z</dcterms:created>
  <dc:creator>Lenovo User</dc:creator>
  <cp:lastModifiedBy>禤维强</cp:lastModifiedBy>
  <dcterms:modified xsi:type="dcterms:W3CDTF">2023-10-26T18:45:29Z</dcterms:modified>
  <dc:title>办文〔2006〕5号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2023-08-04T16:24:30Z</vt:filetime>
  </property>
  <property fmtid="{D5CDD505-2E9C-101B-9397-08002B2CF9AE}" pid="4" name="KSOProductBuildVer">
    <vt:lpwstr>2052-11.8.2.10125</vt:lpwstr>
  </property>
  <property fmtid="{D5CDD505-2E9C-101B-9397-08002B2CF9AE}" pid="5" name="ICV">
    <vt:lpwstr>9D85D34D3AFA4A03A9E2BB615B8966F2</vt:lpwstr>
  </property>
</Properties>
</file>