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lang w:val="en-US" w:eastAsia="zh-CN"/>
        </w:rPr>
        <w:t>2024年开平市政数局</w:t>
      </w:r>
      <w:r>
        <w:rPr>
          <w:rFonts w:hint="eastAsia" w:ascii="方正小标宋简体" w:hAnsi="方正小标宋简体" w:eastAsia="方正小标宋简体" w:cs="方正小标宋简体"/>
          <w:b w:val="0"/>
          <w:bCs w:val="0"/>
          <w:color w:val="auto"/>
          <w:sz w:val="44"/>
          <w:szCs w:val="44"/>
          <w:highlight w:val="none"/>
        </w:rPr>
        <w:t>UPS、防火墙</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b/>
          <w:bCs/>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rPr>
        <w:t>维保项目采购需求</w:t>
      </w:r>
    </w:p>
    <w:p>
      <w:pPr>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val="0"/>
          <w:bCs w:val="0"/>
          <w:color w:val="auto"/>
          <w:sz w:val="32"/>
          <w:szCs w:val="32"/>
          <w:highlight w:val="none"/>
        </w:rPr>
      </w:pPr>
    </w:p>
    <w:p>
      <w:pPr>
        <w:pStyle w:val="2"/>
        <w:pageBreakBefore w:val="0"/>
        <w:numPr>
          <w:ilvl w:val="0"/>
          <w:numId w:val="0"/>
        </w:numPr>
        <w:kinsoku/>
        <w:wordWrap/>
        <w:overflowPunct/>
        <w:topLinePunct w:val="0"/>
        <w:autoSpaceDE/>
        <w:autoSpaceDN/>
        <w:bidi w:val="0"/>
        <w:spacing w:before="0" w:after="0" w:line="560" w:lineRule="exact"/>
        <w:ind w:left="0" w:leftChars="0" w:firstLine="640" w:firstLineChars="200"/>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snapToGrid w:val="0"/>
          <w:color w:val="auto"/>
          <w:kern w:val="44"/>
          <w:sz w:val="32"/>
          <w:szCs w:val="32"/>
          <w:highlight w:val="none"/>
          <w:lang w:val="en-US" w:eastAsia="zh-CN" w:bidi="ar-SA"/>
        </w:rPr>
        <w:t>一、</w:t>
      </w:r>
      <w:r>
        <w:rPr>
          <w:rFonts w:hint="eastAsia" w:ascii="黑体" w:hAnsi="黑体" w:eastAsia="黑体" w:cs="黑体"/>
          <w:b w:val="0"/>
          <w:bCs w:val="0"/>
          <w:color w:val="auto"/>
          <w:sz w:val="32"/>
          <w:szCs w:val="32"/>
          <w:highlight w:val="none"/>
        </w:rPr>
        <w:t>项目概述</w:t>
      </w:r>
    </w:p>
    <w:p>
      <w:pPr>
        <w:pageBreakBefore w:val="0"/>
        <w:kinsoku/>
        <w:wordWrap/>
        <w:overflowPunct/>
        <w:topLinePunct w:val="0"/>
        <w:autoSpaceDE/>
        <w:autoSpaceDN/>
        <w:bidi w:val="0"/>
        <w:spacing w:line="560" w:lineRule="exact"/>
        <w:ind w:left="0" w:firstLine="640" w:firstLineChars="200"/>
        <w:textAlignment w:val="auto"/>
        <w:rPr>
          <w:rFonts w:hint="eastAsia" w:ascii="楷体" w:hAnsi="楷体" w:eastAsia="楷体" w:cs="楷体"/>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eastAsia="zh-CN"/>
        </w:rPr>
        <w:t>（</w:t>
      </w:r>
      <w:r>
        <w:rPr>
          <w:rFonts w:hint="eastAsia" w:ascii="楷体" w:hAnsi="楷体" w:eastAsia="楷体" w:cs="楷体"/>
          <w:b w:val="0"/>
          <w:bCs w:val="0"/>
          <w:color w:val="auto"/>
          <w:sz w:val="32"/>
          <w:szCs w:val="32"/>
          <w:highlight w:val="none"/>
          <w:lang w:val="en-US" w:eastAsia="zh-CN"/>
        </w:rPr>
        <w:t>一）项目名称</w:t>
      </w:r>
    </w:p>
    <w:p>
      <w:pPr>
        <w:pageBreakBefore w:val="0"/>
        <w:kinsoku/>
        <w:wordWrap/>
        <w:overflowPunct/>
        <w:topLinePunct w:val="0"/>
        <w:autoSpaceDE/>
        <w:autoSpaceDN/>
        <w:bidi w:val="0"/>
        <w:spacing w:line="560" w:lineRule="exact"/>
        <w:ind w:left="0" w:firstLine="640" w:firstLineChars="200"/>
        <w:textAlignment w:val="auto"/>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2024年</w:t>
      </w:r>
      <w:r>
        <w:rPr>
          <w:rFonts w:hint="eastAsia" w:ascii="仿宋_GB2312" w:hAnsi="仿宋_GB2312" w:eastAsia="仿宋_GB2312" w:cs="仿宋_GB2312"/>
          <w:b w:val="0"/>
          <w:bCs w:val="0"/>
          <w:color w:val="auto"/>
          <w:sz w:val="32"/>
          <w:szCs w:val="32"/>
          <w:highlight w:val="none"/>
          <w:lang w:val="en-US" w:eastAsia="zh-CN"/>
        </w:rPr>
        <w:t>开平市政数局</w:t>
      </w:r>
      <w:r>
        <w:rPr>
          <w:rFonts w:hint="default" w:ascii="仿宋_GB2312" w:hAnsi="仿宋_GB2312" w:eastAsia="仿宋_GB2312" w:cs="仿宋_GB2312"/>
          <w:b w:val="0"/>
          <w:bCs w:val="0"/>
          <w:color w:val="auto"/>
          <w:sz w:val="32"/>
          <w:szCs w:val="32"/>
          <w:highlight w:val="none"/>
          <w:lang w:val="en-US" w:eastAsia="zh-CN"/>
        </w:rPr>
        <w:t>UPS、防火墙维保项目</w:t>
      </w:r>
    </w:p>
    <w:p>
      <w:pPr>
        <w:pageBreakBefore w:val="0"/>
        <w:kinsoku/>
        <w:wordWrap/>
        <w:overflowPunct/>
        <w:topLinePunct w:val="0"/>
        <w:autoSpaceDE/>
        <w:autoSpaceDN/>
        <w:bidi w:val="0"/>
        <w:spacing w:line="560" w:lineRule="exact"/>
        <w:ind w:left="0" w:firstLine="640" w:firstLineChars="200"/>
        <w:textAlignment w:val="auto"/>
        <w:rPr>
          <w:rFonts w:hint="eastAsia" w:ascii="楷体" w:hAnsi="楷体" w:eastAsia="楷体" w:cs="楷体"/>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（二）项目背景</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根据《关于印发开平市深入推进（省试点）基层公共服务综合平台建设工作方案的通知》（开委办﹝2015﹞20号）文件要求，已建立市、镇（街道）、村（社区）公共服务综合平台信息网络系统。</w:t>
      </w:r>
      <w:r>
        <w:rPr>
          <w:rFonts w:hint="eastAsia" w:ascii="仿宋_GB2312" w:hAnsi="仿宋_GB2312" w:eastAsia="仿宋_GB2312" w:cs="仿宋_GB2312"/>
          <w:color w:val="auto"/>
          <w:sz w:val="32"/>
          <w:szCs w:val="32"/>
          <w:highlight w:val="none"/>
          <w:lang w:val="en-US" w:eastAsia="zh-CN"/>
        </w:rPr>
        <w:t>开平市中心机房UPS、防火墙等设备需购买维护服务，以保证在其正常运作。</w:t>
      </w:r>
    </w:p>
    <w:p>
      <w:pPr>
        <w:pStyle w:val="2"/>
        <w:pageBreakBefore w:val="0"/>
        <w:numPr>
          <w:ilvl w:val="0"/>
          <w:numId w:val="0"/>
        </w:numPr>
        <w:kinsoku/>
        <w:wordWrap/>
        <w:overflowPunct/>
        <w:topLinePunct w:val="0"/>
        <w:autoSpaceDE/>
        <w:autoSpaceDN/>
        <w:bidi w:val="0"/>
        <w:spacing w:before="0" w:after="0" w:line="560" w:lineRule="exact"/>
        <w:ind w:left="0" w:leftChars="0" w:firstLine="640" w:firstLineChars="200"/>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snapToGrid w:val="0"/>
          <w:color w:val="auto"/>
          <w:kern w:val="44"/>
          <w:sz w:val="32"/>
          <w:szCs w:val="32"/>
          <w:highlight w:val="none"/>
          <w:lang w:val="en-US" w:eastAsia="zh-CN" w:bidi="ar-SA"/>
        </w:rPr>
        <w:t>二、</w:t>
      </w:r>
      <w:r>
        <w:rPr>
          <w:rFonts w:hint="eastAsia" w:ascii="黑体" w:hAnsi="黑体" w:eastAsia="黑体" w:cs="黑体"/>
          <w:b w:val="0"/>
          <w:bCs w:val="0"/>
          <w:color w:val="auto"/>
          <w:sz w:val="32"/>
          <w:szCs w:val="32"/>
          <w:highlight w:val="none"/>
        </w:rPr>
        <w:t>服务</w:t>
      </w:r>
      <w:bookmarkStart w:id="42" w:name="_GoBack"/>
      <w:bookmarkEnd w:id="42"/>
      <w:r>
        <w:rPr>
          <w:rFonts w:hint="eastAsia" w:ascii="黑体" w:hAnsi="黑体" w:eastAsia="黑体" w:cs="黑体"/>
          <w:b w:val="0"/>
          <w:bCs w:val="0"/>
          <w:color w:val="auto"/>
          <w:sz w:val="32"/>
          <w:szCs w:val="32"/>
          <w:highlight w:val="none"/>
        </w:rPr>
        <w:t>供应商资格要求</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（一）投报人符合《中华人民共和国政府采购法》相关的规定。</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（二）投报人应当是具有合法经营资格的法人，具有良好的信誉</w:t>
      </w:r>
      <w:r>
        <w:rPr>
          <w:rFonts w:hint="eastAsia" w:ascii="仿宋_GB2312" w:hAnsi="仿宋_GB2312" w:eastAsia="仿宋_GB2312" w:cs="仿宋_GB2312"/>
          <w:b w:val="0"/>
          <w:bCs w:val="0"/>
          <w:color w:val="auto"/>
          <w:sz w:val="32"/>
          <w:szCs w:val="32"/>
          <w:highlight w:val="none"/>
          <w:lang w:eastAsia="zh-CN"/>
        </w:rPr>
        <w:t>。</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（三）不接受投报人委托第三方提供售后服务。</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（四）投报人须有能力提供完善的售后服务，包括：稳定技术人员、响应时间，技术服务人员须有相关工作经验并熟练掌握本系统。</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（五）本项目不接受联合体投报，不允许转包或分包项目。</w:t>
      </w:r>
    </w:p>
    <w:p>
      <w:pPr>
        <w:pStyle w:val="2"/>
        <w:pageBreakBefore w:val="0"/>
        <w:numPr>
          <w:ilvl w:val="0"/>
          <w:numId w:val="0"/>
        </w:numPr>
        <w:kinsoku/>
        <w:wordWrap/>
        <w:overflowPunct/>
        <w:topLinePunct w:val="0"/>
        <w:autoSpaceDE/>
        <w:autoSpaceDN/>
        <w:bidi w:val="0"/>
        <w:spacing w:before="0" w:after="0" w:line="560" w:lineRule="exact"/>
        <w:ind w:left="0" w:leftChars="0" w:firstLine="640" w:firstLineChars="200"/>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snapToGrid w:val="0"/>
          <w:color w:val="auto"/>
          <w:kern w:val="44"/>
          <w:sz w:val="32"/>
          <w:szCs w:val="32"/>
          <w:highlight w:val="none"/>
          <w:lang w:val="en-US" w:eastAsia="zh-CN" w:bidi="ar-SA"/>
        </w:rPr>
        <w:t>三、</w:t>
      </w:r>
      <w:r>
        <w:rPr>
          <w:rFonts w:hint="eastAsia" w:ascii="黑体" w:hAnsi="黑体" w:eastAsia="黑体" w:cs="黑体"/>
          <w:b w:val="0"/>
          <w:bCs w:val="0"/>
          <w:color w:val="auto"/>
          <w:sz w:val="32"/>
          <w:szCs w:val="32"/>
          <w:highlight w:val="none"/>
        </w:rPr>
        <w:t>服务内容</w:t>
      </w:r>
    </w:p>
    <w:p>
      <w:pPr>
        <w:pStyle w:val="2"/>
        <w:pageBreakBefore w:val="0"/>
        <w:numPr>
          <w:ilvl w:val="0"/>
          <w:numId w:val="0"/>
        </w:numPr>
        <w:kinsoku/>
        <w:wordWrap/>
        <w:overflowPunct/>
        <w:topLinePunct w:val="0"/>
        <w:autoSpaceDE/>
        <w:autoSpaceDN/>
        <w:bidi w:val="0"/>
        <w:spacing w:before="0" w:after="0" w:line="560" w:lineRule="exact"/>
        <w:ind w:left="0" w:leftChars="0" w:firstLine="640" w:firstLineChars="200"/>
        <w:textAlignment w:val="auto"/>
        <w:rPr>
          <w:rFonts w:hint="eastAsia" w:ascii="楷体" w:hAnsi="楷体" w:eastAsia="楷体" w:cs="楷体"/>
          <w:b w:val="0"/>
          <w:bCs w:val="0"/>
          <w:color w:val="auto"/>
          <w:sz w:val="32"/>
          <w:szCs w:val="32"/>
          <w:highlight w:val="none"/>
        </w:rPr>
      </w:pPr>
      <w:r>
        <w:rPr>
          <w:rFonts w:hint="eastAsia" w:ascii="楷体" w:hAnsi="楷体" w:eastAsia="楷体" w:cs="楷体"/>
          <w:b w:val="0"/>
          <w:bCs w:val="0"/>
          <w:color w:val="auto"/>
          <w:sz w:val="32"/>
          <w:szCs w:val="32"/>
          <w:highlight w:val="none"/>
          <w:lang w:eastAsia="zh-CN"/>
        </w:rPr>
        <w:t>（</w:t>
      </w:r>
      <w:r>
        <w:rPr>
          <w:rFonts w:hint="eastAsia" w:ascii="楷体" w:hAnsi="楷体" w:eastAsia="楷体" w:cs="楷体"/>
          <w:b w:val="0"/>
          <w:bCs w:val="0"/>
          <w:color w:val="auto"/>
          <w:sz w:val="32"/>
          <w:szCs w:val="32"/>
          <w:highlight w:val="none"/>
          <w:lang w:val="en-US" w:eastAsia="zh-CN"/>
        </w:rPr>
        <w:t>一）</w:t>
      </w:r>
      <w:r>
        <w:rPr>
          <w:rFonts w:hint="eastAsia" w:ascii="楷体" w:hAnsi="楷体" w:eastAsia="楷体" w:cs="楷体"/>
          <w:b w:val="0"/>
          <w:bCs w:val="0"/>
          <w:color w:val="auto"/>
          <w:sz w:val="32"/>
          <w:szCs w:val="32"/>
          <w:highlight w:val="none"/>
        </w:rPr>
        <w:t>服务项目清单</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highlight w:val="none"/>
        </w:rPr>
      </w:pPr>
      <w:bookmarkStart w:id="0" w:name="_Toc10825"/>
      <w:r>
        <w:rPr>
          <w:rFonts w:hint="eastAsia" w:ascii="仿宋_GB2312" w:hAnsi="仿宋_GB2312" w:eastAsia="仿宋_GB2312" w:cs="仿宋_GB2312"/>
          <w:b w:val="0"/>
          <w:bCs w:val="0"/>
          <w:color w:val="auto"/>
          <w:sz w:val="32"/>
          <w:szCs w:val="32"/>
          <w:highlight w:val="none"/>
        </w:rPr>
        <w:t>1</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开平市政府中心机房多功能安全网关双机部署工程项目清单</w:t>
      </w:r>
      <w:bookmarkEnd w:id="0"/>
      <w:r>
        <w:rPr>
          <w:rFonts w:hint="eastAsia" w:ascii="仿宋_GB2312" w:hAnsi="仿宋_GB2312" w:eastAsia="仿宋_GB2312" w:cs="仿宋_GB2312"/>
          <w:b w:val="0"/>
          <w:bCs w:val="0"/>
          <w:color w:val="auto"/>
          <w:sz w:val="32"/>
          <w:szCs w:val="32"/>
          <w:highlight w:val="none"/>
          <w:lang w:eastAsia="zh-CN"/>
        </w:rPr>
        <w:t>：</w:t>
      </w:r>
    </w:p>
    <w:tbl>
      <w:tblPr>
        <w:tblStyle w:val="15"/>
        <w:tblW w:w="9280" w:type="dxa"/>
        <w:tblInd w:w="0" w:type="dxa"/>
        <w:tblLayout w:type="autofit"/>
        <w:tblCellMar>
          <w:top w:w="0" w:type="dxa"/>
          <w:left w:w="108" w:type="dxa"/>
          <w:bottom w:w="0" w:type="dxa"/>
          <w:right w:w="108" w:type="dxa"/>
        </w:tblCellMar>
      </w:tblPr>
      <w:tblGrid>
        <w:gridCol w:w="456"/>
        <w:gridCol w:w="456"/>
        <w:gridCol w:w="2496"/>
        <w:gridCol w:w="4508"/>
        <w:gridCol w:w="456"/>
        <w:gridCol w:w="456"/>
        <w:gridCol w:w="452"/>
      </w:tblGrid>
      <w:tr>
        <w:tblPrEx>
          <w:tblCellMar>
            <w:top w:w="0" w:type="dxa"/>
            <w:left w:w="108" w:type="dxa"/>
            <w:bottom w:w="0" w:type="dxa"/>
            <w:right w:w="108" w:type="dxa"/>
          </w:tblCellMar>
        </w:tblPrEx>
        <w:trPr>
          <w:trHeight w:val="1165"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left"/>
              <w:textAlignment w:val="center"/>
              <w:rPr>
                <w:rFonts w:cs="宋体"/>
                <w:b/>
                <w:bCs/>
                <w:color w:val="000000"/>
                <w:sz w:val="21"/>
                <w:szCs w:val="21"/>
                <w:highlight w:val="none"/>
              </w:rPr>
            </w:pPr>
            <w:r>
              <w:rPr>
                <w:rFonts w:hint="eastAsia" w:cs="宋体"/>
                <w:b/>
                <w:bCs/>
                <w:color w:val="000000"/>
                <w:sz w:val="21"/>
                <w:szCs w:val="21"/>
                <w:highlight w:val="none"/>
                <w:lang w:bidi="ar"/>
              </w:rPr>
              <w:t>名称</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left"/>
              <w:textAlignment w:val="center"/>
              <w:rPr>
                <w:rFonts w:cs="宋体"/>
                <w:b/>
                <w:bCs/>
                <w:color w:val="000000"/>
                <w:sz w:val="21"/>
                <w:szCs w:val="21"/>
                <w:highlight w:val="none"/>
              </w:rPr>
            </w:pPr>
            <w:r>
              <w:rPr>
                <w:rFonts w:hint="eastAsia" w:cs="宋体"/>
                <w:b/>
                <w:bCs/>
                <w:color w:val="000000"/>
                <w:sz w:val="21"/>
                <w:szCs w:val="21"/>
                <w:highlight w:val="none"/>
                <w:lang w:bidi="ar"/>
              </w:rPr>
              <w:t>牌子</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left"/>
              <w:textAlignment w:val="center"/>
              <w:rPr>
                <w:rFonts w:cs="宋体"/>
                <w:b/>
                <w:bCs/>
                <w:color w:val="000000"/>
                <w:sz w:val="21"/>
                <w:szCs w:val="21"/>
                <w:highlight w:val="none"/>
              </w:rPr>
            </w:pPr>
            <w:r>
              <w:rPr>
                <w:rFonts w:hint="eastAsia" w:cs="宋体"/>
                <w:b/>
                <w:bCs/>
                <w:color w:val="000000"/>
                <w:sz w:val="21"/>
                <w:szCs w:val="21"/>
                <w:highlight w:val="none"/>
                <w:lang w:bidi="ar"/>
              </w:rPr>
              <w:t>型号</w:t>
            </w:r>
          </w:p>
        </w:tc>
        <w:tc>
          <w:tcPr>
            <w:tcW w:w="450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left"/>
              <w:textAlignment w:val="center"/>
              <w:rPr>
                <w:rFonts w:cs="宋体"/>
                <w:b/>
                <w:bCs/>
                <w:color w:val="000000"/>
                <w:sz w:val="21"/>
                <w:szCs w:val="21"/>
                <w:highlight w:val="none"/>
              </w:rPr>
            </w:pPr>
            <w:r>
              <w:rPr>
                <w:rFonts w:hint="eastAsia" w:cs="宋体"/>
                <w:b/>
                <w:bCs/>
                <w:color w:val="000000"/>
                <w:sz w:val="21"/>
                <w:szCs w:val="21"/>
                <w:highlight w:val="none"/>
                <w:lang w:bidi="ar"/>
              </w:rPr>
              <w:t>配置</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left"/>
              <w:textAlignment w:val="center"/>
              <w:rPr>
                <w:rFonts w:cs="宋体"/>
                <w:b/>
                <w:bCs/>
                <w:color w:val="000000"/>
                <w:sz w:val="21"/>
                <w:szCs w:val="21"/>
                <w:highlight w:val="none"/>
              </w:rPr>
            </w:pPr>
            <w:r>
              <w:rPr>
                <w:rFonts w:hint="eastAsia" w:cs="宋体"/>
                <w:b/>
                <w:bCs/>
                <w:color w:val="000000"/>
                <w:sz w:val="21"/>
                <w:szCs w:val="21"/>
                <w:highlight w:val="none"/>
                <w:lang w:bidi="ar"/>
              </w:rPr>
              <w:t>数量</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left"/>
              <w:textAlignment w:val="center"/>
              <w:rPr>
                <w:rFonts w:cs="宋体"/>
                <w:b/>
                <w:bCs/>
                <w:color w:val="000000"/>
                <w:sz w:val="21"/>
                <w:szCs w:val="21"/>
                <w:highlight w:val="none"/>
              </w:rPr>
            </w:pPr>
            <w:r>
              <w:rPr>
                <w:rFonts w:hint="eastAsia" w:cs="宋体"/>
                <w:b/>
                <w:bCs/>
                <w:color w:val="000000"/>
                <w:sz w:val="21"/>
                <w:szCs w:val="21"/>
                <w:highlight w:val="none"/>
                <w:lang w:bidi="ar"/>
              </w:rPr>
              <w:t>单位</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left"/>
              <w:textAlignment w:val="center"/>
              <w:rPr>
                <w:rFonts w:hint="eastAsia" w:cs="宋体"/>
                <w:b/>
                <w:bCs/>
                <w:color w:val="000000"/>
                <w:sz w:val="21"/>
                <w:szCs w:val="21"/>
                <w:highlight w:val="none"/>
                <w:lang w:bidi="ar"/>
              </w:rPr>
            </w:pPr>
            <w:r>
              <w:rPr>
                <w:rFonts w:hint="eastAsia" w:cs="宋体"/>
                <w:b/>
                <w:bCs/>
                <w:color w:val="000000"/>
                <w:sz w:val="21"/>
                <w:szCs w:val="21"/>
                <w:highlight w:val="none"/>
                <w:lang w:bidi="ar"/>
              </w:rPr>
              <w:t>资源现状</w:t>
            </w:r>
          </w:p>
        </w:tc>
      </w:tr>
      <w:tr>
        <w:tblPrEx>
          <w:tblCellMar>
            <w:top w:w="0" w:type="dxa"/>
            <w:left w:w="108" w:type="dxa"/>
            <w:bottom w:w="0" w:type="dxa"/>
            <w:right w:w="108" w:type="dxa"/>
          </w:tblCellMar>
        </w:tblPrEx>
        <w:trPr>
          <w:trHeight w:val="24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多功能安全网关</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山石网科</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防火墙SG-6000-C6050</w:t>
            </w:r>
          </w:p>
        </w:tc>
        <w:tc>
          <w:tcPr>
            <w:tcW w:w="4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防火墙续保服务</w:t>
            </w:r>
            <w:r>
              <w:rPr>
                <w:rFonts w:hint="default"/>
                <w:sz w:val="21"/>
                <w:szCs w:val="21"/>
                <w:highlight w:val="none"/>
                <w:lang w:val="en-US" w:eastAsia="zh-CN"/>
              </w:rPr>
              <w:t xml:space="preserve"> </w:t>
            </w:r>
            <w:r>
              <w:rPr>
                <w:rFonts w:hint="eastAsia"/>
                <w:sz w:val="21"/>
                <w:szCs w:val="21"/>
                <w:highlight w:val="none"/>
                <w:lang w:val="en-US" w:eastAsia="zh-CN"/>
              </w:rPr>
              <w:t>硬件续保服务</w:t>
            </w:r>
            <w:r>
              <w:rPr>
                <w:rFonts w:hint="default"/>
                <w:sz w:val="21"/>
                <w:szCs w:val="21"/>
                <w:highlight w:val="none"/>
                <w:lang w:val="en-US" w:eastAsia="zh-CN"/>
              </w:rPr>
              <w:t xml:space="preserve">SGSV-C6050-CN-HU SG-6000-C6050 </w:t>
            </w:r>
            <w:r>
              <w:rPr>
                <w:rFonts w:hint="eastAsia"/>
                <w:sz w:val="21"/>
                <w:szCs w:val="21"/>
                <w:highlight w:val="none"/>
                <w:lang w:val="en-US" w:eastAsia="zh-CN"/>
              </w:rPr>
              <w:t>一年基本硬件保修服务</w:t>
            </w:r>
            <w:r>
              <w:rPr>
                <w:rFonts w:hint="default"/>
                <w:sz w:val="21"/>
                <w:szCs w:val="21"/>
                <w:highlight w:val="none"/>
                <w:lang w:val="en-US" w:eastAsia="zh-CN"/>
              </w:rPr>
              <w:t>(</w:t>
            </w:r>
            <w:r>
              <w:rPr>
                <w:rFonts w:hint="eastAsia"/>
                <w:sz w:val="21"/>
                <w:szCs w:val="21"/>
                <w:highlight w:val="none"/>
                <w:lang w:val="en-US" w:eastAsia="zh-CN"/>
              </w:rPr>
              <w:t>保内续保</w:t>
            </w:r>
            <w:r>
              <w:rPr>
                <w:rFonts w:hint="default"/>
                <w:sz w:val="21"/>
                <w:szCs w:val="21"/>
                <w:highlight w:val="none"/>
                <w:lang w:val="en-US" w:eastAsia="zh-CN"/>
              </w:rPr>
              <w:t>)</w:t>
            </w:r>
            <w:r>
              <w:rPr>
                <w:rFonts w:hint="default"/>
                <w:sz w:val="21"/>
                <w:szCs w:val="21"/>
                <w:highlight w:val="none"/>
                <w:lang w:val="en-US" w:eastAsia="zh-CN"/>
              </w:rPr>
              <w:br w:type="textWrapping"/>
            </w:r>
            <w:r>
              <w:rPr>
                <w:rFonts w:hint="default"/>
                <w:sz w:val="21"/>
                <w:szCs w:val="21"/>
                <w:highlight w:val="none"/>
                <w:lang w:val="en-US" w:eastAsia="zh-CN"/>
              </w:rPr>
              <w:t xml:space="preserve"> </w:t>
            </w:r>
            <w:r>
              <w:rPr>
                <w:rFonts w:hint="eastAsia"/>
                <w:sz w:val="21"/>
                <w:szCs w:val="21"/>
                <w:highlight w:val="none"/>
                <w:lang w:val="en-US" w:eastAsia="zh-CN"/>
              </w:rPr>
              <w:t>软件续保</w:t>
            </w:r>
            <w:r>
              <w:rPr>
                <w:rFonts w:hint="default"/>
                <w:sz w:val="21"/>
                <w:szCs w:val="21"/>
                <w:highlight w:val="none"/>
                <w:lang w:val="en-US" w:eastAsia="zh-CN"/>
              </w:rPr>
              <w:t>SGSV-C6050-CN-SU SG-6000-C6050</w:t>
            </w:r>
            <w:r>
              <w:rPr>
                <w:rFonts w:hint="eastAsia"/>
                <w:sz w:val="21"/>
                <w:szCs w:val="21"/>
                <w:highlight w:val="none"/>
                <w:lang w:val="en-US" w:eastAsia="zh-CN"/>
              </w:rPr>
              <w:t>一年软件保内续保服务</w:t>
            </w:r>
            <w:r>
              <w:rPr>
                <w:rFonts w:hint="default"/>
                <w:sz w:val="21"/>
                <w:szCs w:val="21"/>
                <w:highlight w:val="none"/>
                <w:lang w:val="en-US" w:eastAsia="zh-CN"/>
              </w:rPr>
              <w:t xml:space="preserve"> Hillstone StoneOS </w:t>
            </w:r>
            <w:r>
              <w:rPr>
                <w:rFonts w:hint="eastAsia"/>
                <w:sz w:val="21"/>
                <w:szCs w:val="21"/>
                <w:highlight w:val="none"/>
                <w:lang w:val="en-US" w:eastAsia="zh-CN"/>
              </w:rPr>
              <w:t>安全操作系统</w:t>
            </w:r>
            <w:r>
              <w:rPr>
                <w:rFonts w:hint="default"/>
                <w:sz w:val="21"/>
                <w:szCs w:val="21"/>
                <w:highlight w:val="none"/>
                <w:lang w:val="en-US" w:eastAsia="zh-CN"/>
              </w:rPr>
              <w:t xml:space="preserve"> V5</w:t>
            </w:r>
            <w:r>
              <w:rPr>
                <w:rFonts w:hint="default"/>
                <w:sz w:val="21"/>
                <w:szCs w:val="21"/>
                <w:highlight w:val="none"/>
                <w:lang w:val="en-US" w:eastAsia="zh-CN"/>
              </w:rPr>
              <w:br w:type="textWrapping"/>
            </w:r>
            <w:r>
              <w:rPr>
                <w:rFonts w:hint="default"/>
                <w:sz w:val="21"/>
                <w:szCs w:val="21"/>
                <w:highlight w:val="none"/>
                <w:lang w:val="en-US" w:eastAsia="zh-CN"/>
              </w:rPr>
              <w:t xml:space="preserve"> </w:t>
            </w:r>
            <w:r>
              <w:rPr>
                <w:rFonts w:hint="eastAsia"/>
                <w:sz w:val="21"/>
                <w:szCs w:val="21"/>
                <w:highlight w:val="none"/>
                <w:lang w:val="en-US" w:eastAsia="zh-CN"/>
              </w:rPr>
              <w:t>安全模块升级服务</w:t>
            </w:r>
            <w:r>
              <w:rPr>
                <w:rFonts w:hint="default"/>
                <w:sz w:val="21"/>
                <w:szCs w:val="21"/>
                <w:highlight w:val="none"/>
                <w:lang w:val="en-US" w:eastAsia="zh-CN"/>
              </w:rPr>
              <w:t>SGSV-C6050-BDL1 1</w:t>
            </w:r>
            <w:r>
              <w:rPr>
                <w:rFonts w:hint="eastAsia"/>
                <w:sz w:val="21"/>
                <w:szCs w:val="21"/>
                <w:highlight w:val="none"/>
                <w:lang w:val="en-US" w:eastAsia="zh-CN"/>
              </w:rPr>
              <w:t>年升级服务（包括</w:t>
            </w:r>
            <w:r>
              <w:rPr>
                <w:rFonts w:hint="default"/>
                <w:sz w:val="21"/>
                <w:szCs w:val="21"/>
                <w:highlight w:val="none"/>
                <w:lang w:val="en-US" w:eastAsia="zh-CN"/>
              </w:rPr>
              <w:t>AV</w:t>
            </w:r>
            <w:r>
              <w:rPr>
                <w:rFonts w:hint="eastAsia"/>
                <w:sz w:val="21"/>
                <w:szCs w:val="21"/>
                <w:highlight w:val="none"/>
                <w:lang w:val="en-US" w:eastAsia="zh-CN"/>
              </w:rPr>
              <w:t>防病毒、</w:t>
            </w:r>
            <w:r>
              <w:rPr>
                <w:rFonts w:hint="default"/>
                <w:sz w:val="21"/>
                <w:szCs w:val="21"/>
                <w:highlight w:val="none"/>
                <w:lang w:val="en-US" w:eastAsia="zh-CN"/>
              </w:rPr>
              <w:t>IPS</w:t>
            </w:r>
            <w:r>
              <w:rPr>
                <w:rFonts w:hint="eastAsia"/>
                <w:sz w:val="21"/>
                <w:szCs w:val="21"/>
                <w:highlight w:val="none"/>
                <w:lang w:val="en-US" w:eastAsia="zh-CN"/>
              </w:rPr>
              <w:t>入侵防御系统、</w:t>
            </w:r>
            <w:r>
              <w:rPr>
                <w:rFonts w:hint="default"/>
                <w:sz w:val="21"/>
                <w:szCs w:val="21"/>
                <w:highlight w:val="none"/>
                <w:lang w:val="en-US" w:eastAsia="zh-CN"/>
              </w:rPr>
              <w:t>URL</w:t>
            </w:r>
            <w:r>
              <w:rPr>
                <w:rFonts w:hint="eastAsia"/>
                <w:sz w:val="21"/>
                <w:szCs w:val="21"/>
                <w:highlight w:val="none"/>
                <w:lang w:val="en-US" w:eastAsia="zh-CN"/>
              </w:rPr>
              <w:t>网页过滤、</w:t>
            </w:r>
            <w:r>
              <w:rPr>
                <w:rFonts w:hint="default"/>
                <w:sz w:val="21"/>
                <w:szCs w:val="21"/>
                <w:highlight w:val="none"/>
                <w:lang w:val="en-US" w:eastAsia="zh-CN"/>
              </w:rPr>
              <w:t>QoS</w:t>
            </w:r>
            <w:r>
              <w:rPr>
                <w:rFonts w:hint="eastAsia"/>
                <w:sz w:val="21"/>
                <w:szCs w:val="21"/>
                <w:highlight w:val="none"/>
                <w:lang w:val="en-US" w:eastAsia="zh-CN"/>
              </w:rPr>
              <w:t>流量控制升级服务）</w:t>
            </w:r>
            <w:r>
              <w:rPr>
                <w:rFonts w:hint="default"/>
                <w:sz w:val="21"/>
                <w:szCs w:val="21"/>
                <w:highlight w:val="none"/>
                <w:lang w:val="en-US" w:eastAsia="zh-CN"/>
              </w:rPr>
              <w:t xml:space="preserve"> </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2</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套</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line="240" w:lineRule="auto"/>
              <w:ind w:firstLine="0" w:firstLineChars="0"/>
              <w:jc w:val="left"/>
              <w:textAlignment w:val="center"/>
              <w:rPr>
                <w:rFonts w:hint="eastAsia"/>
                <w:sz w:val="21"/>
                <w:szCs w:val="21"/>
                <w:highlight w:val="none"/>
                <w:lang w:val="en-US" w:eastAsia="zh-CN"/>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867"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平台系统</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山石网科</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安全审计平台SG-6000-HAS-3D</w:t>
            </w:r>
          </w:p>
        </w:tc>
        <w:tc>
          <w:tcPr>
            <w:tcW w:w="4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default"/>
                <w:sz w:val="21"/>
                <w:szCs w:val="21"/>
                <w:highlight w:val="none"/>
                <w:lang w:val="en-US" w:eastAsia="zh-CN"/>
              </w:rPr>
              <w:t xml:space="preserve">SG-6000-HAS-3D        </w:t>
            </w:r>
            <w:r>
              <w:rPr>
                <w:rFonts w:hint="eastAsia"/>
                <w:sz w:val="21"/>
                <w:szCs w:val="21"/>
                <w:highlight w:val="none"/>
                <w:lang w:val="en-US" w:eastAsia="zh-CN"/>
              </w:rPr>
              <w:t>基本系统</w:t>
            </w:r>
            <w:r>
              <w:rPr>
                <w:rFonts w:hint="default"/>
                <w:sz w:val="21"/>
                <w:szCs w:val="21"/>
                <w:highlight w:val="none"/>
                <w:lang w:val="en-US" w:eastAsia="zh-CN"/>
              </w:rPr>
              <w:t xml:space="preserve"> </w:t>
            </w:r>
            <w:r>
              <w:rPr>
                <w:rFonts w:hint="eastAsia"/>
                <w:sz w:val="21"/>
                <w:szCs w:val="21"/>
                <w:highlight w:val="none"/>
                <w:lang w:val="en-US" w:eastAsia="zh-CN"/>
              </w:rPr>
              <w:t>包含安全网关审计平台硬件及安全网关审计平台软件，</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1</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套</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line="240" w:lineRule="auto"/>
              <w:ind w:firstLine="0" w:firstLineChars="0"/>
              <w:jc w:val="left"/>
              <w:textAlignment w:val="center"/>
              <w:rPr>
                <w:rFonts w:hint="eastAsia"/>
                <w:sz w:val="21"/>
                <w:szCs w:val="21"/>
                <w:highlight w:val="none"/>
                <w:lang w:val="en-US" w:eastAsia="zh-CN"/>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20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核心交换机</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华为</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S7706</w:t>
            </w:r>
          </w:p>
        </w:tc>
        <w:tc>
          <w:tcPr>
            <w:tcW w:w="4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default"/>
                <w:sz w:val="21"/>
                <w:szCs w:val="21"/>
                <w:highlight w:val="none"/>
                <w:lang w:val="en-US" w:eastAsia="zh-CN"/>
              </w:rPr>
              <w:t>S7706</w:t>
            </w:r>
            <w:r>
              <w:rPr>
                <w:rFonts w:hint="eastAsia"/>
                <w:sz w:val="21"/>
                <w:szCs w:val="21"/>
                <w:highlight w:val="none"/>
                <w:lang w:val="en-US" w:eastAsia="zh-CN"/>
              </w:rPr>
              <w:t>总装机箱</w:t>
            </w:r>
            <w:r>
              <w:rPr>
                <w:rFonts w:hint="default"/>
                <w:sz w:val="21"/>
                <w:szCs w:val="21"/>
                <w:highlight w:val="none"/>
                <w:lang w:val="en-US" w:eastAsia="zh-CN"/>
              </w:rPr>
              <w:br w:type="textWrapping"/>
            </w:r>
            <w:r>
              <w:rPr>
                <w:rFonts w:hint="default"/>
                <w:sz w:val="21"/>
                <w:szCs w:val="21"/>
                <w:highlight w:val="none"/>
                <w:lang w:val="en-US" w:eastAsia="zh-CN"/>
              </w:rPr>
              <w:t>S7706/S7712</w:t>
            </w:r>
            <w:r>
              <w:rPr>
                <w:rFonts w:hint="eastAsia"/>
                <w:sz w:val="21"/>
                <w:szCs w:val="21"/>
                <w:highlight w:val="none"/>
                <w:lang w:val="en-US" w:eastAsia="zh-CN"/>
              </w:rPr>
              <w:t>主控处理单元</w:t>
            </w:r>
            <w:r>
              <w:rPr>
                <w:rFonts w:hint="default"/>
                <w:sz w:val="21"/>
                <w:szCs w:val="21"/>
                <w:highlight w:val="none"/>
                <w:lang w:val="en-US" w:eastAsia="zh-CN"/>
              </w:rPr>
              <w:t>A</w:t>
            </w:r>
            <w:r>
              <w:rPr>
                <w:rFonts w:hint="default"/>
                <w:sz w:val="21"/>
                <w:szCs w:val="21"/>
                <w:highlight w:val="none"/>
                <w:lang w:val="en-US" w:eastAsia="zh-CN"/>
              </w:rPr>
              <w:br w:type="textWrapping"/>
            </w:r>
            <w:r>
              <w:rPr>
                <w:rFonts w:hint="default"/>
                <w:sz w:val="21"/>
                <w:szCs w:val="21"/>
                <w:highlight w:val="none"/>
                <w:lang w:val="en-US" w:eastAsia="zh-CN"/>
              </w:rPr>
              <w:t>800W</w:t>
            </w:r>
            <w:r>
              <w:rPr>
                <w:rFonts w:hint="eastAsia"/>
                <w:sz w:val="21"/>
                <w:szCs w:val="21"/>
                <w:highlight w:val="none"/>
                <w:lang w:val="en-US" w:eastAsia="zh-CN"/>
              </w:rPr>
              <w:t>交流电源模块</w:t>
            </w:r>
            <w:r>
              <w:rPr>
                <w:rFonts w:hint="default"/>
                <w:sz w:val="21"/>
                <w:szCs w:val="21"/>
                <w:highlight w:val="none"/>
                <w:lang w:val="en-US" w:eastAsia="zh-CN"/>
              </w:rPr>
              <w:t>(</w:t>
            </w:r>
            <w:r>
              <w:rPr>
                <w:rFonts w:hint="eastAsia"/>
                <w:sz w:val="21"/>
                <w:szCs w:val="21"/>
                <w:highlight w:val="none"/>
                <w:lang w:val="en-US" w:eastAsia="zh-CN"/>
              </w:rPr>
              <w:t>黑色</w:t>
            </w:r>
            <w:r>
              <w:rPr>
                <w:rFonts w:hint="default"/>
                <w:sz w:val="21"/>
                <w:szCs w:val="21"/>
                <w:highlight w:val="none"/>
                <w:lang w:val="en-US" w:eastAsia="zh-CN"/>
              </w:rPr>
              <w:t>)</w:t>
            </w:r>
            <w:r>
              <w:rPr>
                <w:rFonts w:hint="default"/>
                <w:sz w:val="21"/>
                <w:szCs w:val="21"/>
                <w:highlight w:val="none"/>
                <w:lang w:val="en-US" w:eastAsia="zh-CN"/>
              </w:rPr>
              <w:br w:type="textWrapping"/>
            </w:r>
            <w:r>
              <w:rPr>
                <w:rFonts w:hint="default"/>
                <w:sz w:val="21"/>
                <w:szCs w:val="21"/>
                <w:highlight w:val="none"/>
                <w:lang w:val="en-US" w:eastAsia="zh-CN"/>
              </w:rPr>
              <w:t>48</w:t>
            </w:r>
            <w:r>
              <w:rPr>
                <w:rFonts w:hint="eastAsia"/>
                <w:sz w:val="21"/>
                <w:szCs w:val="21"/>
                <w:highlight w:val="none"/>
                <w:lang w:val="en-US" w:eastAsia="zh-CN"/>
              </w:rPr>
              <w:t>端口十兆</w:t>
            </w:r>
            <w:r>
              <w:rPr>
                <w:rFonts w:hint="default"/>
                <w:sz w:val="21"/>
                <w:szCs w:val="21"/>
                <w:highlight w:val="none"/>
                <w:lang w:val="en-US" w:eastAsia="zh-CN"/>
              </w:rPr>
              <w:t>/</w:t>
            </w:r>
            <w:r>
              <w:rPr>
                <w:rFonts w:hint="eastAsia"/>
                <w:sz w:val="21"/>
                <w:szCs w:val="21"/>
                <w:highlight w:val="none"/>
                <w:lang w:val="en-US" w:eastAsia="zh-CN"/>
              </w:rPr>
              <w:t>百兆</w:t>
            </w:r>
            <w:r>
              <w:rPr>
                <w:rFonts w:hint="default"/>
                <w:sz w:val="21"/>
                <w:szCs w:val="21"/>
                <w:highlight w:val="none"/>
                <w:lang w:val="en-US" w:eastAsia="zh-CN"/>
              </w:rPr>
              <w:t>/</w:t>
            </w:r>
            <w:r>
              <w:rPr>
                <w:rFonts w:hint="eastAsia"/>
                <w:sz w:val="21"/>
                <w:szCs w:val="21"/>
                <w:highlight w:val="none"/>
                <w:lang w:val="en-US" w:eastAsia="zh-CN"/>
              </w:rPr>
              <w:t>千兆以太网电接口板</w:t>
            </w:r>
            <w:r>
              <w:rPr>
                <w:rFonts w:hint="default"/>
                <w:sz w:val="21"/>
                <w:szCs w:val="21"/>
                <w:highlight w:val="none"/>
                <w:lang w:val="en-US" w:eastAsia="zh-CN"/>
              </w:rPr>
              <w:t>(FA,RJ45)</w:t>
            </w:r>
            <w:r>
              <w:rPr>
                <w:rFonts w:hint="default"/>
                <w:sz w:val="21"/>
                <w:szCs w:val="21"/>
                <w:highlight w:val="none"/>
                <w:lang w:val="en-US" w:eastAsia="zh-CN"/>
              </w:rPr>
              <w:br w:type="textWrapping"/>
            </w:r>
            <w:r>
              <w:rPr>
                <w:rFonts w:hint="default"/>
                <w:sz w:val="21"/>
                <w:szCs w:val="21"/>
                <w:highlight w:val="none"/>
                <w:lang w:val="en-US" w:eastAsia="zh-CN"/>
              </w:rPr>
              <w:t>16</w:t>
            </w:r>
            <w:r>
              <w:rPr>
                <w:rFonts w:hint="eastAsia"/>
                <w:sz w:val="21"/>
                <w:szCs w:val="21"/>
                <w:highlight w:val="none"/>
                <w:lang w:val="en-US" w:eastAsia="zh-CN"/>
              </w:rPr>
              <w:t>端口万兆以太网光接口和</w:t>
            </w:r>
            <w:r>
              <w:rPr>
                <w:rFonts w:hint="default"/>
                <w:sz w:val="21"/>
                <w:szCs w:val="21"/>
                <w:highlight w:val="none"/>
                <w:lang w:val="en-US" w:eastAsia="zh-CN"/>
              </w:rPr>
              <w:t>16</w:t>
            </w:r>
            <w:r>
              <w:rPr>
                <w:rFonts w:hint="eastAsia"/>
                <w:sz w:val="21"/>
                <w:szCs w:val="21"/>
                <w:highlight w:val="none"/>
                <w:lang w:val="en-US" w:eastAsia="zh-CN"/>
              </w:rPr>
              <w:t>端口千兆以太网光接口板</w:t>
            </w:r>
            <w:r>
              <w:rPr>
                <w:rFonts w:hint="default"/>
                <w:sz w:val="21"/>
                <w:szCs w:val="21"/>
                <w:highlight w:val="none"/>
                <w:lang w:val="en-US" w:eastAsia="zh-CN"/>
              </w:rPr>
              <w:t>(X2S,SFP+)</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1</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套</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line="240" w:lineRule="auto"/>
              <w:ind w:firstLine="0" w:firstLineChars="0"/>
              <w:jc w:val="left"/>
              <w:textAlignment w:val="center"/>
              <w:rPr>
                <w:rFonts w:hint="eastAsia"/>
                <w:sz w:val="21"/>
                <w:szCs w:val="21"/>
                <w:highlight w:val="none"/>
                <w:lang w:val="en-US" w:eastAsia="zh-CN"/>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94"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外网交换机</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华为</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S6720-30C-EI-24S-AC</w:t>
            </w:r>
          </w:p>
        </w:tc>
        <w:tc>
          <w:tcPr>
            <w:tcW w:w="4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default"/>
                <w:sz w:val="21"/>
                <w:szCs w:val="21"/>
                <w:highlight w:val="none"/>
                <w:lang w:val="en-US" w:eastAsia="zh-CN"/>
              </w:rPr>
              <w:t>S6720-30C-EI-24S</w:t>
            </w:r>
            <w:r>
              <w:rPr>
                <w:rFonts w:hint="eastAsia"/>
                <w:sz w:val="21"/>
                <w:szCs w:val="21"/>
                <w:highlight w:val="none"/>
                <w:lang w:val="en-US" w:eastAsia="zh-CN"/>
              </w:rPr>
              <w:t>组合配置</w:t>
            </w:r>
            <w:r>
              <w:rPr>
                <w:rFonts w:hint="default"/>
                <w:sz w:val="21"/>
                <w:szCs w:val="21"/>
                <w:highlight w:val="none"/>
                <w:lang w:val="en-US" w:eastAsia="zh-CN"/>
              </w:rPr>
              <w:t>(24</w:t>
            </w:r>
            <w:r>
              <w:rPr>
                <w:rFonts w:hint="eastAsia"/>
                <w:sz w:val="21"/>
                <w:szCs w:val="21"/>
                <w:highlight w:val="none"/>
                <w:lang w:val="en-US" w:eastAsia="zh-CN"/>
              </w:rPr>
              <w:t>个万兆</w:t>
            </w:r>
            <w:r>
              <w:rPr>
                <w:rFonts w:hint="default"/>
                <w:sz w:val="21"/>
                <w:szCs w:val="21"/>
                <w:highlight w:val="none"/>
                <w:lang w:val="en-US" w:eastAsia="zh-CN"/>
              </w:rPr>
              <w:t>SFP+,2</w:t>
            </w:r>
            <w:r>
              <w:rPr>
                <w:rFonts w:hint="eastAsia"/>
                <w:sz w:val="21"/>
                <w:szCs w:val="21"/>
                <w:highlight w:val="none"/>
                <w:lang w:val="en-US" w:eastAsia="zh-CN"/>
              </w:rPr>
              <w:t>个</w:t>
            </w:r>
            <w:r>
              <w:rPr>
                <w:rFonts w:hint="default"/>
                <w:sz w:val="21"/>
                <w:szCs w:val="21"/>
                <w:highlight w:val="none"/>
                <w:lang w:val="en-US" w:eastAsia="zh-CN"/>
              </w:rPr>
              <w:t>40GE QSFP+,</w:t>
            </w:r>
            <w:r>
              <w:rPr>
                <w:rFonts w:hint="eastAsia"/>
                <w:sz w:val="21"/>
                <w:szCs w:val="21"/>
                <w:highlight w:val="none"/>
                <w:lang w:val="en-US" w:eastAsia="zh-CN"/>
              </w:rPr>
              <w:t>单子卡槽位</w:t>
            </w:r>
            <w:r>
              <w:rPr>
                <w:rFonts w:hint="default"/>
                <w:sz w:val="21"/>
                <w:szCs w:val="21"/>
                <w:highlight w:val="none"/>
                <w:lang w:val="en-US" w:eastAsia="zh-CN"/>
              </w:rPr>
              <w:t>,</w:t>
            </w:r>
            <w:r>
              <w:rPr>
                <w:rFonts w:hint="eastAsia"/>
                <w:sz w:val="21"/>
                <w:szCs w:val="21"/>
                <w:highlight w:val="none"/>
                <w:lang w:val="en-US" w:eastAsia="zh-CN"/>
              </w:rPr>
              <w:t>含</w:t>
            </w:r>
            <w:r>
              <w:rPr>
                <w:rFonts w:hint="default"/>
                <w:sz w:val="21"/>
                <w:szCs w:val="21"/>
                <w:highlight w:val="none"/>
                <w:lang w:val="en-US" w:eastAsia="zh-CN"/>
              </w:rPr>
              <w:t>1</w:t>
            </w:r>
            <w:r>
              <w:rPr>
                <w:rFonts w:hint="eastAsia"/>
                <w:sz w:val="21"/>
                <w:szCs w:val="21"/>
                <w:highlight w:val="none"/>
                <w:lang w:val="en-US" w:eastAsia="zh-CN"/>
              </w:rPr>
              <w:t>个</w:t>
            </w:r>
            <w:r>
              <w:rPr>
                <w:rFonts w:hint="default"/>
                <w:sz w:val="21"/>
                <w:szCs w:val="21"/>
                <w:highlight w:val="none"/>
                <w:lang w:val="en-US" w:eastAsia="zh-CN"/>
              </w:rPr>
              <w:t>600W</w:t>
            </w:r>
            <w:r>
              <w:rPr>
                <w:rFonts w:hint="eastAsia"/>
                <w:sz w:val="21"/>
                <w:szCs w:val="21"/>
                <w:highlight w:val="none"/>
                <w:lang w:val="en-US" w:eastAsia="zh-CN"/>
              </w:rPr>
              <w:t>交流电源</w:t>
            </w:r>
            <w:r>
              <w:rPr>
                <w:rFonts w:hint="default"/>
                <w:sz w:val="21"/>
                <w:szCs w:val="21"/>
                <w:highlight w:val="none"/>
                <w:lang w:val="en-US" w:eastAsia="zh-CN"/>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2</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套</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line="240" w:lineRule="auto"/>
              <w:ind w:firstLine="0" w:firstLineChars="0"/>
              <w:jc w:val="left"/>
              <w:textAlignment w:val="center"/>
              <w:rPr>
                <w:rFonts w:hint="eastAsia"/>
                <w:sz w:val="21"/>
                <w:szCs w:val="21"/>
                <w:highlight w:val="none"/>
                <w:lang w:val="en-US" w:eastAsia="zh-CN"/>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0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单模光纤模块</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华为</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OSX010000</w:t>
            </w:r>
          </w:p>
        </w:tc>
        <w:tc>
          <w:tcPr>
            <w:tcW w:w="4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32</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套</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line="240" w:lineRule="auto"/>
              <w:ind w:firstLine="0" w:firstLineChars="0"/>
              <w:jc w:val="left"/>
              <w:textAlignment w:val="center"/>
              <w:rPr>
                <w:rFonts w:hint="eastAsia"/>
                <w:sz w:val="21"/>
                <w:szCs w:val="21"/>
                <w:highlight w:val="none"/>
                <w:lang w:val="en-US" w:eastAsia="zh-CN"/>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27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多模光纤模块</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华为</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OMXD30000</w:t>
            </w:r>
          </w:p>
        </w:tc>
        <w:tc>
          <w:tcPr>
            <w:tcW w:w="4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32</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套</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line="240" w:lineRule="auto"/>
              <w:ind w:firstLine="0" w:firstLineChars="0"/>
              <w:jc w:val="left"/>
              <w:textAlignment w:val="center"/>
              <w:rPr>
                <w:rFonts w:hint="eastAsia"/>
                <w:sz w:val="21"/>
                <w:szCs w:val="21"/>
                <w:highlight w:val="none"/>
                <w:lang w:val="en-US" w:eastAsia="zh-CN"/>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65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技术支援</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攻防演练</w:t>
            </w:r>
            <w:r>
              <w:rPr>
                <w:rFonts w:hint="eastAsia"/>
                <w:sz w:val="21"/>
                <w:szCs w:val="21"/>
                <w:highlight w:val="none"/>
                <w:lang w:val="en-US" w:eastAsia="zh-CN"/>
              </w:rPr>
              <w:br w:type="textWrapping"/>
            </w:r>
            <w:r>
              <w:rPr>
                <w:rFonts w:hint="eastAsia"/>
                <w:sz w:val="21"/>
                <w:szCs w:val="21"/>
                <w:highlight w:val="none"/>
                <w:lang w:val="en-US" w:eastAsia="zh-CN"/>
              </w:rPr>
              <w:t>等保测评</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非现场</w:t>
            </w:r>
          </w:p>
        </w:tc>
        <w:tc>
          <w:tcPr>
            <w:tcW w:w="4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攻防演练和等保测评安全协助服务：配合开平市政务服务数据管理局开展攻防演练和等保测评的协助工作 ；撰写报告并协助提交（非现场2人/24小时）</w:t>
            </w:r>
            <w:r>
              <w:rPr>
                <w:rFonts w:hint="eastAsia"/>
                <w:sz w:val="21"/>
                <w:szCs w:val="21"/>
                <w:highlight w:val="none"/>
                <w:lang w:val="en-US" w:eastAsia="zh-CN"/>
              </w:rPr>
              <w:br w:type="textWrapping"/>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 w:val="21"/>
                <w:szCs w:val="21"/>
                <w:highlight w:val="none"/>
              </w:rPr>
            </w:pPr>
            <w:r>
              <w:rPr>
                <w:rFonts w:hint="eastAsia"/>
                <w:sz w:val="21"/>
                <w:szCs w:val="21"/>
                <w:highlight w:val="none"/>
                <w:lang w:val="en-US" w:eastAsia="zh-CN"/>
              </w:rPr>
              <w:t>人天</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line="240" w:lineRule="auto"/>
              <w:ind w:firstLine="0" w:firstLineChars="0"/>
              <w:jc w:val="left"/>
              <w:textAlignment w:val="center"/>
              <w:rPr>
                <w:rFonts w:hint="eastAsia"/>
                <w:sz w:val="21"/>
                <w:szCs w:val="21"/>
                <w:highlight w:val="none"/>
                <w:lang w:val="en-US" w:eastAsia="zh-CN"/>
              </w:rPr>
            </w:pPr>
            <w:r>
              <w:rPr>
                <w:rFonts w:hint="eastAsia" w:cs="宋体"/>
                <w:color w:val="000000"/>
                <w:sz w:val="21"/>
                <w:szCs w:val="21"/>
                <w:highlight w:val="none"/>
                <w:lang w:bidi="ar"/>
              </w:rPr>
              <w:t>正常</w:t>
            </w:r>
          </w:p>
        </w:tc>
      </w:tr>
    </w:tbl>
    <w:p>
      <w:pPr>
        <w:rPr>
          <w:rFonts w:hint="eastAsia" w:ascii="仿宋_GB2312" w:hAnsi="仿宋_GB2312" w:eastAsia="仿宋_GB2312" w:cs="仿宋_GB2312"/>
          <w:b w:val="0"/>
          <w:bCs w:val="0"/>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2</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开平市政府中心机房 UPS 电源改造工程项目清单</w:t>
      </w:r>
      <w:r>
        <w:rPr>
          <w:rFonts w:hint="eastAsia" w:ascii="仿宋_GB2312" w:hAnsi="仿宋_GB2312" w:eastAsia="仿宋_GB2312" w:cs="仿宋_GB2312"/>
          <w:b w:val="0"/>
          <w:bCs w:val="0"/>
          <w:color w:val="auto"/>
          <w:sz w:val="32"/>
          <w:szCs w:val="32"/>
          <w:highlight w:val="none"/>
          <w:lang w:eastAsia="zh-CN"/>
        </w:rPr>
        <w:t>：</w:t>
      </w:r>
    </w:p>
    <w:tbl>
      <w:tblPr>
        <w:tblStyle w:val="15"/>
        <w:tblW w:w="5000" w:type="pct"/>
        <w:tblInd w:w="0" w:type="dxa"/>
        <w:tblLayout w:type="autofit"/>
        <w:tblCellMar>
          <w:top w:w="0" w:type="dxa"/>
          <w:left w:w="108" w:type="dxa"/>
          <w:bottom w:w="0" w:type="dxa"/>
          <w:right w:w="108" w:type="dxa"/>
        </w:tblCellMar>
      </w:tblPr>
      <w:tblGrid>
        <w:gridCol w:w="688"/>
        <w:gridCol w:w="1956"/>
        <w:gridCol w:w="1175"/>
        <w:gridCol w:w="2811"/>
        <w:gridCol w:w="671"/>
        <w:gridCol w:w="623"/>
        <w:gridCol w:w="598"/>
      </w:tblGrid>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cs="宋体"/>
                <w:color w:val="000000"/>
                <w:sz w:val="21"/>
                <w:szCs w:val="21"/>
                <w:highlight w:val="none"/>
                <w:lang w:bidi="ar"/>
              </w:rPr>
            </w:pPr>
            <w:r>
              <w:rPr>
                <w:rFonts w:hint="eastAsia" w:cs="宋体"/>
                <w:b/>
                <w:bCs/>
                <w:color w:val="000000"/>
                <w:sz w:val="21"/>
                <w:szCs w:val="21"/>
                <w:highlight w:val="none"/>
                <w:lang w:bidi="ar"/>
              </w:rPr>
              <w:t>名称</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cs="宋体"/>
                <w:color w:val="000000"/>
                <w:sz w:val="21"/>
                <w:szCs w:val="21"/>
                <w:highlight w:val="none"/>
                <w:lang w:bidi="ar"/>
              </w:rPr>
            </w:pPr>
            <w:r>
              <w:rPr>
                <w:rFonts w:hint="eastAsia" w:cs="宋体"/>
                <w:b/>
                <w:bCs/>
                <w:color w:val="000000"/>
                <w:sz w:val="21"/>
                <w:szCs w:val="21"/>
                <w:highlight w:val="none"/>
                <w:lang w:bidi="ar"/>
              </w:rPr>
              <w:t>牌子</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cs="宋体"/>
                <w:color w:val="000000"/>
                <w:sz w:val="21"/>
                <w:szCs w:val="21"/>
                <w:highlight w:val="none"/>
              </w:rPr>
            </w:pPr>
            <w:r>
              <w:rPr>
                <w:rFonts w:hint="eastAsia" w:cs="宋体"/>
                <w:b/>
                <w:bCs/>
                <w:color w:val="000000"/>
                <w:sz w:val="21"/>
                <w:szCs w:val="21"/>
                <w:highlight w:val="none"/>
                <w:lang w:bidi="ar"/>
              </w:rPr>
              <w:t>型号</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cs="宋体"/>
                <w:color w:val="000000"/>
                <w:sz w:val="21"/>
                <w:szCs w:val="21"/>
                <w:highlight w:val="none"/>
                <w:lang w:bidi="ar"/>
              </w:rPr>
            </w:pPr>
            <w:r>
              <w:rPr>
                <w:rFonts w:hint="eastAsia" w:cs="宋体"/>
                <w:b/>
                <w:bCs/>
                <w:color w:val="000000"/>
                <w:sz w:val="21"/>
                <w:szCs w:val="21"/>
                <w:highlight w:val="none"/>
                <w:lang w:bidi="ar"/>
              </w:rPr>
              <w:t>配置</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cs="宋体"/>
                <w:color w:val="000000"/>
                <w:sz w:val="21"/>
                <w:szCs w:val="21"/>
                <w:highlight w:val="none"/>
                <w:lang w:bidi="ar"/>
              </w:rPr>
            </w:pPr>
            <w:r>
              <w:rPr>
                <w:rFonts w:hint="eastAsia" w:cs="宋体"/>
                <w:b/>
                <w:bCs/>
                <w:color w:val="000000"/>
                <w:sz w:val="21"/>
                <w:szCs w:val="21"/>
                <w:highlight w:val="none"/>
                <w:lang w:bidi="ar"/>
              </w:rPr>
              <w:t>数量</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cs="宋体"/>
                <w:color w:val="000000"/>
                <w:sz w:val="21"/>
                <w:szCs w:val="21"/>
                <w:highlight w:val="none"/>
                <w:lang w:bidi="ar"/>
              </w:rPr>
            </w:pPr>
            <w:r>
              <w:rPr>
                <w:rFonts w:hint="eastAsia" w:cs="宋体"/>
                <w:b/>
                <w:bCs/>
                <w:color w:val="000000"/>
                <w:sz w:val="21"/>
                <w:szCs w:val="21"/>
                <w:highlight w:val="none"/>
                <w:lang w:bidi="ar"/>
              </w:rPr>
              <w:t>单位</w:t>
            </w:r>
          </w:p>
        </w:tc>
        <w:tc>
          <w:tcPr>
            <w:tcW w:w="65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center"/>
              <w:rPr>
                <w:rFonts w:hint="eastAsia" w:cs="宋体"/>
                <w:b/>
                <w:bCs/>
                <w:color w:val="000000"/>
                <w:sz w:val="21"/>
                <w:szCs w:val="21"/>
                <w:highlight w:val="none"/>
                <w:lang w:bidi="ar"/>
              </w:rPr>
            </w:pPr>
            <w:r>
              <w:rPr>
                <w:rFonts w:hint="eastAsia" w:cs="宋体"/>
                <w:b/>
                <w:bCs/>
                <w:color w:val="000000"/>
                <w:sz w:val="21"/>
                <w:szCs w:val="21"/>
                <w:highlight w:val="none"/>
                <w:lang w:bidi="ar"/>
              </w:rPr>
              <w:t>资源现状</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砌墙</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国产</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厚度：200mm</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45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平米</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墙面做防水处理</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立邦</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机房墙面防水高度1M</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30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平米</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扇灰刮墙漆</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立邦</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墙面漆</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90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平米</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扇灰刮墙漆</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立邦</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墙面漆</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50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平米</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地面升高找平</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国产</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地面抬高30CM以上，灌水泥砂浆找平。</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35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平米</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门口斜坡</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国产</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建立斜坡，方便设备推拉进出</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地坪漆</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国产</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环氧地坪漆</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35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平米</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彩色高清数字半球摄像机</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海康威视 DS-2CD3346WD-I</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400万星光级1/2.7”CMOS ICR日夜型半球型网络摄像机</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2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台</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硬盘录像机</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海康威视 DS-7804NB-K1/4P</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4路网络高清硬盘录像机NVR POE监控主机</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台</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硬盘</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西数 WD40PURX  </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4TB紫盘 监控机械硬盘</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2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套</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门禁系统</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中控 F18指纹门禁机 </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1）兼容接入现在的门禁系统；</w:t>
            </w:r>
            <w:r>
              <w:rPr>
                <w:rFonts w:hint="eastAsia"/>
                <w:sz w:val="21"/>
                <w:szCs w:val="21"/>
                <w:highlight w:val="none"/>
                <w:lang w:val="en-US" w:eastAsia="zh-CN"/>
              </w:rPr>
              <w:br w:type="textWrapping"/>
            </w:r>
            <w:r>
              <w:rPr>
                <w:rFonts w:hint="eastAsia"/>
                <w:sz w:val="21"/>
                <w:szCs w:val="21"/>
                <w:highlight w:val="none"/>
                <w:lang w:val="en-US" w:eastAsia="zh-CN"/>
              </w:rPr>
              <w:t>2）280KG磁力锁</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网络线材</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VCOM TUM3046GR </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6类非屏蔽双绞线</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箱</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交换设备</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华为 S1700-24GR </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24口全千兆24口交换机 无管理 即插即用</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台</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机柜设备</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Keydak金盾机柜 盾ND6624</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24u网络机柜1.2米机柜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台</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辅材</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普通空调</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Midea/美的   KF-120LW</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空调类型  柜机</w:t>
            </w:r>
            <w:r>
              <w:rPr>
                <w:rFonts w:hint="eastAsia"/>
                <w:sz w:val="21"/>
                <w:szCs w:val="21"/>
                <w:highlight w:val="none"/>
                <w:lang w:val="en-US" w:eastAsia="zh-CN"/>
              </w:rPr>
              <w:br w:type="textWrapping"/>
            </w:r>
            <w:r>
              <w:rPr>
                <w:rFonts w:hint="eastAsia"/>
                <w:sz w:val="21"/>
                <w:szCs w:val="21"/>
                <w:highlight w:val="none"/>
                <w:lang w:val="en-US" w:eastAsia="zh-CN"/>
              </w:rPr>
              <w:t>冷暖类型  单冷型</w:t>
            </w:r>
            <w:r>
              <w:rPr>
                <w:rFonts w:hint="eastAsia"/>
                <w:sz w:val="21"/>
                <w:szCs w:val="21"/>
                <w:highlight w:val="none"/>
                <w:lang w:val="en-US" w:eastAsia="zh-CN"/>
              </w:rPr>
              <w:br w:type="textWrapping"/>
            </w:r>
            <w:r>
              <w:rPr>
                <w:rFonts w:hint="eastAsia"/>
                <w:sz w:val="21"/>
                <w:szCs w:val="21"/>
                <w:highlight w:val="none"/>
                <w:lang w:val="en-US" w:eastAsia="zh-CN"/>
              </w:rPr>
              <w:t>空调功率  5匹</w:t>
            </w:r>
            <w:r>
              <w:rPr>
                <w:rFonts w:hint="eastAsia"/>
                <w:sz w:val="21"/>
                <w:szCs w:val="21"/>
                <w:highlight w:val="none"/>
                <w:lang w:val="en-US" w:eastAsia="zh-CN"/>
              </w:rPr>
              <w:br w:type="textWrapping"/>
            </w:r>
            <w:r>
              <w:rPr>
                <w:rFonts w:hint="eastAsia"/>
                <w:sz w:val="21"/>
                <w:szCs w:val="21"/>
                <w:highlight w:val="none"/>
                <w:lang w:val="en-US" w:eastAsia="zh-CN"/>
              </w:rPr>
              <w:t>适用面积  41m^2 (含)-60m^2 (含)</w:t>
            </w:r>
            <w:r>
              <w:rPr>
                <w:rFonts w:hint="eastAsia"/>
                <w:sz w:val="21"/>
                <w:szCs w:val="21"/>
                <w:highlight w:val="none"/>
                <w:lang w:val="en-US" w:eastAsia="zh-CN"/>
              </w:rPr>
              <w:br w:type="textWrapping"/>
            </w:r>
            <w:r>
              <w:rPr>
                <w:rFonts w:hint="eastAsia"/>
                <w:sz w:val="21"/>
                <w:szCs w:val="21"/>
                <w:highlight w:val="none"/>
                <w:lang w:val="en-US" w:eastAsia="zh-CN"/>
              </w:rPr>
              <w:t>工作方式  定速</w:t>
            </w:r>
            <w:r>
              <w:rPr>
                <w:rFonts w:hint="eastAsia"/>
                <w:sz w:val="21"/>
                <w:szCs w:val="21"/>
                <w:highlight w:val="none"/>
                <w:lang w:val="en-US" w:eastAsia="zh-CN"/>
              </w:rPr>
              <w:br w:type="textWrapping"/>
            </w:r>
            <w:r>
              <w:rPr>
                <w:rFonts w:hint="eastAsia"/>
                <w:sz w:val="21"/>
                <w:szCs w:val="21"/>
                <w:highlight w:val="none"/>
                <w:lang w:val="en-US" w:eastAsia="zh-CN"/>
              </w:rPr>
              <w:t>能效等级  三级</w:t>
            </w:r>
            <w:r>
              <w:rPr>
                <w:rFonts w:hint="eastAsia"/>
                <w:sz w:val="21"/>
                <w:szCs w:val="21"/>
                <w:highlight w:val="none"/>
                <w:lang w:val="en-US" w:eastAsia="zh-CN"/>
              </w:rPr>
              <w:br w:type="textWrapping"/>
            </w:r>
            <w:r>
              <w:rPr>
                <w:rFonts w:hint="eastAsia"/>
                <w:sz w:val="21"/>
                <w:szCs w:val="21"/>
                <w:highlight w:val="none"/>
                <w:lang w:val="en-US" w:eastAsia="zh-CN"/>
              </w:rPr>
              <w:t>制冷量  12000W</w:t>
            </w:r>
            <w:r>
              <w:rPr>
                <w:rFonts w:hint="eastAsia"/>
                <w:sz w:val="21"/>
                <w:szCs w:val="21"/>
                <w:highlight w:val="none"/>
                <w:lang w:val="en-US" w:eastAsia="zh-CN"/>
              </w:rPr>
              <w:br w:type="textWrapping"/>
            </w:r>
            <w:r>
              <w:rPr>
                <w:rFonts w:hint="eastAsia"/>
                <w:sz w:val="21"/>
                <w:szCs w:val="21"/>
                <w:highlight w:val="none"/>
                <w:lang w:val="en-US" w:eastAsia="zh-CN"/>
              </w:rPr>
              <w:t>制冷功率  3896W</w:t>
            </w:r>
            <w:r>
              <w:rPr>
                <w:rFonts w:hint="eastAsia"/>
                <w:sz w:val="21"/>
                <w:szCs w:val="21"/>
                <w:highlight w:val="none"/>
                <w:lang w:val="en-US" w:eastAsia="zh-CN"/>
              </w:rPr>
              <w:br w:type="textWrapping"/>
            </w:r>
            <w:r>
              <w:rPr>
                <w:rFonts w:hint="eastAsia"/>
                <w:sz w:val="21"/>
                <w:szCs w:val="21"/>
                <w:highlight w:val="none"/>
                <w:lang w:val="en-US" w:eastAsia="zh-CN"/>
              </w:rPr>
              <w:t>制热量  0W</w:t>
            </w:r>
            <w:r>
              <w:rPr>
                <w:rFonts w:hint="eastAsia"/>
                <w:sz w:val="21"/>
                <w:szCs w:val="21"/>
                <w:highlight w:val="none"/>
                <w:lang w:val="en-US" w:eastAsia="zh-CN"/>
              </w:rPr>
              <w:br w:type="textWrapping"/>
            </w:r>
            <w:r>
              <w:rPr>
                <w:rFonts w:hint="eastAsia"/>
                <w:sz w:val="21"/>
                <w:szCs w:val="21"/>
                <w:highlight w:val="none"/>
                <w:lang w:val="en-US" w:eastAsia="zh-CN"/>
              </w:rPr>
              <w:t>室外机噪音  58dB</w:t>
            </w:r>
            <w:r>
              <w:rPr>
                <w:rFonts w:hint="eastAsia"/>
                <w:sz w:val="21"/>
                <w:szCs w:val="21"/>
                <w:highlight w:val="none"/>
                <w:lang w:val="en-US" w:eastAsia="zh-CN"/>
              </w:rPr>
              <w:br w:type="textWrapping"/>
            </w:r>
            <w:r>
              <w:rPr>
                <w:rFonts w:hint="eastAsia"/>
                <w:sz w:val="21"/>
                <w:szCs w:val="21"/>
                <w:highlight w:val="none"/>
                <w:lang w:val="en-US" w:eastAsia="zh-CN"/>
              </w:rPr>
              <w:t>是否循环风量  2000m3/h</w:t>
            </w:r>
            <w:r>
              <w:rPr>
                <w:rFonts w:hint="eastAsia"/>
                <w:sz w:val="21"/>
                <w:szCs w:val="21"/>
                <w:highlight w:val="none"/>
                <w:lang w:val="en-US" w:eastAsia="zh-CN"/>
              </w:rPr>
              <w:br w:type="textWrapping"/>
            </w:r>
            <w:r>
              <w:rPr>
                <w:rFonts w:hint="eastAsia"/>
                <w:sz w:val="21"/>
                <w:szCs w:val="21"/>
                <w:highlight w:val="none"/>
                <w:lang w:val="en-US" w:eastAsia="zh-CN"/>
              </w:rPr>
              <w:t>电辅加热功率  0W</w:t>
            </w:r>
            <w:r>
              <w:rPr>
                <w:rFonts w:hint="eastAsia"/>
                <w:sz w:val="21"/>
                <w:szCs w:val="21"/>
                <w:highlight w:val="none"/>
                <w:lang w:val="en-US" w:eastAsia="zh-CN"/>
              </w:rPr>
              <w:br w:type="textWrapping"/>
            </w:r>
            <w:r>
              <w:rPr>
                <w:rFonts w:hint="eastAsia"/>
                <w:sz w:val="21"/>
                <w:szCs w:val="21"/>
                <w:highlight w:val="none"/>
                <w:lang w:val="en-US" w:eastAsia="zh-CN"/>
              </w:rPr>
              <w:t>制热功率  0W</w:t>
            </w:r>
            <w:r>
              <w:rPr>
                <w:rFonts w:hint="eastAsia"/>
                <w:sz w:val="21"/>
                <w:szCs w:val="21"/>
                <w:highlight w:val="none"/>
                <w:lang w:val="en-US" w:eastAsia="zh-CN"/>
              </w:rPr>
              <w:br w:type="textWrapping"/>
            </w:r>
            <w:r>
              <w:rPr>
                <w:rFonts w:hint="eastAsia"/>
                <w:sz w:val="21"/>
                <w:szCs w:val="21"/>
                <w:highlight w:val="none"/>
                <w:lang w:val="en-US" w:eastAsia="zh-CN"/>
              </w:rPr>
              <w:t>室内机噪音  52dB</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2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台</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灭火瓶柜</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70L</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套</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七氟丙烷灭火剂</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HFC-227ea</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70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kg</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气体灭火控制器</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泛海三江/JB-QB1-200/2</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4区</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台</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紧急启停按钮</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泛海三江/QM-AN-01</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QM-AN-01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声光报警器</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泛海三江/SG-991K</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SG-991K</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警铃</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泛海三江/5609</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JL</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放气指示灯</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泛海三江/QM-ZSD-01</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QM-ZSD-01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点型光电感烟探测器</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泛海三江/JTY-GD-930K</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JTY-GD-930K</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点型定温感温探测器</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泛海三江/JTW-ZD-920K</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2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监控模块</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海湾</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2*2</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3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线缆、电管及辅材</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浙安</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40min</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消防连接动环系统</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消防连接动环系统</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机房专用消防排烟风机</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九洲</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风量﹥2100m³/h，余压350Pa，防爆型</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套</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排风风管连保温处理</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国产</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350X200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15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米</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排风风口</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国产</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300*300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2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防火帆布连接</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国产</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4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米</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防火阀</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国产</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防虫挡板</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国产</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辅材</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环境监控主机</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飞思网巡/ ECS8010 0 /中国深圳</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1U机架式环境采集主机，12路RJ45类型开关量输入接口，每路支持12V/0.5A供电。带状态指示灯。</w:t>
            </w:r>
            <w:r>
              <w:rPr>
                <w:rFonts w:hint="eastAsia"/>
                <w:sz w:val="21"/>
                <w:szCs w:val="21"/>
                <w:highlight w:val="none"/>
                <w:lang w:val="en-US" w:eastAsia="zh-CN"/>
              </w:rPr>
              <w:br w:type="textWrapping"/>
            </w:r>
            <w:r>
              <w:rPr>
                <w:rFonts w:hint="eastAsia"/>
                <w:sz w:val="21"/>
                <w:szCs w:val="21"/>
                <w:highlight w:val="none"/>
                <w:lang w:val="en-US" w:eastAsia="zh-CN"/>
              </w:rPr>
              <w:t>10路RJ45类型RS485-以太网转换接口，每路支持12V/0.5A供电。</w:t>
            </w:r>
            <w:r>
              <w:rPr>
                <w:rFonts w:hint="eastAsia"/>
                <w:sz w:val="21"/>
                <w:szCs w:val="21"/>
                <w:highlight w:val="none"/>
                <w:lang w:val="en-US" w:eastAsia="zh-CN"/>
              </w:rPr>
              <w:br w:type="textWrapping"/>
            </w:r>
            <w:r>
              <w:rPr>
                <w:rFonts w:hint="eastAsia"/>
                <w:sz w:val="21"/>
                <w:szCs w:val="21"/>
                <w:highlight w:val="none"/>
                <w:lang w:val="en-US" w:eastAsia="zh-CN"/>
              </w:rPr>
              <w:t>4路RJ45类型继电器输出接口，两路控制输出DC12V/0.8A，两路控制通断。带状态指示灯。</w:t>
            </w:r>
            <w:r>
              <w:rPr>
                <w:rFonts w:hint="eastAsia"/>
                <w:sz w:val="21"/>
                <w:szCs w:val="21"/>
                <w:highlight w:val="none"/>
                <w:lang w:val="en-US" w:eastAsia="zh-CN"/>
              </w:rPr>
              <w:br w:type="textWrapping"/>
            </w:r>
            <w:r>
              <w:rPr>
                <w:rFonts w:hint="eastAsia"/>
                <w:sz w:val="21"/>
                <w:szCs w:val="21"/>
                <w:highlight w:val="none"/>
                <w:lang w:val="en-US" w:eastAsia="zh-CN"/>
              </w:rPr>
              <w:t>2路12V/1A直流电输出。</w:t>
            </w:r>
            <w:r>
              <w:rPr>
                <w:rFonts w:hint="eastAsia"/>
                <w:sz w:val="21"/>
                <w:szCs w:val="21"/>
                <w:highlight w:val="none"/>
                <w:lang w:val="en-US" w:eastAsia="zh-CN"/>
              </w:rPr>
              <w:br w:type="textWrapping"/>
            </w:r>
            <w:r>
              <w:rPr>
                <w:rFonts w:hint="eastAsia"/>
                <w:sz w:val="21"/>
                <w:szCs w:val="21"/>
                <w:highlight w:val="none"/>
                <w:lang w:val="en-US" w:eastAsia="zh-CN"/>
              </w:rPr>
              <w:br w:type="textWrapping"/>
            </w:r>
            <w:r>
              <w:rPr>
                <w:rFonts w:hint="eastAsia"/>
                <w:sz w:val="21"/>
                <w:szCs w:val="21"/>
                <w:highlight w:val="none"/>
                <w:lang w:val="en-US" w:eastAsia="zh-CN"/>
              </w:rPr>
              <w:t>飞思网巡机房监控平台软件许可</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微信/短信/电话模块开发</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飞思网巡/OT-100 /中国深圳</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针对环境监控主机的报警信息通过微信/短信/电话等方式进行通知管理员</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图像功能模块开发</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飞思网巡/3D图/中国深圳</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机房平面仿真3D展示模块。系统人机界面支持多机房管理，支持仿真3D的平面化图形化展示，在视图上动态更新温湿度等的数值变化，以及各种监控参数的状态变化。需提供机房CAD及机房布局平面图。</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温湿度监控</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飞思网巡/ TH802/中国深圳</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数字温湿一体型传感器。数字温湿一体型传感器，1个485接口，带液晶显示。</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烟雾监控</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飞思网巡/  SS668/中国深圳</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烟雾传感器</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漏水监控</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飞思网巡/  HW58/中国深圳</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缆式水浸传感器</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UPS监控模块</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飞思网巡/  UPS/中国深圳</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通过UPS厂家提供的SNMP通讯协议定制开发：采集UPS的输入电压，输入电流，输出电压，输出电流，旁路相电压，旁路相电流，功率因素，电池电压，电池电流，系统频率，系统负载，电池后备时间等UPS通信协议所能提供的各项数据。与UPS一对一。</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空调监控</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飞思网巡/RACC100/中国深圳</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网口式空调控制器，RJ45网口，含外置式红外探头与温度探头。增加1台普通）空调温度监控和控制功能。采集空调附近温度、定时开关空调，根据温度上限和下限开关机（满足环保节能要求），并可进行远程控制。</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市电监控控制</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飞思网巡/  AJ34/中国深圳</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单电流电压液晶多功能电力仪表 数显功率频率因数表 485通讯表</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辅料</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国产/定制/中国深圳</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双开不锈钢防火门</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国产/定制/中国大陆</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1700×2400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樘</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一般照明</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国产/定制/中国大陆</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由市电供电，均匀光照度500lx</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应急照明</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国产/定制/中国大陆</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由UPS3供电，均匀光照度300lx</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UPS电池房配电柜</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国产/定制 /中国大陆</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≥600*450*1800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双电源自动(可手动)转换开关装置</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ABB等</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250A3P</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套</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配电柜市电输入开关</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ABB等</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250A3P</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4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发电机输入开开关</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ABB等</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160A3P</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UPS输入开关</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ABB等</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200A3P</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2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UPS输出总开关</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ABB等</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160A3P</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2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UPS旁路开关</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ABB等</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160A3P</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2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UPS3配电开关</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ABB等</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其他配电开关</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ABB等</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UPS电池房配电柜支架</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套</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UPS电池房配电柜</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11楼机房配电柜</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订制</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1000*500*2000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2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UPS并机开关</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ABB等</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125A3P</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UPS输出分开关</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ABB等</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20A1P</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244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机房配电柜</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供电应急车供电接口模块</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工业防水连接器</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大唐保镖/32A防水防脱连接器/中国北京</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32A防水防脱连接器</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240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套</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机房机柜PDU</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大唐保镖/HP7605-32a-16位/中国北京</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32A输入，16位10A输出</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60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条</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机房市电、维修插座</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松本/ 10A二三插/广东惠州</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10A二三插</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30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套</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UPS电池到UPS主机电缆</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珠江</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RVV95</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100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米</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UPS输出到机房电缆</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珠江</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ZC-YJV-4×10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200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米</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发电机预留接线电缆</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珠江</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RVV3*50+1*25</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100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米</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UPS电池房空调电缆</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珠江</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ZRVV-3*6+2*4</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50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米</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机柜进线电线</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珠江</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ZRBVR-4</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70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卷</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机柜进线电线</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珠江</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ZRBVR-2.5</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30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卷</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镀锌网格桥架</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国产/定制200*100/中国大陆</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200mm*100mm</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100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米</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机房用镀锌网格桥架</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国产/定制200*100/中国大陆</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200mm*100mm</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30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米</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机房用镀锌网格桥架</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国产/定制100*80/中国大陆</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10mm0*80mm</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100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米</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网格桥架支架、连接件、侧板等</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国产/定制/中国大陆</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30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米</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金属软管</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一通</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DN20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200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米</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辅材</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热缩管、标签带、支架等</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UPS电池房到机房网线2条</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400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米</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1KV以下电气系统</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防雷器</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OBO</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V25-B+C/3+NPE</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组</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防雷器</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OBO</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V20-C/3+NPE</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组</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接原防雷系统</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接原防雷系统</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组</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新购UPS主机</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日月潭</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塔式工频机100KVA 内置输出隔离变压器</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2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台</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新购蓄电池</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日月潭</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100AH/12V</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384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节</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电池箱</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装16节电池</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24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只</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电池总开关组件</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UPS专用，电池连接线，含250A2P1只，6只120A1P直流空气开关及电池扩展线</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2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套</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交流电缆</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80KVA UPS专用，输入输出交流电缆</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2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套</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新购UPS</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2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套</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旧UPS</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40K，挑选其中32节较好电池，2个电池箱</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个人电脑主机</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兼容机</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i7 8700K / Intel Z370/LGA 1151 / DDR4 3200 32GB(16Gx2条)内存/ EVO 250G M.2 固态硬盘+ 4TB SATA6Gb/s 64MB / GeForce GTX1050TI-4G / 650W电源</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3.00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台</w:t>
            </w:r>
          </w:p>
        </w:tc>
        <w:tc>
          <w:tcPr>
            <w:tcW w:w="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补充合同1</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电缆、新风设备、环境监控平台、光纤、配电柜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cs="宋体"/>
                <w:color w:val="000000"/>
                <w:sz w:val="21"/>
                <w:szCs w:val="21"/>
                <w:highlight w:val="none"/>
                <w:lang w:bidi="ar"/>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补充合同2</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电缆、配件</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项</w:t>
            </w:r>
          </w:p>
        </w:tc>
        <w:tc>
          <w:tcPr>
            <w:tcW w:w="651"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cs="宋体"/>
                <w:color w:val="000000"/>
                <w:sz w:val="21"/>
                <w:szCs w:val="21"/>
                <w:highlight w:val="none"/>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2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巡检</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现场</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UPS每月一次项目设备保养工作</w:t>
            </w:r>
            <w:r>
              <w:rPr>
                <w:rFonts w:hint="default"/>
                <w:sz w:val="21"/>
                <w:szCs w:val="21"/>
                <w:highlight w:val="none"/>
                <w:lang w:val="en-US" w:eastAsia="zh-CN"/>
              </w:rPr>
              <w:br w:type="textWrapping"/>
            </w:r>
            <w:r>
              <w:rPr>
                <w:rFonts w:hint="default"/>
                <w:sz w:val="21"/>
                <w:szCs w:val="21"/>
                <w:highlight w:val="none"/>
                <w:lang w:val="en-US" w:eastAsia="zh-CN"/>
              </w:rPr>
              <w:t>1.</w:t>
            </w:r>
            <w:r>
              <w:rPr>
                <w:rFonts w:hint="eastAsia"/>
                <w:sz w:val="21"/>
                <w:szCs w:val="21"/>
                <w:highlight w:val="none"/>
                <w:lang w:val="en-US" w:eastAsia="zh-CN"/>
              </w:rPr>
              <w:t>后备电源、电池、配电设备和运营设备的包养和放电工作（现场</w:t>
            </w:r>
            <w:r>
              <w:rPr>
                <w:rFonts w:hint="default"/>
                <w:sz w:val="21"/>
                <w:szCs w:val="21"/>
                <w:highlight w:val="none"/>
                <w:lang w:val="en-US" w:eastAsia="zh-CN"/>
              </w:rPr>
              <w:t>2</w:t>
            </w:r>
            <w:r>
              <w:rPr>
                <w:rFonts w:hint="eastAsia"/>
                <w:sz w:val="21"/>
                <w:szCs w:val="21"/>
                <w:highlight w:val="none"/>
                <w:lang w:val="en-US" w:eastAsia="zh-CN"/>
              </w:rPr>
              <w:t>人</w:t>
            </w:r>
            <w:r>
              <w:rPr>
                <w:rFonts w:hint="default"/>
                <w:sz w:val="21"/>
                <w:szCs w:val="21"/>
                <w:highlight w:val="none"/>
                <w:lang w:val="en-US" w:eastAsia="zh-CN"/>
              </w:rPr>
              <w:t xml:space="preserve"> </w:t>
            </w:r>
            <w:r>
              <w:rPr>
                <w:rFonts w:hint="eastAsia"/>
                <w:sz w:val="21"/>
                <w:szCs w:val="21"/>
                <w:highlight w:val="none"/>
                <w:lang w:val="en-US" w:eastAsia="zh-CN"/>
              </w:rPr>
              <w:t>）</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 xml:space="preserve">12 </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highlight w:val="none"/>
              </w:rPr>
            </w:pPr>
            <w:r>
              <w:rPr>
                <w:rFonts w:hint="eastAsia"/>
                <w:sz w:val="21"/>
                <w:szCs w:val="21"/>
                <w:highlight w:val="none"/>
                <w:lang w:val="en-US" w:eastAsia="zh-CN"/>
              </w:rPr>
              <w:t>人天</w:t>
            </w:r>
          </w:p>
        </w:tc>
        <w:tc>
          <w:tcPr>
            <w:tcW w:w="651"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cs="宋体"/>
                <w:color w:val="000000"/>
                <w:sz w:val="21"/>
                <w:szCs w:val="21"/>
                <w:highlight w:val="none"/>
              </w:rPr>
            </w:pPr>
            <w:r>
              <w:rPr>
                <w:rFonts w:hint="eastAsia" w:cs="宋体"/>
                <w:color w:val="000000"/>
                <w:sz w:val="21"/>
                <w:szCs w:val="21"/>
                <w:highlight w:val="none"/>
                <w:lang w:bidi="ar"/>
              </w:rPr>
              <w:t>正常</w:t>
            </w:r>
          </w:p>
        </w:tc>
      </w:tr>
    </w:tbl>
    <w:p>
      <w:pPr>
        <w:rPr>
          <w:rFonts w:hint="eastAsia" w:ascii="仿宋_GB2312" w:hAnsi="仿宋_GB2312" w:eastAsia="仿宋_GB2312" w:cs="仿宋_GB2312"/>
          <w:b w:val="0"/>
          <w:bCs w:val="0"/>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bookmarkStart w:id="1" w:name="_Toc6938"/>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开平市政府中心机房</w:t>
      </w:r>
      <w:r>
        <w:rPr>
          <w:rFonts w:hint="eastAsia" w:ascii="仿宋_GB2312" w:hAnsi="仿宋_GB2312" w:eastAsia="仿宋_GB2312" w:cs="仿宋_GB2312"/>
          <w:b w:val="0"/>
          <w:bCs w:val="0"/>
          <w:color w:val="auto"/>
          <w:sz w:val="32"/>
          <w:szCs w:val="32"/>
          <w:highlight w:val="none"/>
          <w:lang w:val="en-US" w:eastAsia="zh-CN"/>
        </w:rPr>
        <w:t>多功能安全网关双机部署</w:t>
      </w:r>
      <w:r>
        <w:rPr>
          <w:rFonts w:hint="eastAsia" w:ascii="仿宋_GB2312" w:hAnsi="仿宋_GB2312" w:eastAsia="仿宋_GB2312" w:cs="仿宋_GB2312"/>
          <w:b w:val="0"/>
          <w:bCs w:val="0"/>
          <w:color w:val="auto"/>
          <w:sz w:val="32"/>
          <w:szCs w:val="32"/>
          <w:highlight w:val="none"/>
        </w:rPr>
        <w:t>工程项目清单</w:t>
      </w:r>
      <w:bookmarkEnd w:id="1"/>
      <w:r>
        <w:rPr>
          <w:rFonts w:hint="eastAsia" w:ascii="仿宋_GB2312" w:hAnsi="仿宋_GB2312" w:eastAsia="仿宋_GB2312" w:cs="仿宋_GB2312"/>
          <w:b w:val="0"/>
          <w:bCs w:val="0"/>
          <w:color w:val="auto"/>
          <w:sz w:val="32"/>
          <w:szCs w:val="32"/>
          <w:highlight w:val="none"/>
          <w:lang w:eastAsia="zh-CN"/>
        </w:rPr>
        <w:t>：</w:t>
      </w:r>
    </w:p>
    <w:tbl>
      <w:tblPr>
        <w:tblStyle w:val="15"/>
        <w:tblW w:w="9280" w:type="dxa"/>
        <w:tblInd w:w="0" w:type="dxa"/>
        <w:tblLayout w:type="autofit"/>
        <w:tblCellMar>
          <w:top w:w="0" w:type="dxa"/>
          <w:left w:w="108" w:type="dxa"/>
          <w:bottom w:w="0" w:type="dxa"/>
          <w:right w:w="108" w:type="dxa"/>
        </w:tblCellMar>
      </w:tblPr>
      <w:tblGrid>
        <w:gridCol w:w="531"/>
        <w:gridCol w:w="455"/>
        <w:gridCol w:w="2487"/>
        <w:gridCol w:w="4443"/>
        <w:gridCol w:w="456"/>
        <w:gridCol w:w="456"/>
        <w:gridCol w:w="452"/>
      </w:tblGrid>
      <w:tr>
        <w:tblPrEx>
          <w:tblCellMar>
            <w:top w:w="0" w:type="dxa"/>
            <w:left w:w="108" w:type="dxa"/>
            <w:bottom w:w="0" w:type="dxa"/>
            <w:right w:w="108" w:type="dxa"/>
          </w:tblCellMar>
        </w:tblPrEx>
        <w:trPr>
          <w:trHeight w:val="1165"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left"/>
              <w:textAlignment w:val="center"/>
              <w:rPr>
                <w:rFonts w:cs="宋体"/>
                <w:b/>
                <w:bCs/>
                <w:color w:val="000000"/>
                <w:sz w:val="21"/>
                <w:szCs w:val="21"/>
                <w:highlight w:val="none"/>
              </w:rPr>
            </w:pPr>
            <w:r>
              <w:rPr>
                <w:rFonts w:hint="eastAsia" w:cs="宋体"/>
                <w:b/>
                <w:bCs/>
                <w:color w:val="000000"/>
                <w:sz w:val="21"/>
                <w:szCs w:val="21"/>
                <w:highlight w:val="none"/>
                <w:lang w:bidi="ar"/>
              </w:rPr>
              <w:t>名称</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left"/>
              <w:textAlignment w:val="center"/>
              <w:rPr>
                <w:rFonts w:cs="宋体"/>
                <w:b/>
                <w:bCs/>
                <w:color w:val="000000"/>
                <w:sz w:val="21"/>
                <w:szCs w:val="21"/>
                <w:highlight w:val="none"/>
              </w:rPr>
            </w:pPr>
            <w:r>
              <w:rPr>
                <w:rFonts w:hint="eastAsia" w:cs="宋体"/>
                <w:b/>
                <w:bCs/>
                <w:color w:val="000000"/>
                <w:sz w:val="21"/>
                <w:szCs w:val="21"/>
                <w:highlight w:val="none"/>
                <w:lang w:bidi="ar"/>
              </w:rPr>
              <w:t>牌子</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left"/>
              <w:textAlignment w:val="center"/>
              <w:rPr>
                <w:rFonts w:cs="宋体"/>
                <w:b/>
                <w:bCs/>
                <w:color w:val="000000"/>
                <w:sz w:val="21"/>
                <w:szCs w:val="21"/>
                <w:highlight w:val="none"/>
              </w:rPr>
            </w:pPr>
            <w:r>
              <w:rPr>
                <w:rFonts w:hint="eastAsia" w:cs="宋体"/>
                <w:b/>
                <w:bCs/>
                <w:color w:val="000000"/>
                <w:sz w:val="21"/>
                <w:szCs w:val="21"/>
                <w:highlight w:val="none"/>
                <w:lang w:bidi="ar"/>
              </w:rPr>
              <w:t>型号</w:t>
            </w:r>
          </w:p>
        </w:tc>
        <w:tc>
          <w:tcPr>
            <w:tcW w:w="450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left"/>
              <w:textAlignment w:val="center"/>
              <w:rPr>
                <w:rFonts w:cs="宋体"/>
                <w:b/>
                <w:bCs/>
                <w:color w:val="000000"/>
                <w:sz w:val="21"/>
                <w:szCs w:val="21"/>
                <w:highlight w:val="none"/>
              </w:rPr>
            </w:pPr>
            <w:r>
              <w:rPr>
                <w:rFonts w:hint="eastAsia" w:cs="宋体"/>
                <w:b/>
                <w:bCs/>
                <w:color w:val="000000"/>
                <w:sz w:val="21"/>
                <w:szCs w:val="21"/>
                <w:highlight w:val="none"/>
                <w:lang w:bidi="ar"/>
              </w:rPr>
              <w:t>配置</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left"/>
              <w:textAlignment w:val="center"/>
              <w:rPr>
                <w:rFonts w:cs="宋体"/>
                <w:b/>
                <w:bCs/>
                <w:color w:val="000000"/>
                <w:sz w:val="21"/>
                <w:szCs w:val="21"/>
                <w:highlight w:val="none"/>
              </w:rPr>
            </w:pPr>
            <w:r>
              <w:rPr>
                <w:rFonts w:hint="eastAsia" w:cs="宋体"/>
                <w:b/>
                <w:bCs/>
                <w:color w:val="000000"/>
                <w:sz w:val="21"/>
                <w:szCs w:val="21"/>
                <w:highlight w:val="none"/>
                <w:lang w:bidi="ar"/>
              </w:rPr>
              <w:t>数量</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left"/>
              <w:textAlignment w:val="center"/>
              <w:rPr>
                <w:rFonts w:cs="宋体"/>
                <w:b/>
                <w:bCs/>
                <w:color w:val="000000"/>
                <w:sz w:val="21"/>
                <w:szCs w:val="21"/>
                <w:highlight w:val="none"/>
              </w:rPr>
            </w:pPr>
            <w:r>
              <w:rPr>
                <w:rFonts w:hint="eastAsia" w:cs="宋体"/>
                <w:b/>
                <w:bCs/>
                <w:color w:val="000000"/>
                <w:sz w:val="21"/>
                <w:szCs w:val="21"/>
                <w:highlight w:val="none"/>
                <w:lang w:bidi="ar"/>
              </w:rPr>
              <w:t>单位</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left"/>
              <w:textAlignment w:val="center"/>
              <w:rPr>
                <w:rFonts w:hint="eastAsia" w:cs="宋体"/>
                <w:b/>
                <w:bCs/>
                <w:color w:val="000000"/>
                <w:sz w:val="21"/>
                <w:szCs w:val="21"/>
                <w:highlight w:val="none"/>
                <w:lang w:bidi="ar"/>
              </w:rPr>
            </w:pPr>
            <w:r>
              <w:rPr>
                <w:rFonts w:hint="eastAsia" w:cs="宋体"/>
                <w:b/>
                <w:bCs/>
                <w:color w:val="000000"/>
                <w:sz w:val="21"/>
                <w:szCs w:val="21"/>
                <w:highlight w:val="none"/>
                <w:lang w:bidi="ar"/>
              </w:rPr>
              <w:t>资源现状</w:t>
            </w:r>
          </w:p>
        </w:tc>
      </w:tr>
      <w:tr>
        <w:tblPrEx>
          <w:tblCellMar>
            <w:top w:w="0" w:type="dxa"/>
            <w:left w:w="108" w:type="dxa"/>
            <w:bottom w:w="0" w:type="dxa"/>
            <w:right w:w="108" w:type="dxa"/>
          </w:tblCellMar>
        </w:tblPrEx>
        <w:trPr>
          <w:trHeight w:val="87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机柜</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金盾</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ND6942-MB</w:t>
            </w:r>
          </w:p>
        </w:tc>
        <w:tc>
          <w:tcPr>
            <w:tcW w:w="4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sz w:val="21"/>
                <w:szCs w:val="21"/>
                <w:highlight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line="240" w:lineRule="auto"/>
              <w:ind w:firstLine="0" w:firstLineChars="0"/>
              <w:jc w:val="left"/>
              <w:textAlignment w:val="center"/>
              <w:rPr>
                <w:rFonts w:hint="eastAsia"/>
                <w:sz w:val="21"/>
                <w:szCs w:val="21"/>
                <w:highlight w:val="none"/>
                <w:lang w:val="en-US" w:eastAsia="zh-CN"/>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132"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存储硬盘</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宏杉</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MS3M2HD900G0B2AEA</w:t>
            </w:r>
          </w:p>
        </w:tc>
        <w:tc>
          <w:tcPr>
            <w:tcW w:w="4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900G</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 xml:space="preserve">40 </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line="240" w:lineRule="auto"/>
              <w:ind w:firstLine="0" w:firstLineChars="0"/>
              <w:jc w:val="left"/>
              <w:textAlignment w:val="center"/>
              <w:rPr>
                <w:rFonts w:hint="eastAsia"/>
                <w:sz w:val="21"/>
                <w:szCs w:val="21"/>
                <w:highlight w:val="none"/>
                <w:lang w:val="en-US" w:eastAsia="zh-CN"/>
              </w:rPr>
            </w:pPr>
            <w:r>
              <w:rPr>
                <w:rFonts w:hint="eastAsia" w:cs="宋体"/>
                <w:color w:val="000000"/>
                <w:sz w:val="21"/>
                <w:szCs w:val="21"/>
                <w:highlight w:val="none"/>
                <w:lang w:bidi="ar"/>
              </w:rPr>
              <w:t>正常</w:t>
            </w:r>
          </w:p>
        </w:tc>
      </w:tr>
      <w:tr>
        <w:tblPrEx>
          <w:tblCellMar>
            <w:top w:w="0" w:type="dxa"/>
            <w:left w:w="108" w:type="dxa"/>
            <w:bottom w:w="0" w:type="dxa"/>
            <w:right w:w="108" w:type="dxa"/>
          </w:tblCellMar>
        </w:tblPrEx>
        <w:trPr>
          <w:trHeight w:val="26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VPN安全网关</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深信服</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VPN-1000-B400</w:t>
            </w:r>
          </w:p>
        </w:tc>
        <w:tc>
          <w:tcPr>
            <w:tcW w:w="4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sz w:val="21"/>
                <w:szCs w:val="21"/>
                <w:highlight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line="240" w:lineRule="auto"/>
              <w:ind w:firstLine="0" w:firstLineChars="0"/>
              <w:jc w:val="left"/>
              <w:textAlignment w:val="center"/>
              <w:rPr>
                <w:rFonts w:hint="eastAsia"/>
                <w:sz w:val="21"/>
                <w:szCs w:val="21"/>
                <w:highlight w:val="none"/>
                <w:lang w:val="en-US" w:eastAsia="zh-CN"/>
              </w:rPr>
            </w:pPr>
            <w:r>
              <w:rPr>
                <w:rFonts w:hint="eastAsia" w:cs="宋体"/>
                <w:color w:val="000000"/>
                <w:sz w:val="21"/>
                <w:szCs w:val="21"/>
                <w:highlight w:val="none"/>
                <w:lang w:bidi="ar"/>
              </w:rPr>
              <w:t>正常</w:t>
            </w:r>
          </w:p>
        </w:tc>
      </w:tr>
    </w:tbl>
    <w:p>
      <w:pPr>
        <w:pStyle w:val="3"/>
        <w:pageBreakBefore w:val="0"/>
        <w:kinsoku/>
        <w:wordWrap/>
        <w:overflowPunct/>
        <w:topLinePunct w:val="0"/>
        <w:autoSpaceDE/>
        <w:autoSpaceDN/>
        <w:bidi w:val="0"/>
        <w:spacing w:before="0" w:after="0" w:line="560" w:lineRule="exact"/>
        <w:ind w:left="0" w:firstLine="640" w:firstLineChars="200"/>
        <w:textAlignment w:val="auto"/>
        <w:rPr>
          <w:rFonts w:hint="eastAsia" w:ascii="楷体" w:hAnsi="楷体" w:eastAsia="楷体" w:cs="楷体"/>
          <w:highlight w:val="none"/>
          <w:lang w:val="en-US" w:eastAsia="zh-CN"/>
        </w:rPr>
      </w:pPr>
      <w:r>
        <w:rPr>
          <w:rFonts w:hint="eastAsia" w:ascii="楷体" w:hAnsi="楷体" w:eastAsia="楷体" w:cs="楷体"/>
          <w:b w:val="0"/>
          <w:bCs w:val="0"/>
          <w:color w:val="auto"/>
          <w:sz w:val="32"/>
          <w:szCs w:val="32"/>
          <w:highlight w:val="none"/>
          <w:lang w:eastAsia="zh-CN"/>
        </w:rPr>
        <w:t>（</w:t>
      </w:r>
      <w:r>
        <w:rPr>
          <w:rFonts w:hint="eastAsia" w:ascii="楷体" w:hAnsi="楷体" w:eastAsia="楷体" w:cs="楷体"/>
          <w:b w:val="0"/>
          <w:bCs w:val="0"/>
          <w:color w:val="auto"/>
          <w:sz w:val="32"/>
          <w:szCs w:val="32"/>
          <w:highlight w:val="none"/>
          <w:lang w:val="en-US" w:eastAsia="zh-CN"/>
        </w:rPr>
        <w:t>二）</w:t>
      </w:r>
      <w:r>
        <w:rPr>
          <w:rFonts w:hint="eastAsia" w:ascii="楷体" w:hAnsi="楷体" w:eastAsia="楷体" w:cs="楷体"/>
          <w:b w:val="0"/>
          <w:bCs w:val="0"/>
          <w:color w:val="auto"/>
          <w:sz w:val="32"/>
          <w:szCs w:val="32"/>
          <w:highlight w:val="none"/>
          <w:lang w:eastAsia="zh-TW"/>
        </w:rPr>
        <w:t>维护服务主要内容</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1.设备系统软件备份和更新服务：</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运维单位需派经验丰富的工程师到现场对“服务项目清单”的设备系统软件备份和现版本的更新，保证现有的设备系统能够及时获得备份和更新。</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2.巡检服务对现场例行巡检 ：</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（1）UPS一年提供每月一次现场巡检和电池维护保养。（需原厂服务）</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（2）多功能安全网关双机每月一次现场巡检。粤盾、粤网安、邑盾、重大会议需提供不少于30天的非现场技术支援。（需原厂服务）</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（3）消防系统每月提供一次现场巡检，包括灭火瓶柜、七氟丙烷灭火剂、气体灭火控制器、紧急启停按钮、声光报警器等的维护检查。（需有消防相关资质）</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3.服务支持计划与报告：</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运维单位服需建立一份年度服务支持计划（ServiceSupportPlan），服务支持计划涉及技术和业务两个方面，以满足业主单位的服务需求。同时，运维单位将负责按照服务支持计划要求，与业主单位一起对一段时间内的故障问题汇总、备件更换情况及其它服务活动的进展情况进行总结并输出年度服务报告。</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4.等级保护测评服务：</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（1）安全管理服务：运维单位需配合业主单位建立安全管理制度、协助建立信息安全管理体系的工作。</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（2）安全加固服务：运维单位需配合业主单位按照等保机构的检查报告进行对安全物理环境、安全通信网络、安全区域边界、安全计算环境等安全基线加固。</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5.攻防演练服务：</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安全应急服务：配合采购人开展应急处理预案、应急演练、应急响应。</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（1）开展前期的设备和系统的策略升级和漏洞检查。</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（2）开展期间24小时值守监测和处理攻击威胁信息。</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（3）完成攻防演练需要提交的相关防守报告文件的提交。</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（4）提供相关攻防演练的经验案例证明图片。</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（三）运维服务总体要求</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1.硬件资产统计服务：</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此项服务为基本服务，包含在运行维护服务中，帮助对用户现有的硬件设备、信息资产情况进行了解，更好的提供系统的运行维护服务。</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（1）硬件设备型号、数量、版本等信息统计记录。</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（2）其它附属设备的统计记录。</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2.日常维护：</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主动监控，依照设定间隔探查网络设备、硬件设备的健康状况。如日常巡查CPU、内存、安全设备等硬件整体运行状态、各项硬件资源开销状况、各类指示灯是否显示正常、设备机身温度是否正常、机身是否存在异响，及时发现网络设备故障或异常，定位故障，并向业主单位报告，按要求到现场更换网络设备或及时联系相关供应商保修设备。</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（2）分析系统日志信息了解潜在问题，通过分析设备运行状态、内在利用率等指标，提出更好的规划网络方案。</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（3）防范设备潜在风险：软硬件过期或存在隐患的，应及时提出升级计划，对硬件保内或续保设备联系厂家并报告预约处理事件计划，保外设备提出更换计划，并向业主单位报告。</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（4）设备硬件和软件版本以及各网络参数的配置变更管理：完善并执行设备配置变更的相关流程，并进行变更记录。</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（5）设备板卡或模块状态检查维护。</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（6）当网络设备需要更换时，应对备用设备进行配置，并确保备用设备使用后解决网络故障。</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3.网络和安全设备系统维护：</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（1）网络路由、交换及安全等设备系统的日志分析、故障诊断和修复。</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（2）网络路由、交换及安全等设备系统的版本升级，补丁更新，配置调整。</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（3）协助对网络系统功能性测试、配置优化提供技术支持。</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（4）定期测试和文档备案，参数登记，配置文件备份。</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（5）提供针对核心业务所涵盖的物理环境、网络安全、主机安全、应用系统安全，数据安全、信息管理安全进行资产识别、威胁识别和脆弱性分析、安全整改建议等技术支持服务。</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4.巡检服务：</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在以上日常维护服务的基础上，通过动环系统提供每个月一次的全面的预防性安全巡检服务，出具巡检报告并提供安全风险分析以及提出和落实解决方案。</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（四）基本服务要求</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1.服务时间要求：</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运维人员提供每周7×24小时专人应急服务电话</w:t>
      </w:r>
      <w:r>
        <w:rPr>
          <w:rFonts w:hint="eastAsia" w:ascii="仿宋_GB2312" w:hAnsi="仿宋_GB2312" w:eastAsia="仿宋_GB2312" w:cs="仿宋_GB2312"/>
          <w:b w:val="0"/>
          <w:bCs w:val="0"/>
          <w:color w:val="auto"/>
          <w:sz w:val="32"/>
          <w:szCs w:val="32"/>
          <w:highlight w:val="none"/>
          <w:lang w:eastAsia="zh-CN"/>
        </w:rPr>
        <w:t>。</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当出现故障，进行60分钟内响应处理（包括电话/远程）</w:t>
      </w:r>
      <w:r>
        <w:rPr>
          <w:rFonts w:hint="eastAsia" w:ascii="仿宋_GB2312" w:hAnsi="仿宋_GB2312" w:eastAsia="仿宋_GB2312" w:cs="仿宋_GB2312"/>
          <w:b w:val="0"/>
          <w:bCs w:val="0"/>
          <w:color w:val="auto"/>
          <w:sz w:val="32"/>
          <w:szCs w:val="32"/>
          <w:highlight w:val="none"/>
          <w:lang w:eastAsia="zh-CN"/>
        </w:rPr>
        <w:t>。</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当故障不能使用有效的电话/远程支持方式进行解决时，运维单位派遣工程师4小时内赶往故障现场，协助进行现场故障诊断及现场故障排除。</w:t>
      </w:r>
    </w:p>
    <w:p>
      <w:pPr>
        <w:pStyle w:val="3"/>
        <w:pageBreakBefore w:val="0"/>
        <w:kinsoku/>
        <w:wordWrap/>
        <w:overflowPunct/>
        <w:topLinePunct w:val="0"/>
        <w:autoSpaceDE/>
        <w:autoSpaceDN/>
        <w:bidi w:val="0"/>
        <w:spacing w:before="0" w:after="0"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lang w:eastAsia="zh-TW"/>
        </w:rPr>
        <w:t>原厂支撑服务</w:t>
      </w:r>
      <w:r>
        <w:rPr>
          <w:rFonts w:hint="eastAsia" w:ascii="仿宋_GB2312" w:hAnsi="仿宋_GB2312" w:eastAsia="仿宋_GB2312" w:cs="仿宋_GB2312"/>
          <w:b w:val="0"/>
          <w:bCs w:val="0"/>
          <w:color w:val="auto"/>
          <w:sz w:val="32"/>
          <w:szCs w:val="32"/>
          <w:highlight w:val="none"/>
          <w:lang w:eastAsia="zh-CN"/>
        </w:rPr>
        <w:t>：</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服务期内，运维单位需要根据运维情况及满足项目主管单位的要求按需提供原厂支撑服务。同时相关的人工费、差旅费等所有费用需由中标运维单位支付。</w:t>
      </w:r>
    </w:p>
    <w:p>
      <w:pPr>
        <w:pStyle w:val="9"/>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对于机房全智能监控管理系统、多功能安全网关等设备运维，运维单位需具备制造商原厂授权函，以提供原厂服务承诺函。</w:t>
      </w:r>
    </w:p>
    <w:p>
      <w:pPr>
        <w:pStyle w:val="3"/>
        <w:pageBreakBefore w:val="0"/>
        <w:kinsoku/>
        <w:wordWrap/>
        <w:overflowPunct/>
        <w:topLinePunct w:val="0"/>
        <w:autoSpaceDE/>
        <w:autoSpaceDN/>
        <w:bidi w:val="0"/>
        <w:spacing w:before="0" w:after="0"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巡检服务</w:t>
      </w:r>
      <w:r>
        <w:rPr>
          <w:rFonts w:hint="eastAsia" w:ascii="仿宋_GB2312" w:hAnsi="仿宋_GB2312" w:eastAsia="仿宋_GB2312" w:cs="仿宋_GB2312"/>
          <w:b w:val="0"/>
          <w:bCs w:val="0"/>
          <w:color w:val="auto"/>
          <w:sz w:val="32"/>
          <w:szCs w:val="32"/>
          <w:highlight w:val="none"/>
          <w:lang w:eastAsia="zh-CN"/>
        </w:rPr>
        <w:t>：</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服务期内，运维单位必须定期对机房、网络、软硬件等进行全面的（预防性）巡检，确保设备稳定运行，巡检工作包括例行巡检、节假日和重要事件前的巡检。巡检后提供巡检报告，如发现问题，给出相应的解决（优化）方案。</w:t>
      </w:r>
    </w:p>
    <w:p>
      <w:pPr>
        <w:pStyle w:val="3"/>
        <w:pageBreakBefore w:val="0"/>
        <w:kinsoku/>
        <w:wordWrap/>
        <w:overflowPunct/>
        <w:topLinePunct w:val="0"/>
        <w:autoSpaceDE/>
        <w:autoSpaceDN/>
        <w:bidi w:val="0"/>
        <w:spacing w:before="0" w:after="0"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rPr>
        <w:t>远程支持服务</w:t>
      </w:r>
      <w:r>
        <w:rPr>
          <w:rFonts w:hint="eastAsia" w:ascii="仿宋_GB2312" w:hAnsi="仿宋_GB2312" w:eastAsia="仿宋_GB2312" w:cs="仿宋_GB2312"/>
          <w:b w:val="0"/>
          <w:bCs w:val="0"/>
          <w:color w:val="auto"/>
          <w:sz w:val="32"/>
          <w:szCs w:val="32"/>
          <w:highlight w:val="none"/>
          <w:lang w:eastAsia="zh-CN"/>
        </w:rPr>
        <w:t>：</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服务期内，运维单位通过粤政易、电话等方式为用户单位提供每天7×24小时技术支持服务和技术咨询服务，协助用户单位进行故障定位和故障排除。用户单位的电话享有高度优先级，得到优先处理，直到得到满意的结果。/5、紧急现场服务</w:t>
      </w:r>
    </w:p>
    <w:p>
      <w:pPr>
        <w:pStyle w:val="11"/>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5.紧急现场服务:</w:t>
      </w:r>
    </w:p>
    <w:p>
      <w:pPr>
        <w:pStyle w:val="11"/>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每天（含重要节假日）24小时，运维单位接到业主单位的维护需求后，属于维护服务范围的，指派具备相应能力的技术工程师在约定时间内到达故障现场，处理在服务期内出现的重大故障或重大事件。</w:t>
      </w:r>
    </w:p>
    <w:p>
      <w:pPr>
        <w:pStyle w:val="3"/>
        <w:pageBreakBefore w:val="0"/>
        <w:kinsoku/>
        <w:wordWrap/>
        <w:overflowPunct/>
        <w:topLinePunct w:val="0"/>
        <w:autoSpaceDE/>
        <w:autoSpaceDN/>
        <w:bidi w:val="0"/>
        <w:spacing w:before="0" w:after="0"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6.</w:t>
      </w:r>
      <w:r>
        <w:rPr>
          <w:rFonts w:hint="eastAsia" w:ascii="仿宋_GB2312" w:hAnsi="仿宋_GB2312" w:eastAsia="仿宋_GB2312" w:cs="仿宋_GB2312"/>
          <w:b w:val="0"/>
          <w:bCs w:val="0"/>
          <w:color w:val="auto"/>
          <w:sz w:val="32"/>
          <w:szCs w:val="32"/>
          <w:highlight w:val="none"/>
        </w:rPr>
        <w:t>故障处理服务</w:t>
      </w:r>
      <w:r>
        <w:rPr>
          <w:rFonts w:hint="eastAsia" w:ascii="仿宋_GB2312" w:hAnsi="仿宋_GB2312" w:eastAsia="仿宋_GB2312" w:cs="仿宋_GB2312"/>
          <w:b w:val="0"/>
          <w:bCs w:val="0"/>
          <w:color w:val="auto"/>
          <w:sz w:val="32"/>
          <w:szCs w:val="32"/>
          <w:highlight w:val="none"/>
          <w:lang w:eastAsia="zh-CN"/>
        </w:rPr>
        <w:t>：</w:t>
      </w:r>
    </w:p>
    <w:p>
      <w:pPr>
        <w:pStyle w:val="9"/>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业主单位在使用设备和系统时遇到疑难问题或出现不稳定情况时，运维单位提供7×24小时故障处理服务，包括电话支持和现场响应，接到报障后，运维单位必须立即响应，并在规定时间内恢复故障。</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pacing w:val="0"/>
          <w:kern w:val="0"/>
          <w:sz w:val="32"/>
          <w:szCs w:val="32"/>
          <w:highlight w:val="none"/>
        </w:rPr>
        <w:t>故障级别及响应时间表</w:t>
      </w:r>
    </w:p>
    <w:tbl>
      <w:tblPr>
        <w:tblStyle w:val="15"/>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2424"/>
        <w:gridCol w:w="2173"/>
        <w:gridCol w:w="2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46" w:type="pct"/>
            <w:shd w:val="clear" w:color="auto" w:fill="DEEAF6"/>
            <w:noWrap w:val="0"/>
            <w:vAlign w:val="center"/>
          </w:tcPr>
          <w:p>
            <w:pPr>
              <w:pStyle w:val="27"/>
              <w:pageBreakBefore w:val="0"/>
              <w:kinsoku/>
              <w:wordWrap/>
              <w:overflowPunct/>
              <w:topLinePunct w:val="0"/>
              <w:autoSpaceDE/>
              <w:autoSpaceDN/>
              <w:bidi w:val="0"/>
              <w:spacing w:line="240" w:lineRule="auto"/>
              <w:jc w:val="center"/>
              <w:textAlignment w:val="auto"/>
              <w:rPr>
                <w:color w:val="auto"/>
                <w:sz w:val="21"/>
                <w:szCs w:val="21"/>
                <w:highlight w:val="none"/>
              </w:rPr>
            </w:pPr>
            <w:r>
              <w:rPr>
                <w:rFonts w:hint="eastAsia"/>
                <w:color w:val="auto"/>
                <w:sz w:val="21"/>
                <w:szCs w:val="21"/>
                <w:highlight w:val="none"/>
              </w:rPr>
              <w:t>事件等级</w:t>
            </w:r>
          </w:p>
        </w:tc>
        <w:tc>
          <w:tcPr>
            <w:tcW w:w="1422" w:type="pct"/>
            <w:shd w:val="clear" w:color="auto" w:fill="DEEAF6"/>
            <w:noWrap w:val="0"/>
            <w:vAlign w:val="center"/>
          </w:tcPr>
          <w:p>
            <w:pPr>
              <w:pStyle w:val="27"/>
              <w:pageBreakBefore w:val="0"/>
              <w:kinsoku/>
              <w:wordWrap/>
              <w:overflowPunct/>
              <w:topLinePunct w:val="0"/>
              <w:autoSpaceDE/>
              <w:autoSpaceDN/>
              <w:bidi w:val="0"/>
              <w:spacing w:line="240" w:lineRule="auto"/>
              <w:jc w:val="center"/>
              <w:textAlignment w:val="auto"/>
              <w:rPr>
                <w:color w:val="auto"/>
                <w:sz w:val="21"/>
                <w:szCs w:val="21"/>
                <w:highlight w:val="none"/>
              </w:rPr>
            </w:pPr>
            <w:r>
              <w:rPr>
                <w:rFonts w:hint="eastAsia"/>
                <w:color w:val="auto"/>
                <w:sz w:val="21"/>
                <w:szCs w:val="21"/>
                <w:highlight w:val="none"/>
              </w:rPr>
              <w:t>事件定义</w:t>
            </w:r>
          </w:p>
        </w:tc>
        <w:tc>
          <w:tcPr>
            <w:tcW w:w="1275" w:type="pct"/>
            <w:shd w:val="clear" w:color="auto" w:fill="DEEAF6"/>
            <w:noWrap w:val="0"/>
            <w:vAlign w:val="center"/>
          </w:tcPr>
          <w:p>
            <w:pPr>
              <w:pStyle w:val="27"/>
              <w:pageBreakBefore w:val="0"/>
              <w:kinsoku/>
              <w:wordWrap/>
              <w:overflowPunct/>
              <w:topLinePunct w:val="0"/>
              <w:autoSpaceDE/>
              <w:autoSpaceDN/>
              <w:bidi w:val="0"/>
              <w:spacing w:line="240" w:lineRule="auto"/>
              <w:jc w:val="center"/>
              <w:textAlignment w:val="auto"/>
              <w:rPr>
                <w:color w:val="auto"/>
                <w:sz w:val="21"/>
                <w:szCs w:val="21"/>
                <w:highlight w:val="none"/>
              </w:rPr>
            </w:pPr>
            <w:r>
              <w:rPr>
                <w:rFonts w:hint="eastAsia"/>
                <w:color w:val="auto"/>
                <w:sz w:val="21"/>
                <w:szCs w:val="21"/>
                <w:highlight w:val="none"/>
              </w:rPr>
              <w:t>响应时间</w:t>
            </w:r>
          </w:p>
        </w:tc>
        <w:tc>
          <w:tcPr>
            <w:tcW w:w="1657" w:type="pct"/>
            <w:shd w:val="clear" w:color="auto" w:fill="DEEAF6"/>
            <w:noWrap w:val="0"/>
            <w:vAlign w:val="center"/>
          </w:tcPr>
          <w:p>
            <w:pPr>
              <w:pStyle w:val="27"/>
              <w:pageBreakBefore w:val="0"/>
              <w:kinsoku/>
              <w:wordWrap/>
              <w:overflowPunct/>
              <w:topLinePunct w:val="0"/>
              <w:autoSpaceDE/>
              <w:autoSpaceDN/>
              <w:bidi w:val="0"/>
              <w:spacing w:line="240" w:lineRule="auto"/>
              <w:jc w:val="center"/>
              <w:textAlignment w:val="auto"/>
              <w:rPr>
                <w:color w:val="auto"/>
                <w:sz w:val="21"/>
                <w:szCs w:val="21"/>
                <w:highlight w:val="none"/>
              </w:rPr>
            </w:pPr>
            <w:r>
              <w:rPr>
                <w:rFonts w:hint="eastAsia"/>
                <w:color w:val="auto"/>
                <w:sz w:val="21"/>
                <w:szCs w:val="21"/>
                <w:highlight w:val="none"/>
              </w:rPr>
              <w:t>解决时间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pct"/>
            <w:noWrap w:val="0"/>
            <w:vAlign w:val="center"/>
          </w:tcPr>
          <w:p>
            <w:pPr>
              <w:pStyle w:val="27"/>
              <w:pageBreakBefore w:val="0"/>
              <w:kinsoku/>
              <w:wordWrap/>
              <w:overflowPunct/>
              <w:topLinePunct w:val="0"/>
              <w:autoSpaceDE/>
              <w:autoSpaceDN/>
              <w:bidi w:val="0"/>
              <w:spacing w:line="240" w:lineRule="auto"/>
              <w:jc w:val="center"/>
              <w:textAlignment w:val="auto"/>
              <w:rPr>
                <w:bCs/>
                <w:color w:val="auto"/>
                <w:sz w:val="21"/>
                <w:szCs w:val="21"/>
                <w:highlight w:val="none"/>
              </w:rPr>
            </w:pPr>
            <w:r>
              <w:rPr>
                <w:rFonts w:hint="eastAsia"/>
                <w:bCs/>
                <w:color w:val="auto"/>
                <w:sz w:val="21"/>
                <w:szCs w:val="21"/>
                <w:highlight w:val="none"/>
              </w:rPr>
              <w:t>1级事件</w:t>
            </w:r>
          </w:p>
        </w:tc>
        <w:tc>
          <w:tcPr>
            <w:tcW w:w="1422" w:type="pct"/>
            <w:noWrap w:val="0"/>
            <w:vAlign w:val="center"/>
          </w:tcPr>
          <w:p>
            <w:pPr>
              <w:pStyle w:val="27"/>
              <w:pageBreakBefore w:val="0"/>
              <w:kinsoku/>
              <w:wordWrap/>
              <w:overflowPunct/>
              <w:topLinePunct w:val="0"/>
              <w:autoSpaceDE/>
              <w:autoSpaceDN/>
              <w:bidi w:val="0"/>
              <w:spacing w:line="240" w:lineRule="auto"/>
              <w:jc w:val="center"/>
              <w:textAlignment w:val="auto"/>
              <w:rPr>
                <w:bCs/>
                <w:color w:val="auto"/>
                <w:sz w:val="21"/>
                <w:szCs w:val="21"/>
                <w:highlight w:val="none"/>
              </w:rPr>
            </w:pPr>
            <w:r>
              <w:rPr>
                <w:rFonts w:hint="eastAsia"/>
                <w:bCs/>
                <w:color w:val="auto"/>
                <w:sz w:val="21"/>
                <w:szCs w:val="21"/>
                <w:highlight w:val="none"/>
              </w:rPr>
              <w:t>发生安全事故或系统数据泄露，造成严重影响</w:t>
            </w:r>
          </w:p>
        </w:tc>
        <w:tc>
          <w:tcPr>
            <w:tcW w:w="1275" w:type="pct"/>
            <w:noWrap w:val="0"/>
            <w:vAlign w:val="center"/>
          </w:tcPr>
          <w:p>
            <w:pPr>
              <w:pStyle w:val="27"/>
              <w:pageBreakBefore w:val="0"/>
              <w:kinsoku/>
              <w:wordWrap/>
              <w:overflowPunct/>
              <w:topLinePunct w:val="0"/>
              <w:autoSpaceDE/>
              <w:autoSpaceDN/>
              <w:bidi w:val="0"/>
              <w:spacing w:line="240" w:lineRule="auto"/>
              <w:jc w:val="center"/>
              <w:textAlignment w:val="auto"/>
              <w:rPr>
                <w:bCs/>
                <w:color w:val="auto"/>
                <w:sz w:val="21"/>
                <w:szCs w:val="21"/>
                <w:highlight w:val="none"/>
              </w:rPr>
            </w:pPr>
            <w:r>
              <w:rPr>
                <w:rFonts w:hint="eastAsia"/>
                <w:bCs/>
                <w:color w:val="auto"/>
                <w:sz w:val="21"/>
                <w:szCs w:val="21"/>
                <w:highlight w:val="none"/>
              </w:rPr>
              <w:t>30分钟内响应</w:t>
            </w:r>
          </w:p>
        </w:tc>
        <w:tc>
          <w:tcPr>
            <w:tcW w:w="1657" w:type="pct"/>
            <w:noWrap w:val="0"/>
            <w:vAlign w:val="center"/>
          </w:tcPr>
          <w:p>
            <w:pPr>
              <w:pStyle w:val="27"/>
              <w:pageBreakBefore w:val="0"/>
              <w:kinsoku/>
              <w:wordWrap/>
              <w:overflowPunct/>
              <w:topLinePunct w:val="0"/>
              <w:autoSpaceDE/>
              <w:autoSpaceDN/>
              <w:bidi w:val="0"/>
              <w:spacing w:line="240" w:lineRule="auto"/>
              <w:jc w:val="center"/>
              <w:textAlignment w:val="auto"/>
              <w:rPr>
                <w:bCs/>
                <w:color w:val="auto"/>
                <w:sz w:val="21"/>
                <w:szCs w:val="21"/>
                <w:highlight w:val="none"/>
              </w:rPr>
            </w:pPr>
            <w:r>
              <w:rPr>
                <w:rFonts w:hint="eastAsia"/>
                <w:bCs/>
                <w:color w:val="auto"/>
                <w:sz w:val="21"/>
                <w:szCs w:val="21"/>
                <w:highlight w:val="none"/>
              </w:rPr>
              <w:t>2小时内，恢复系统正常，8小时内分析故障原因，提出问题分析报告和整改方案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pct"/>
            <w:noWrap w:val="0"/>
            <w:vAlign w:val="center"/>
          </w:tcPr>
          <w:p>
            <w:pPr>
              <w:pStyle w:val="27"/>
              <w:pageBreakBefore w:val="0"/>
              <w:kinsoku/>
              <w:wordWrap/>
              <w:overflowPunct/>
              <w:topLinePunct w:val="0"/>
              <w:autoSpaceDE/>
              <w:autoSpaceDN/>
              <w:bidi w:val="0"/>
              <w:spacing w:line="240" w:lineRule="auto"/>
              <w:jc w:val="center"/>
              <w:textAlignment w:val="auto"/>
              <w:rPr>
                <w:bCs/>
                <w:color w:val="auto"/>
                <w:sz w:val="21"/>
                <w:szCs w:val="21"/>
                <w:highlight w:val="none"/>
              </w:rPr>
            </w:pPr>
            <w:r>
              <w:rPr>
                <w:rFonts w:hint="eastAsia"/>
                <w:bCs/>
                <w:color w:val="auto"/>
                <w:sz w:val="21"/>
                <w:szCs w:val="21"/>
                <w:highlight w:val="none"/>
              </w:rPr>
              <w:t>2级事件</w:t>
            </w:r>
          </w:p>
        </w:tc>
        <w:tc>
          <w:tcPr>
            <w:tcW w:w="1422" w:type="pct"/>
            <w:noWrap w:val="0"/>
            <w:vAlign w:val="center"/>
          </w:tcPr>
          <w:p>
            <w:pPr>
              <w:pStyle w:val="27"/>
              <w:pageBreakBefore w:val="0"/>
              <w:kinsoku/>
              <w:wordWrap/>
              <w:overflowPunct/>
              <w:topLinePunct w:val="0"/>
              <w:autoSpaceDE/>
              <w:autoSpaceDN/>
              <w:bidi w:val="0"/>
              <w:spacing w:line="240" w:lineRule="auto"/>
              <w:jc w:val="center"/>
              <w:textAlignment w:val="auto"/>
              <w:rPr>
                <w:bCs/>
                <w:color w:val="auto"/>
                <w:sz w:val="21"/>
                <w:szCs w:val="21"/>
                <w:highlight w:val="none"/>
              </w:rPr>
            </w:pPr>
            <w:r>
              <w:rPr>
                <w:rFonts w:hint="eastAsia"/>
                <w:bCs/>
                <w:color w:val="auto"/>
                <w:sz w:val="21"/>
                <w:szCs w:val="21"/>
                <w:highlight w:val="none"/>
              </w:rPr>
              <w:t>信息系统崩溃，系统所有业务无法进行，造成较大影响</w:t>
            </w:r>
          </w:p>
        </w:tc>
        <w:tc>
          <w:tcPr>
            <w:tcW w:w="1275" w:type="pct"/>
            <w:noWrap w:val="0"/>
            <w:vAlign w:val="center"/>
          </w:tcPr>
          <w:p>
            <w:pPr>
              <w:pStyle w:val="27"/>
              <w:pageBreakBefore w:val="0"/>
              <w:kinsoku/>
              <w:wordWrap/>
              <w:overflowPunct/>
              <w:topLinePunct w:val="0"/>
              <w:autoSpaceDE/>
              <w:autoSpaceDN/>
              <w:bidi w:val="0"/>
              <w:spacing w:line="240" w:lineRule="auto"/>
              <w:jc w:val="center"/>
              <w:textAlignment w:val="auto"/>
              <w:rPr>
                <w:bCs/>
                <w:color w:val="auto"/>
                <w:sz w:val="21"/>
                <w:szCs w:val="21"/>
                <w:highlight w:val="none"/>
              </w:rPr>
            </w:pPr>
            <w:r>
              <w:rPr>
                <w:rFonts w:hint="eastAsia"/>
                <w:bCs/>
                <w:color w:val="auto"/>
                <w:sz w:val="21"/>
                <w:szCs w:val="21"/>
                <w:highlight w:val="none"/>
              </w:rPr>
              <w:t>30分钟内响应</w:t>
            </w:r>
          </w:p>
        </w:tc>
        <w:tc>
          <w:tcPr>
            <w:tcW w:w="1657" w:type="pct"/>
            <w:noWrap w:val="0"/>
            <w:vAlign w:val="center"/>
          </w:tcPr>
          <w:p>
            <w:pPr>
              <w:pStyle w:val="27"/>
              <w:pageBreakBefore w:val="0"/>
              <w:kinsoku/>
              <w:wordWrap/>
              <w:overflowPunct/>
              <w:topLinePunct w:val="0"/>
              <w:autoSpaceDE/>
              <w:autoSpaceDN/>
              <w:bidi w:val="0"/>
              <w:spacing w:line="240" w:lineRule="auto"/>
              <w:jc w:val="center"/>
              <w:textAlignment w:val="auto"/>
              <w:rPr>
                <w:bCs/>
                <w:color w:val="auto"/>
                <w:sz w:val="21"/>
                <w:szCs w:val="21"/>
                <w:highlight w:val="none"/>
              </w:rPr>
            </w:pPr>
            <w:r>
              <w:rPr>
                <w:rFonts w:hint="eastAsia"/>
                <w:bCs/>
                <w:color w:val="auto"/>
                <w:sz w:val="21"/>
                <w:szCs w:val="21"/>
                <w:highlight w:val="none"/>
              </w:rPr>
              <w:t>3小时内恢复系统正常，24小时内分析故障原因，提出问题分析报告和整改方案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pct"/>
            <w:noWrap w:val="0"/>
            <w:vAlign w:val="center"/>
          </w:tcPr>
          <w:p>
            <w:pPr>
              <w:pStyle w:val="27"/>
              <w:pageBreakBefore w:val="0"/>
              <w:kinsoku/>
              <w:wordWrap/>
              <w:overflowPunct/>
              <w:topLinePunct w:val="0"/>
              <w:autoSpaceDE/>
              <w:autoSpaceDN/>
              <w:bidi w:val="0"/>
              <w:spacing w:line="240" w:lineRule="auto"/>
              <w:jc w:val="center"/>
              <w:textAlignment w:val="auto"/>
              <w:rPr>
                <w:bCs/>
                <w:color w:val="auto"/>
                <w:sz w:val="21"/>
                <w:szCs w:val="21"/>
                <w:highlight w:val="none"/>
              </w:rPr>
            </w:pPr>
            <w:r>
              <w:rPr>
                <w:rFonts w:hint="eastAsia"/>
                <w:bCs/>
                <w:color w:val="auto"/>
                <w:sz w:val="21"/>
                <w:szCs w:val="21"/>
                <w:highlight w:val="none"/>
              </w:rPr>
              <w:t>3级事件</w:t>
            </w:r>
          </w:p>
        </w:tc>
        <w:tc>
          <w:tcPr>
            <w:tcW w:w="1422" w:type="pct"/>
            <w:noWrap w:val="0"/>
            <w:vAlign w:val="center"/>
          </w:tcPr>
          <w:p>
            <w:pPr>
              <w:pStyle w:val="27"/>
              <w:pageBreakBefore w:val="0"/>
              <w:kinsoku/>
              <w:wordWrap/>
              <w:overflowPunct/>
              <w:topLinePunct w:val="0"/>
              <w:autoSpaceDE/>
              <w:autoSpaceDN/>
              <w:bidi w:val="0"/>
              <w:spacing w:line="240" w:lineRule="auto"/>
              <w:jc w:val="center"/>
              <w:textAlignment w:val="auto"/>
              <w:rPr>
                <w:bCs/>
                <w:color w:val="auto"/>
                <w:sz w:val="21"/>
                <w:szCs w:val="21"/>
                <w:highlight w:val="none"/>
              </w:rPr>
            </w:pPr>
            <w:r>
              <w:rPr>
                <w:rFonts w:hint="eastAsia"/>
                <w:bCs/>
                <w:color w:val="auto"/>
                <w:sz w:val="21"/>
                <w:szCs w:val="21"/>
                <w:highlight w:val="none"/>
              </w:rPr>
              <w:t>发生故障，部分业务无法开展，影响外单位业务开展</w:t>
            </w:r>
          </w:p>
        </w:tc>
        <w:tc>
          <w:tcPr>
            <w:tcW w:w="1275" w:type="pct"/>
            <w:noWrap w:val="0"/>
            <w:vAlign w:val="center"/>
          </w:tcPr>
          <w:p>
            <w:pPr>
              <w:pStyle w:val="27"/>
              <w:pageBreakBefore w:val="0"/>
              <w:kinsoku/>
              <w:wordWrap/>
              <w:overflowPunct/>
              <w:topLinePunct w:val="0"/>
              <w:autoSpaceDE/>
              <w:autoSpaceDN/>
              <w:bidi w:val="0"/>
              <w:spacing w:line="240" w:lineRule="auto"/>
              <w:jc w:val="center"/>
              <w:textAlignment w:val="auto"/>
              <w:rPr>
                <w:bCs/>
                <w:color w:val="auto"/>
                <w:sz w:val="21"/>
                <w:szCs w:val="21"/>
                <w:highlight w:val="none"/>
              </w:rPr>
            </w:pPr>
            <w:r>
              <w:rPr>
                <w:rFonts w:hint="eastAsia"/>
                <w:bCs/>
                <w:color w:val="auto"/>
                <w:sz w:val="21"/>
                <w:szCs w:val="21"/>
                <w:highlight w:val="none"/>
              </w:rPr>
              <w:t>1小时内响应</w:t>
            </w:r>
          </w:p>
        </w:tc>
        <w:tc>
          <w:tcPr>
            <w:tcW w:w="1657" w:type="pct"/>
            <w:noWrap w:val="0"/>
            <w:vAlign w:val="center"/>
          </w:tcPr>
          <w:p>
            <w:pPr>
              <w:pStyle w:val="27"/>
              <w:pageBreakBefore w:val="0"/>
              <w:kinsoku/>
              <w:wordWrap/>
              <w:overflowPunct/>
              <w:topLinePunct w:val="0"/>
              <w:autoSpaceDE/>
              <w:autoSpaceDN/>
              <w:bidi w:val="0"/>
              <w:spacing w:line="240" w:lineRule="auto"/>
              <w:jc w:val="center"/>
              <w:textAlignment w:val="auto"/>
              <w:rPr>
                <w:bCs/>
                <w:color w:val="auto"/>
                <w:sz w:val="21"/>
                <w:szCs w:val="21"/>
                <w:highlight w:val="none"/>
              </w:rPr>
            </w:pPr>
            <w:r>
              <w:rPr>
                <w:rFonts w:hint="eastAsia"/>
                <w:bCs/>
                <w:color w:val="auto"/>
                <w:sz w:val="21"/>
                <w:szCs w:val="21"/>
                <w:highlight w:val="none"/>
              </w:rPr>
              <w:t>4小时内恢复系统正常或给出应急处理办法，24小时内分析故障原因，提出问题分析报告和整改方案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pct"/>
            <w:noWrap w:val="0"/>
            <w:vAlign w:val="center"/>
          </w:tcPr>
          <w:p>
            <w:pPr>
              <w:pStyle w:val="27"/>
              <w:pageBreakBefore w:val="0"/>
              <w:kinsoku/>
              <w:wordWrap/>
              <w:overflowPunct/>
              <w:topLinePunct w:val="0"/>
              <w:autoSpaceDE/>
              <w:autoSpaceDN/>
              <w:bidi w:val="0"/>
              <w:spacing w:line="240" w:lineRule="auto"/>
              <w:jc w:val="center"/>
              <w:textAlignment w:val="auto"/>
              <w:rPr>
                <w:bCs/>
                <w:color w:val="auto"/>
                <w:sz w:val="21"/>
                <w:szCs w:val="21"/>
                <w:highlight w:val="none"/>
              </w:rPr>
            </w:pPr>
            <w:r>
              <w:rPr>
                <w:rFonts w:hint="eastAsia"/>
                <w:bCs/>
                <w:color w:val="auto"/>
                <w:sz w:val="21"/>
                <w:szCs w:val="21"/>
                <w:highlight w:val="none"/>
              </w:rPr>
              <w:t>4级事件</w:t>
            </w:r>
          </w:p>
        </w:tc>
        <w:tc>
          <w:tcPr>
            <w:tcW w:w="1422" w:type="pct"/>
            <w:noWrap w:val="0"/>
            <w:vAlign w:val="center"/>
          </w:tcPr>
          <w:p>
            <w:pPr>
              <w:pStyle w:val="27"/>
              <w:pageBreakBefore w:val="0"/>
              <w:kinsoku/>
              <w:wordWrap/>
              <w:overflowPunct/>
              <w:topLinePunct w:val="0"/>
              <w:autoSpaceDE/>
              <w:autoSpaceDN/>
              <w:bidi w:val="0"/>
              <w:spacing w:line="240" w:lineRule="auto"/>
              <w:jc w:val="center"/>
              <w:textAlignment w:val="auto"/>
              <w:rPr>
                <w:bCs/>
                <w:color w:val="auto"/>
                <w:sz w:val="21"/>
                <w:szCs w:val="21"/>
                <w:highlight w:val="none"/>
              </w:rPr>
            </w:pPr>
            <w:r>
              <w:rPr>
                <w:rFonts w:hint="eastAsia"/>
                <w:bCs/>
                <w:color w:val="auto"/>
                <w:sz w:val="21"/>
                <w:szCs w:val="21"/>
                <w:highlight w:val="none"/>
              </w:rPr>
              <w:t>性能下降或故障影响本局业务开展</w:t>
            </w:r>
          </w:p>
        </w:tc>
        <w:tc>
          <w:tcPr>
            <w:tcW w:w="1275" w:type="pct"/>
            <w:noWrap w:val="0"/>
            <w:vAlign w:val="center"/>
          </w:tcPr>
          <w:p>
            <w:pPr>
              <w:pStyle w:val="27"/>
              <w:pageBreakBefore w:val="0"/>
              <w:kinsoku/>
              <w:wordWrap/>
              <w:overflowPunct/>
              <w:topLinePunct w:val="0"/>
              <w:autoSpaceDE/>
              <w:autoSpaceDN/>
              <w:bidi w:val="0"/>
              <w:spacing w:line="240" w:lineRule="auto"/>
              <w:jc w:val="center"/>
              <w:textAlignment w:val="auto"/>
              <w:rPr>
                <w:bCs/>
                <w:color w:val="auto"/>
                <w:sz w:val="21"/>
                <w:szCs w:val="21"/>
                <w:highlight w:val="none"/>
              </w:rPr>
            </w:pPr>
            <w:r>
              <w:rPr>
                <w:rFonts w:hint="eastAsia"/>
                <w:bCs/>
                <w:color w:val="auto"/>
                <w:sz w:val="21"/>
                <w:szCs w:val="21"/>
                <w:highlight w:val="none"/>
              </w:rPr>
              <w:t>1小时内响应</w:t>
            </w:r>
          </w:p>
        </w:tc>
        <w:tc>
          <w:tcPr>
            <w:tcW w:w="1657" w:type="pct"/>
            <w:noWrap w:val="0"/>
            <w:vAlign w:val="center"/>
          </w:tcPr>
          <w:p>
            <w:pPr>
              <w:pStyle w:val="27"/>
              <w:pageBreakBefore w:val="0"/>
              <w:kinsoku/>
              <w:wordWrap/>
              <w:overflowPunct/>
              <w:topLinePunct w:val="0"/>
              <w:autoSpaceDE/>
              <w:autoSpaceDN/>
              <w:bidi w:val="0"/>
              <w:spacing w:line="240" w:lineRule="auto"/>
              <w:jc w:val="center"/>
              <w:textAlignment w:val="auto"/>
              <w:rPr>
                <w:bCs/>
                <w:color w:val="auto"/>
                <w:sz w:val="21"/>
                <w:szCs w:val="21"/>
                <w:highlight w:val="none"/>
              </w:rPr>
            </w:pPr>
            <w:r>
              <w:rPr>
                <w:rFonts w:hint="eastAsia"/>
                <w:bCs/>
                <w:color w:val="auto"/>
                <w:sz w:val="21"/>
                <w:szCs w:val="21"/>
                <w:highlight w:val="none"/>
              </w:rPr>
              <w:t>8小时内恢复系统正常或给出应急处理办法，48小时内分析故障原因，提出问题分析报告和整改方案</w:t>
            </w:r>
          </w:p>
        </w:tc>
      </w:tr>
    </w:tbl>
    <w:p>
      <w:pPr>
        <w:pStyle w:val="3"/>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7.</w:t>
      </w:r>
      <w:r>
        <w:rPr>
          <w:rFonts w:hint="eastAsia" w:ascii="仿宋_GB2312" w:hAnsi="仿宋_GB2312" w:eastAsia="仿宋_GB2312" w:cs="仿宋_GB2312"/>
          <w:b w:val="0"/>
          <w:bCs w:val="0"/>
          <w:color w:val="auto"/>
          <w:sz w:val="32"/>
          <w:szCs w:val="32"/>
          <w:highlight w:val="none"/>
        </w:rPr>
        <w:t>重保值守服务</w:t>
      </w:r>
      <w:r>
        <w:rPr>
          <w:rFonts w:hint="eastAsia" w:ascii="仿宋_GB2312" w:hAnsi="仿宋_GB2312" w:eastAsia="仿宋_GB2312" w:cs="仿宋_GB2312"/>
          <w:b w:val="0"/>
          <w:bCs w:val="0"/>
          <w:color w:val="auto"/>
          <w:sz w:val="32"/>
          <w:szCs w:val="32"/>
          <w:highlight w:val="none"/>
          <w:lang w:eastAsia="zh-CN"/>
        </w:rPr>
        <w:t>：</w:t>
      </w:r>
    </w:p>
    <w:p>
      <w:pPr>
        <w:pStyle w:val="11"/>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重要节假日、活动（重大会议、重大活动、敏感时间段）期间，若业主单位提出增派专业技术人员满足重保值守要求，运维单位需按业主单位需求作出响应。</w:t>
      </w:r>
    </w:p>
    <w:p>
      <w:pPr>
        <w:pStyle w:val="11"/>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保障春节、国庆等法定节假日以及发生互联网大会等重大事件期间相关设备的稳定运行，执行“封网”和重点保障制度。“封网”期间原则上暂停一切升级割接等动作，若确实有必要必须经相关领导审批，在“窗口期”（每天0点-6点）内进行。</w:t>
      </w:r>
    </w:p>
    <w:p>
      <w:pPr>
        <w:pStyle w:val="3"/>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 w:hAnsi="楷体" w:eastAsia="楷体" w:cs="楷体"/>
          <w:b w:val="0"/>
          <w:bCs w:val="0"/>
          <w:color w:val="auto"/>
          <w:sz w:val="32"/>
          <w:szCs w:val="32"/>
          <w:highlight w:val="none"/>
          <w:lang w:eastAsia="zh-CN"/>
        </w:rPr>
      </w:pPr>
      <w:r>
        <w:rPr>
          <w:rFonts w:hint="eastAsia" w:ascii="楷体" w:hAnsi="楷体" w:eastAsia="楷体" w:cs="楷体"/>
          <w:b w:val="0"/>
          <w:bCs w:val="0"/>
          <w:color w:val="auto"/>
          <w:sz w:val="32"/>
          <w:szCs w:val="32"/>
          <w:highlight w:val="none"/>
          <w:lang w:eastAsia="zh-CN"/>
        </w:rPr>
        <w:t>（</w:t>
      </w:r>
      <w:r>
        <w:rPr>
          <w:rFonts w:hint="eastAsia" w:ascii="楷体" w:hAnsi="楷体" w:eastAsia="楷体" w:cs="楷体"/>
          <w:b w:val="0"/>
          <w:bCs w:val="0"/>
          <w:color w:val="auto"/>
          <w:sz w:val="32"/>
          <w:szCs w:val="32"/>
          <w:highlight w:val="none"/>
          <w:lang w:val="en-US" w:eastAsia="zh-CN"/>
        </w:rPr>
        <w:t>五）</w:t>
      </w:r>
      <w:r>
        <w:rPr>
          <w:rFonts w:hint="eastAsia" w:ascii="楷体" w:hAnsi="楷体" w:eastAsia="楷体" w:cs="楷体"/>
          <w:b w:val="0"/>
          <w:bCs w:val="0"/>
          <w:color w:val="auto"/>
          <w:sz w:val="32"/>
          <w:szCs w:val="32"/>
          <w:highlight w:val="none"/>
        </w:rPr>
        <w:t>巡检维护作业</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为了保障系统的健康运行，在各系统运行期间通过预防性维护等手段提前发现系统缺陷、隐患或故障，通过事件处理程序及早对相关问题进行干预处理，针对开平市中心机房服务清单相关设备提供巡检维护服务，采取定期检查的方式排查系统运作隐患并及时处理。</w:t>
      </w:r>
    </w:p>
    <w:p>
      <w:pPr>
        <w:pStyle w:val="3"/>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bookmarkStart w:id="2" w:name="_Toc43454738"/>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巡检维护方式</w:t>
      </w:r>
      <w:bookmarkEnd w:id="2"/>
      <w:r>
        <w:rPr>
          <w:rFonts w:hint="eastAsia" w:ascii="仿宋_GB2312" w:hAnsi="仿宋_GB2312" w:eastAsia="仿宋_GB2312" w:cs="仿宋_GB2312"/>
          <w:b w:val="0"/>
          <w:bCs w:val="0"/>
          <w:color w:val="auto"/>
          <w:sz w:val="32"/>
          <w:szCs w:val="32"/>
          <w:highlight w:val="none"/>
          <w:lang w:eastAsia="zh-CN"/>
        </w:rPr>
        <w:t>：</w:t>
      </w:r>
    </w:p>
    <w:p>
      <w:pPr>
        <w:pStyle w:val="4"/>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人工巡检</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巡检员定期到现场或通过远程访问的方式进行人工巡检，原则上每周应至少巡检一次，检查各类系统在实际运行环境中的运行状态，及时排除系统隐患或故障现象，发现异常后立即通过相关服务流程办法进行相应操作。</w:t>
      </w:r>
    </w:p>
    <w:p>
      <w:pPr>
        <w:pStyle w:val="4"/>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特殊巡检</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用户遇特殊事件或任务时，运维人员按用户沟通需求到现场进行值班检查与技术支持工作，与用户一同完成上级交办的各项任务。</w:t>
      </w:r>
    </w:p>
    <w:p>
      <w:pPr>
        <w:pStyle w:val="4"/>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bookmarkStart w:id="3" w:name="_Toc43454739"/>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巡检流程</w:t>
      </w:r>
      <w:bookmarkEnd w:id="3"/>
      <w:r>
        <w:rPr>
          <w:rFonts w:hint="eastAsia" w:ascii="仿宋_GB2312" w:hAnsi="仿宋_GB2312" w:eastAsia="仿宋_GB2312" w:cs="仿宋_GB2312"/>
          <w:b w:val="0"/>
          <w:bCs w:val="0"/>
          <w:color w:val="auto"/>
          <w:sz w:val="32"/>
          <w:szCs w:val="32"/>
          <w:highlight w:val="none"/>
          <w:lang w:eastAsia="zh-CN"/>
        </w:rPr>
        <w:t>：</w:t>
      </w:r>
    </w:p>
    <w:p>
      <w:pPr>
        <w:pageBreakBefore w:val="0"/>
        <w:kinsoku/>
        <w:wordWrap/>
        <w:overflowPunct/>
        <w:topLinePunct w:val="0"/>
        <w:autoSpaceDE/>
        <w:autoSpaceDN/>
        <w:bidi w:val="0"/>
        <w:spacing w:line="240" w:lineRule="auto"/>
        <w:textAlignment w:val="auto"/>
        <w:rPr>
          <w:rFonts w:ascii="宋体" w:hAnsi="宋体"/>
          <w:color w:val="auto"/>
          <w:sz w:val="28"/>
          <w:szCs w:val="28"/>
          <w:highlight w:val="none"/>
        </w:rPr>
      </w:pPr>
      <w:r>
        <w:rPr>
          <w:rFonts w:ascii="宋体" w:hAnsi="宋体"/>
          <w:color w:val="auto"/>
          <w:sz w:val="28"/>
          <w:szCs w:val="28"/>
          <w:highlight w:val="none"/>
        </w:rPr>
        <w:drawing>
          <wp:inline distT="0" distB="0" distL="114300" distR="114300">
            <wp:extent cx="5271135" cy="1989455"/>
            <wp:effectExtent l="0" t="0" r="5715" b="1079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6"/>
                    <a:stretch>
                      <a:fillRect/>
                    </a:stretch>
                  </pic:blipFill>
                  <pic:spPr>
                    <a:xfrm>
                      <a:off x="0" y="0"/>
                      <a:ext cx="5271135" cy="19894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巡检记录指本文《巡检维护记录表》</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制定作业计划</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由项目经理负责，根据运维服务清单的实际运行情况、是否为核心或易故障系统/设备等，制定维护作业计划表，对涉及例行维护作业的各类系统、各项维护实施对象及对应的维护工作内容、维护方式、维护频次进行明确，以作为例行性维护作业的主要依据。维护作业计划表见本文《巡检维护记录表》。</w:t>
      </w:r>
    </w:p>
    <w:p>
      <w:pPr>
        <w:pStyle w:val="4"/>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委派人员执行</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由项目经理根据当前人员的实际工作安排，明确维护作业计划中各项例行维护工作的实际计划执行人员，确定委派计划以小组会议的形式将相关工作安排部署至相关执行人员，执行人员应以具体的工作安排部署为准执行例行维护计划。</w:t>
      </w:r>
    </w:p>
    <w:p>
      <w:pPr>
        <w:pStyle w:val="4"/>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确定巡检方式</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巡检员应根据本次巡检维护对象的实际情况，如是否存在平台统一管理监控、巡检维护对象实际建设规模、是否存在远程检查的可行性等，并提前联系本次例行维护工作涉及的用户单位联系人，并清晰告知本次例行维护工作需用户单位协助的相关工作，如网络准备、平台准备、机房准备等。</w:t>
      </w:r>
    </w:p>
    <w:p>
      <w:pPr>
        <w:pStyle w:val="4"/>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rPr>
        <w:t>发现故障/缺陷/隐患处理方式</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巡检员在实际例行维护工作中，如发现巡检维护对象存在故障、缺陷或隐患的，应按巡检流程启动事件处理及事件报告程序，对发现的故障、缺陷或隐患按相关时间要求、报告要求进行解决。</w:t>
      </w:r>
    </w:p>
    <w:p>
      <w:pPr>
        <w:pStyle w:val="4"/>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rPr>
        <w:t>事件解决</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事件解决应以例行巡检维护工作中发现的故障、缺陷或隐患得到处理，以不影响系统正常运行作为标志，事件解决后巡检员就本次巡检维护工作详细登记巡检记录或事件处理记录，相关记录纳入项目服务文档库中统一管理。</w:t>
      </w:r>
    </w:p>
    <w:p>
      <w:pPr>
        <w:pStyle w:val="4"/>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bookmarkStart w:id="4" w:name="_Toc43454741"/>
      <w:bookmarkStart w:id="5" w:name="_Hlk37746971"/>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巡检记录</w:t>
      </w:r>
      <w:bookmarkEnd w:id="4"/>
      <w:r>
        <w:rPr>
          <w:rFonts w:hint="eastAsia" w:ascii="仿宋_GB2312" w:hAnsi="仿宋_GB2312" w:eastAsia="仿宋_GB2312" w:cs="仿宋_GB2312"/>
          <w:b w:val="0"/>
          <w:bCs w:val="0"/>
          <w:color w:val="auto"/>
          <w:sz w:val="32"/>
          <w:szCs w:val="32"/>
          <w:highlight w:val="none"/>
          <w:lang w:eastAsia="zh-CN"/>
        </w:rPr>
        <w:t>：</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巡检员在完成巡检工作之后将会为用户提供一份详细的巡检记录，如发现存在隐患，需要提出相应的解决处理意见，并同用户进行沟通协商进行相关调整工作。每次例行的设备预防性维护后，巡检报告将保存到项目服务资料库。</w:t>
      </w:r>
    </w:p>
    <w:bookmarkEnd w:id="5"/>
    <w:p>
      <w:pPr>
        <w:pStyle w:val="3"/>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 w:hAnsi="楷体" w:eastAsia="楷体" w:cs="楷体"/>
          <w:b w:val="0"/>
          <w:bCs w:val="0"/>
          <w:color w:val="auto"/>
          <w:sz w:val="32"/>
          <w:szCs w:val="32"/>
          <w:highlight w:val="none"/>
        </w:rPr>
      </w:pPr>
      <w:bookmarkStart w:id="6" w:name="_Toc43454742"/>
      <w:bookmarkStart w:id="7" w:name="_Hlk37747126"/>
      <w:r>
        <w:rPr>
          <w:rFonts w:hint="eastAsia" w:ascii="楷体" w:hAnsi="楷体" w:eastAsia="楷体" w:cs="楷体"/>
          <w:b w:val="0"/>
          <w:bCs w:val="0"/>
          <w:color w:val="auto"/>
          <w:sz w:val="32"/>
          <w:szCs w:val="32"/>
          <w:highlight w:val="none"/>
          <w:lang w:val="en-US" w:eastAsia="zh-CN"/>
        </w:rPr>
        <w:t>（六）</w:t>
      </w:r>
      <w:r>
        <w:rPr>
          <w:rFonts w:hint="eastAsia" w:ascii="楷体" w:hAnsi="楷体" w:eastAsia="楷体" w:cs="楷体"/>
          <w:b w:val="0"/>
          <w:bCs w:val="0"/>
          <w:color w:val="auto"/>
          <w:sz w:val="32"/>
          <w:szCs w:val="32"/>
          <w:highlight w:val="none"/>
        </w:rPr>
        <w:t>故障处理</w:t>
      </w:r>
      <w:bookmarkEnd w:id="6"/>
    </w:p>
    <w:bookmarkEnd w:id="7"/>
    <w:p>
      <w:pPr>
        <w:pStyle w:val="4"/>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bookmarkStart w:id="8" w:name="_Toc43454743"/>
      <w:bookmarkStart w:id="9" w:name="_Hlk37747337"/>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故障处理流程</w:t>
      </w:r>
      <w:bookmarkEnd w:id="8"/>
      <w:bookmarkEnd w:id="9"/>
      <w:r>
        <w:rPr>
          <w:rFonts w:hint="eastAsia" w:ascii="仿宋_GB2312" w:hAnsi="仿宋_GB2312" w:eastAsia="仿宋_GB2312" w:cs="仿宋_GB2312"/>
          <w:b w:val="0"/>
          <w:bCs w:val="0"/>
          <w:color w:val="auto"/>
          <w:sz w:val="32"/>
          <w:szCs w:val="32"/>
          <w:highlight w:val="none"/>
          <w:lang w:eastAsia="zh-CN"/>
        </w:rPr>
        <w:t>：</w:t>
      </w:r>
    </w:p>
    <w:p>
      <w:pPr>
        <w:pageBreakBefore w:val="0"/>
        <w:kinsoku/>
        <w:wordWrap/>
        <w:overflowPunct/>
        <w:topLinePunct w:val="0"/>
        <w:autoSpaceDE/>
        <w:autoSpaceDN/>
        <w:bidi w:val="0"/>
        <w:spacing w:line="240" w:lineRule="auto"/>
        <w:textAlignment w:val="auto"/>
        <w:rPr>
          <w:rFonts w:ascii="宋体" w:hAnsi="宋体"/>
          <w:color w:val="auto"/>
          <w:sz w:val="28"/>
          <w:szCs w:val="28"/>
          <w:highlight w:val="none"/>
        </w:rPr>
      </w:pPr>
      <w:r>
        <w:rPr>
          <w:rFonts w:ascii="宋体" w:hAnsi="宋体"/>
          <w:color w:val="auto"/>
          <w:sz w:val="28"/>
          <w:szCs w:val="28"/>
          <w:highlight w:val="none"/>
        </w:rPr>
        <w:drawing>
          <wp:inline distT="0" distB="0" distL="114300" distR="114300">
            <wp:extent cx="5274310" cy="3149600"/>
            <wp:effectExtent l="0" t="0" r="254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274310" cy="3149600"/>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流程涉及文档包括：《巡检维护记录表》、《系统变更记录表》。</w:t>
      </w:r>
    </w:p>
    <w:p>
      <w:pPr>
        <w:pStyle w:val="4"/>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bookmarkStart w:id="10" w:name="_Hlk37747354"/>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报障方式</w:t>
      </w:r>
    </w:p>
    <w:bookmarkEnd w:id="10"/>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bookmarkStart w:id="11" w:name="_Hlk37747452"/>
      <w:r>
        <w:rPr>
          <w:rFonts w:hint="eastAsia" w:ascii="仿宋_GB2312" w:hAnsi="仿宋_GB2312" w:eastAsia="仿宋_GB2312" w:cs="仿宋_GB2312"/>
          <w:b w:val="0"/>
          <w:bCs w:val="0"/>
          <w:color w:val="auto"/>
          <w:sz w:val="32"/>
          <w:szCs w:val="32"/>
          <w:highlight w:val="none"/>
        </w:rPr>
        <w:t>用户单位通过电话或即时通信应用将故障情况通知一线技术人员，技术人员负责接收所申告的故障并填写故障处理记录；</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巡检员在执行例行维护作业计划中，发现系统存在故障、缺陷或隐患，将故障情况通知用户单位，一线技术人员负责接收所申告的故障并填写故障处理记录。故障处理记录见本文《巡检维护记录表》。</w:t>
      </w:r>
    </w:p>
    <w:p>
      <w:pPr>
        <w:pStyle w:val="4"/>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故障类型判断</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项目经理负责对接报的故障情况进行故障类型判断，按软件平台故障类型所预设的故障点排除流程，进一步确定故障点，并沟通对应的故障处理人员（单位），派发故障处理记录工单。</w:t>
      </w:r>
      <w:bookmarkEnd w:id="11"/>
    </w:p>
    <w:p>
      <w:pPr>
        <w:pStyle w:val="4"/>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故障处理方式</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故障处理人员（单位）在接报具体故障情况后，按故障记录工单的指示联系相关用户单位，沟通故障具体处理方案；故障排除后首先告知用户单位故障处理结果，同时填写故障处理记录，并将记录上报项目经理，由项目经理负责审核故障处理结果。故障处理人员可能执行的故障处理方式如下：</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①</w:t>
      </w:r>
      <w:r>
        <w:rPr>
          <w:rFonts w:hint="eastAsia" w:ascii="仿宋_GB2312" w:hAnsi="仿宋_GB2312" w:eastAsia="仿宋_GB2312" w:cs="仿宋_GB2312"/>
          <w:b w:val="0"/>
          <w:bCs w:val="0"/>
          <w:color w:val="auto"/>
          <w:sz w:val="32"/>
          <w:szCs w:val="32"/>
          <w:highlight w:val="none"/>
        </w:rPr>
        <w:t>远程问题诊断和支持服务</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工程师将根据报修的申请，使用远程工具对相关设备进行远程诊断，以更精确的判断故障原因。如确认是软件故障，可以通过远程重启设备等操作来进行恢复操作。</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②</w:t>
      </w:r>
      <w:r>
        <w:rPr>
          <w:rFonts w:hint="eastAsia" w:ascii="仿宋_GB2312" w:hAnsi="仿宋_GB2312" w:eastAsia="仿宋_GB2312" w:cs="仿宋_GB2312"/>
          <w:b w:val="0"/>
          <w:bCs w:val="0"/>
          <w:color w:val="auto"/>
          <w:sz w:val="32"/>
          <w:szCs w:val="32"/>
          <w:highlight w:val="none"/>
        </w:rPr>
        <w:t>现场支持服务</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对于不能通过远程方式及时解决的问题，经委派现场服务工程师到现场进行设备的故障处理并尽快使其恢复运行。</w:t>
      </w:r>
    </w:p>
    <w:p>
      <w:pPr>
        <w:pStyle w:val="4"/>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故障处理时间要求</w:t>
      </w:r>
      <w:r>
        <w:rPr>
          <w:rFonts w:hint="eastAsia" w:ascii="仿宋_GB2312" w:hAnsi="仿宋_GB2312" w:eastAsia="仿宋_GB2312" w:cs="仿宋_GB2312"/>
          <w:b w:val="0"/>
          <w:bCs w:val="0"/>
          <w:color w:val="auto"/>
          <w:sz w:val="32"/>
          <w:szCs w:val="32"/>
          <w:highlight w:val="none"/>
          <w:lang w:eastAsia="zh-CN"/>
        </w:rPr>
        <w:t>：</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运维人员提供每周7×24小时专人应急服务电话；</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当出现故障，进行60分钟内响应处理（包括电话/远程）；</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当故障不能使用有效的电话/远程支持方式进行解决时，运维单位派遣工程师4小时内赶往故障现场，协助进行现场故障诊断及现场故障排除。</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当现场无法解决排除故障，在规定的时间（7x8xNCD规格：每周7天，每天9：00-18：00受理备件更换申报，15：00前受理的备件更换要求，第二个自然日备件必须到场）之内提供原厂备件及原厂工程师必须前往现场处理问题，通过设备维护、更换故障设备部件等方式保障设备恢复正常运行。</w:t>
      </w:r>
    </w:p>
    <w:p>
      <w:pPr>
        <w:pStyle w:val="4"/>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bookmarkStart w:id="12" w:name="_Toc43454745"/>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故障上报机制</w:t>
      </w:r>
      <w:bookmarkEnd w:id="12"/>
      <w:r>
        <w:rPr>
          <w:rFonts w:hint="eastAsia" w:ascii="仿宋_GB2312" w:hAnsi="仿宋_GB2312" w:eastAsia="仿宋_GB2312" w:cs="仿宋_GB2312"/>
          <w:b w:val="0"/>
          <w:bCs w:val="0"/>
          <w:color w:val="auto"/>
          <w:sz w:val="32"/>
          <w:szCs w:val="32"/>
          <w:highlight w:val="none"/>
          <w:lang w:eastAsia="zh-CN"/>
        </w:rPr>
        <w:t>：</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发现或申告故障后，相关维护人员应立即启动相关故障处理流程，同时按故障上报机制相关要求，整理故障情况并逐级上报，故障上报内容包括：故障发现时间、故障起始时间、故障发现人员、故障现象描述、故障影响描述等，如已有初步处理方案也应附上，如涉及需求用户单位配合故障处理的也应增加相关表述。</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故障上报内容应以简练扼要，避免长篇大论，内容完成编辑后通过即时通讯应用或邮件+电话的形式，及时通传到相关人员或单位，具体包括：运维组长、运营服务经理、用户单位；视事件程度还应向业主单位进行汇报。</w:t>
      </w:r>
    </w:p>
    <w:p>
      <w:pPr>
        <w:pStyle w:val="3"/>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 w:hAnsi="楷体" w:eastAsia="楷体" w:cs="楷体"/>
          <w:b w:val="0"/>
          <w:bCs w:val="0"/>
          <w:color w:val="auto"/>
          <w:sz w:val="32"/>
          <w:szCs w:val="32"/>
          <w:highlight w:val="none"/>
        </w:rPr>
      </w:pPr>
      <w:bookmarkStart w:id="13" w:name="_Toc5997"/>
      <w:bookmarkStart w:id="14" w:name="_Toc22579"/>
      <w:bookmarkStart w:id="15" w:name="_Toc9854"/>
      <w:bookmarkStart w:id="16" w:name="_Toc12201"/>
      <w:r>
        <w:rPr>
          <w:rFonts w:hint="eastAsia" w:ascii="楷体" w:hAnsi="楷体" w:eastAsia="楷体" w:cs="楷体"/>
          <w:b w:val="0"/>
          <w:bCs w:val="0"/>
          <w:color w:val="auto"/>
          <w:sz w:val="32"/>
          <w:szCs w:val="32"/>
          <w:highlight w:val="none"/>
          <w:lang w:eastAsia="zh-CN"/>
        </w:rPr>
        <w:t>（</w:t>
      </w:r>
      <w:r>
        <w:rPr>
          <w:rFonts w:hint="eastAsia" w:ascii="楷体" w:hAnsi="楷体" w:eastAsia="楷体" w:cs="楷体"/>
          <w:b w:val="0"/>
          <w:bCs w:val="0"/>
          <w:color w:val="auto"/>
          <w:sz w:val="32"/>
          <w:szCs w:val="32"/>
          <w:highlight w:val="none"/>
          <w:lang w:val="en-US" w:eastAsia="zh-CN"/>
        </w:rPr>
        <w:t>七）</w:t>
      </w:r>
      <w:r>
        <w:rPr>
          <w:rFonts w:hint="eastAsia" w:ascii="楷体" w:hAnsi="楷体" w:eastAsia="楷体" w:cs="楷体"/>
          <w:b w:val="0"/>
          <w:bCs w:val="0"/>
          <w:color w:val="auto"/>
          <w:sz w:val="32"/>
          <w:szCs w:val="32"/>
          <w:highlight w:val="none"/>
        </w:rPr>
        <w:t>回访服务</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提供优质的回访服务，并设立服务投诉电话。同时由专门的回访员在每次服务完成后的二个工作日内对实际服务进行电话回访，以对服务的满意度作为该次服务结束的标志。</w:t>
      </w:r>
    </w:p>
    <w:p>
      <w:pPr>
        <w:pStyle w:val="3"/>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 w:hAnsi="楷体" w:eastAsia="楷体" w:cs="楷体"/>
          <w:b w:val="0"/>
          <w:bCs w:val="0"/>
          <w:color w:val="auto"/>
          <w:sz w:val="32"/>
          <w:szCs w:val="32"/>
          <w:highlight w:val="none"/>
        </w:rPr>
      </w:pPr>
      <w:r>
        <w:rPr>
          <w:rFonts w:hint="eastAsia" w:ascii="楷体" w:hAnsi="楷体" w:eastAsia="楷体" w:cs="楷体"/>
          <w:b w:val="0"/>
          <w:bCs w:val="0"/>
          <w:color w:val="auto"/>
          <w:sz w:val="32"/>
          <w:szCs w:val="32"/>
          <w:highlight w:val="none"/>
          <w:lang w:eastAsia="zh-CN"/>
        </w:rPr>
        <w:t>（</w:t>
      </w:r>
      <w:r>
        <w:rPr>
          <w:rFonts w:hint="eastAsia" w:ascii="楷体" w:hAnsi="楷体" w:eastAsia="楷体" w:cs="楷体"/>
          <w:b w:val="0"/>
          <w:bCs w:val="0"/>
          <w:color w:val="auto"/>
          <w:sz w:val="32"/>
          <w:szCs w:val="32"/>
          <w:highlight w:val="none"/>
          <w:lang w:val="en-US" w:eastAsia="zh-CN"/>
        </w:rPr>
        <w:t>八）</w:t>
      </w:r>
      <w:r>
        <w:rPr>
          <w:rFonts w:hint="eastAsia" w:ascii="楷体" w:hAnsi="楷体" w:eastAsia="楷体" w:cs="楷体"/>
          <w:b w:val="0"/>
          <w:bCs w:val="0"/>
          <w:color w:val="auto"/>
          <w:sz w:val="32"/>
          <w:szCs w:val="32"/>
          <w:highlight w:val="none"/>
        </w:rPr>
        <w:t>运维规章制度</w:t>
      </w:r>
      <w:bookmarkEnd w:id="13"/>
      <w:bookmarkEnd w:id="14"/>
      <w:bookmarkEnd w:id="15"/>
      <w:bookmarkEnd w:id="16"/>
    </w:p>
    <w:p>
      <w:pPr>
        <w:pStyle w:val="4"/>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bookmarkStart w:id="17" w:name="_Toc43454750"/>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运维人员管理制度</w:t>
      </w:r>
      <w:bookmarkEnd w:id="17"/>
      <w:r>
        <w:rPr>
          <w:rFonts w:hint="eastAsia" w:ascii="仿宋_GB2312" w:hAnsi="仿宋_GB2312" w:eastAsia="仿宋_GB2312" w:cs="仿宋_GB2312"/>
          <w:b w:val="0"/>
          <w:bCs w:val="0"/>
          <w:color w:val="auto"/>
          <w:sz w:val="32"/>
          <w:szCs w:val="32"/>
          <w:highlight w:val="none"/>
          <w:lang w:eastAsia="zh-CN"/>
        </w:rPr>
        <w:t>：</w:t>
      </w:r>
    </w:p>
    <w:p>
      <w:pPr>
        <w:pStyle w:val="8"/>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bookmarkStart w:id="18" w:name="_Toc43454751"/>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运维人员工作职责</w:t>
      </w:r>
      <w:bookmarkEnd w:id="18"/>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运维人员是为及时处理应急、突发等重要故障事件，落实设备系统正常运行目标的保障管理措施。为进一步强化运维人员职责，规范运维要求，特制定《运维人员工作职责》如下：</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①</w:t>
      </w:r>
      <w:r>
        <w:rPr>
          <w:rFonts w:hint="eastAsia" w:ascii="仿宋_GB2312" w:hAnsi="仿宋_GB2312" w:eastAsia="仿宋_GB2312" w:cs="仿宋_GB2312"/>
          <w:b w:val="0"/>
          <w:bCs w:val="0"/>
          <w:color w:val="auto"/>
          <w:sz w:val="32"/>
          <w:szCs w:val="32"/>
          <w:highlight w:val="none"/>
        </w:rPr>
        <w:t>深度维护：对系统的重点功能性内容进行专业测试及检查，设备常规性检查、检测服务以达到及早发现隐患并及时处理，减少故障、延长设备使用年限的目的；同时将对系统设备做专业保养；</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②</w:t>
      </w:r>
      <w:r>
        <w:rPr>
          <w:rFonts w:hint="eastAsia" w:ascii="仿宋_GB2312" w:hAnsi="仿宋_GB2312" w:eastAsia="仿宋_GB2312" w:cs="仿宋_GB2312"/>
          <w:b w:val="0"/>
          <w:bCs w:val="0"/>
          <w:color w:val="auto"/>
          <w:sz w:val="32"/>
          <w:szCs w:val="32"/>
          <w:highlight w:val="none"/>
        </w:rPr>
        <w:t>定期巡检：定期对系统设备进行巡检，对巡检设备的运行情况及时记录；</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③</w:t>
      </w:r>
      <w:r>
        <w:rPr>
          <w:rFonts w:hint="eastAsia" w:ascii="仿宋_GB2312" w:hAnsi="仿宋_GB2312" w:eastAsia="仿宋_GB2312" w:cs="仿宋_GB2312"/>
          <w:b w:val="0"/>
          <w:bCs w:val="0"/>
          <w:color w:val="auto"/>
          <w:sz w:val="32"/>
          <w:szCs w:val="32"/>
          <w:highlight w:val="none"/>
        </w:rPr>
        <w:t>故障维修：系统设备出现故障的情况下，及时通知维护负责人，对故障进行排除；</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④</w:t>
      </w:r>
      <w:r>
        <w:rPr>
          <w:rFonts w:hint="eastAsia" w:ascii="仿宋_GB2312" w:hAnsi="仿宋_GB2312" w:eastAsia="仿宋_GB2312" w:cs="仿宋_GB2312"/>
          <w:b w:val="0"/>
          <w:bCs w:val="0"/>
          <w:color w:val="auto"/>
          <w:sz w:val="32"/>
          <w:szCs w:val="32"/>
          <w:highlight w:val="none"/>
        </w:rPr>
        <w:t>系统保养：定期对系统设备进行维护保养，保证设备正常使用功能；</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⑤</w:t>
      </w:r>
      <w:r>
        <w:rPr>
          <w:rFonts w:hint="eastAsia" w:ascii="仿宋_GB2312" w:hAnsi="仿宋_GB2312" w:eastAsia="仿宋_GB2312" w:cs="仿宋_GB2312"/>
          <w:b w:val="0"/>
          <w:bCs w:val="0"/>
          <w:color w:val="auto"/>
          <w:sz w:val="32"/>
          <w:szCs w:val="32"/>
          <w:highlight w:val="none"/>
        </w:rPr>
        <w:t>维护文档管理：提供系统的相关维护文档、规章制度及应急预案，并对文档进行管理；</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⑥</w:t>
      </w:r>
      <w:r>
        <w:rPr>
          <w:rFonts w:hint="eastAsia" w:ascii="仿宋_GB2312" w:hAnsi="仿宋_GB2312" w:eastAsia="仿宋_GB2312" w:cs="仿宋_GB2312"/>
          <w:b w:val="0"/>
          <w:bCs w:val="0"/>
          <w:color w:val="auto"/>
          <w:sz w:val="32"/>
          <w:szCs w:val="32"/>
          <w:highlight w:val="none"/>
        </w:rPr>
        <w:t>安全评估：提供系统设备运行评估和安全评估，配合政府管理部门定期对系统检查；</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⑦</w:t>
      </w:r>
      <w:r>
        <w:rPr>
          <w:rFonts w:hint="eastAsia" w:ascii="仿宋_GB2312" w:hAnsi="仿宋_GB2312" w:eastAsia="仿宋_GB2312" w:cs="仿宋_GB2312"/>
          <w:b w:val="0"/>
          <w:bCs w:val="0"/>
          <w:color w:val="auto"/>
          <w:sz w:val="32"/>
          <w:szCs w:val="32"/>
          <w:highlight w:val="none"/>
        </w:rPr>
        <w:t>维护报告：依据维护保养工作，提交专业报告并交由政府管理部门存档备查。</w:t>
      </w:r>
    </w:p>
    <w:p>
      <w:pPr>
        <w:pStyle w:val="8"/>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bookmarkStart w:id="19" w:name="_Toc43454752"/>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运维人员管理要求</w:t>
      </w:r>
      <w:bookmarkEnd w:id="19"/>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①</w:t>
      </w:r>
      <w:r>
        <w:rPr>
          <w:rFonts w:hint="eastAsia" w:ascii="仿宋_GB2312" w:hAnsi="仿宋_GB2312" w:eastAsia="仿宋_GB2312" w:cs="仿宋_GB2312"/>
          <w:b w:val="0"/>
          <w:bCs w:val="0"/>
          <w:color w:val="auto"/>
          <w:sz w:val="32"/>
          <w:szCs w:val="32"/>
          <w:highlight w:val="none"/>
        </w:rPr>
        <w:t>日常运维人员参照正常工作时间，实行8小时运维制，重保期实行7*24小时值守制。</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②</w:t>
      </w:r>
      <w:r>
        <w:rPr>
          <w:rFonts w:hint="eastAsia" w:ascii="仿宋_GB2312" w:hAnsi="仿宋_GB2312" w:eastAsia="仿宋_GB2312" w:cs="仿宋_GB2312"/>
          <w:b w:val="0"/>
          <w:bCs w:val="0"/>
          <w:color w:val="auto"/>
          <w:sz w:val="32"/>
          <w:szCs w:val="32"/>
          <w:highlight w:val="none"/>
        </w:rPr>
        <w:t>运维工作由运维负责人安排，并制定具体的运维工作计划。</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③</w:t>
      </w:r>
      <w:r>
        <w:rPr>
          <w:rFonts w:hint="eastAsia" w:ascii="仿宋_GB2312" w:hAnsi="仿宋_GB2312" w:eastAsia="仿宋_GB2312" w:cs="仿宋_GB2312"/>
          <w:b w:val="0"/>
          <w:bCs w:val="0"/>
          <w:color w:val="auto"/>
          <w:sz w:val="32"/>
          <w:szCs w:val="32"/>
          <w:highlight w:val="none"/>
        </w:rPr>
        <w:t>运维人员必须坚守工作岗位，严格遵守运维时间的规定，严禁无故不到、迟到早退、出现脱岗、串岗。</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④</w:t>
      </w:r>
      <w:r>
        <w:rPr>
          <w:rFonts w:hint="eastAsia" w:ascii="仿宋_GB2312" w:hAnsi="仿宋_GB2312" w:eastAsia="仿宋_GB2312" w:cs="仿宋_GB2312"/>
          <w:b w:val="0"/>
          <w:bCs w:val="0"/>
          <w:color w:val="auto"/>
          <w:sz w:val="32"/>
          <w:szCs w:val="32"/>
          <w:highlight w:val="none"/>
        </w:rPr>
        <w:t>运维人员要加强系统设备运行状态巡视。</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⑤</w:t>
      </w:r>
      <w:r>
        <w:rPr>
          <w:rFonts w:hint="eastAsia" w:ascii="仿宋_GB2312" w:hAnsi="仿宋_GB2312" w:eastAsia="仿宋_GB2312" w:cs="仿宋_GB2312"/>
          <w:b w:val="0"/>
          <w:bCs w:val="0"/>
          <w:color w:val="auto"/>
          <w:sz w:val="32"/>
          <w:szCs w:val="32"/>
          <w:highlight w:val="none"/>
        </w:rPr>
        <w:t>运维人员遇有紧急情况和突发事件，一定要及时向上级领导报告并做好运维记录。</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⑥</w:t>
      </w:r>
      <w:r>
        <w:rPr>
          <w:rFonts w:hint="eastAsia" w:ascii="仿宋_GB2312" w:hAnsi="仿宋_GB2312" w:eastAsia="仿宋_GB2312" w:cs="仿宋_GB2312"/>
          <w:b w:val="0"/>
          <w:bCs w:val="0"/>
          <w:color w:val="auto"/>
          <w:sz w:val="32"/>
          <w:szCs w:val="32"/>
          <w:highlight w:val="none"/>
        </w:rPr>
        <w:t>运维人员有特殊情况的，要及时向领导说明情况，经领导批准后办理手续。</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⑦</w:t>
      </w:r>
      <w:r>
        <w:rPr>
          <w:rFonts w:hint="eastAsia" w:ascii="仿宋_GB2312" w:hAnsi="仿宋_GB2312" w:eastAsia="仿宋_GB2312" w:cs="仿宋_GB2312"/>
          <w:b w:val="0"/>
          <w:bCs w:val="0"/>
          <w:color w:val="auto"/>
          <w:sz w:val="32"/>
          <w:szCs w:val="32"/>
          <w:highlight w:val="none"/>
        </w:rPr>
        <w:t>运维期间的事务，原则上要处理完毕，做到不拖拉、不推诿,未处理完毕的事情，要及时向领导说明情况。</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⑧</w:t>
      </w:r>
      <w:r>
        <w:rPr>
          <w:rFonts w:hint="eastAsia" w:ascii="仿宋_GB2312" w:hAnsi="仿宋_GB2312" w:eastAsia="仿宋_GB2312" w:cs="仿宋_GB2312"/>
          <w:b w:val="0"/>
          <w:bCs w:val="0"/>
          <w:color w:val="auto"/>
          <w:sz w:val="32"/>
          <w:szCs w:val="32"/>
          <w:highlight w:val="none"/>
        </w:rPr>
        <w:t>运维人员均须严格遵守本制度，由运维负责人对运维工作负责检查落实。</w:t>
      </w:r>
    </w:p>
    <w:p>
      <w:pPr>
        <w:pStyle w:val="4"/>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bookmarkStart w:id="20" w:name="_Toc43454754"/>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维护资料管理制度</w:t>
      </w:r>
      <w:bookmarkEnd w:id="20"/>
      <w:r>
        <w:rPr>
          <w:rFonts w:hint="eastAsia" w:ascii="仿宋_GB2312" w:hAnsi="仿宋_GB2312" w:eastAsia="仿宋_GB2312" w:cs="仿宋_GB2312"/>
          <w:b w:val="0"/>
          <w:bCs w:val="0"/>
          <w:color w:val="auto"/>
          <w:sz w:val="32"/>
          <w:szCs w:val="32"/>
          <w:highlight w:val="none"/>
          <w:lang w:eastAsia="zh-CN"/>
        </w:rPr>
        <w:t>：</w:t>
      </w:r>
    </w:p>
    <w:p>
      <w:pPr>
        <w:pStyle w:val="8"/>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维护资料的管理</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①</w:t>
      </w:r>
      <w:r>
        <w:rPr>
          <w:rFonts w:hint="eastAsia" w:ascii="仿宋_GB2312" w:hAnsi="仿宋_GB2312" w:eastAsia="仿宋_GB2312" w:cs="仿宋_GB2312"/>
          <w:b w:val="0"/>
          <w:bCs w:val="0"/>
          <w:color w:val="auto"/>
          <w:sz w:val="32"/>
          <w:szCs w:val="32"/>
          <w:highlight w:val="none"/>
        </w:rPr>
        <w:t>维护资料应专人保管，专柜集中存放，并定期整理，保持资料完整，防止失散造成失密、泄密。</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②</w:t>
      </w:r>
      <w:r>
        <w:rPr>
          <w:rFonts w:hint="eastAsia" w:ascii="仿宋_GB2312" w:hAnsi="仿宋_GB2312" w:eastAsia="仿宋_GB2312" w:cs="仿宋_GB2312"/>
          <w:b w:val="0"/>
          <w:bCs w:val="0"/>
          <w:color w:val="auto"/>
          <w:sz w:val="32"/>
          <w:szCs w:val="32"/>
          <w:highlight w:val="none"/>
        </w:rPr>
        <w:t>维护资料不得任意抽取涂改。设备变更后相关资料要及时做相应的更新，实现资料记录与实物相符。设备调动时，图纸说明与设备相关的资料等应随机转移，原单位不得保留。</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③</w:t>
      </w:r>
      <w:r>
        <w:rPr>
          <w:rFonts w:hint="eastAsia" w:ascii="仿宋_GB2312" w:hAnsi="仿宋_GB2312" w:eastAsia="仿宋_GB2312" w:cs="仿宋_GB2312"/>
          <w:b w:val="0"/>
          <w:bCs w:val="0"/>
          <w:color w:val="auto"/>
          <w:sz w:val="32"/>
          <w:szCs w:val="32"/>
          <w:highlight w:val="none"/>
        </w:rPr>
        <w:t>各类维护资料随应用系统和设备保存，应用系统和设备退网或报废时方可销毁。</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④</w:t>
      </w:r>
      <w:r>
        <w:rPr>
          <w:rFonts w:hint="eastAsia" w:ascii="仿宋_GB2312" w:hAnsi="仿宋_GB2312" w:eastAsia="仿宋_GB2312" w:cs="仿宋_GB2312"/>
          <w:b w:val="0"/>
          <w:bCs w:val="0"/>
          <w:color w:val="auto"/>
          <w:sz w:val="32"/>
          <w:szCs w:val="32"/>
          <w:highlight w:val="none"/>
        </w:rPr>
        <w:t>各类报表、记录表表应整理成册，服务商保管期限为服务结束后三年。</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⑤</w:t>
      </w:r>
      <w:r>
        <w:rPr>
          <w:rFonts w:hint="eastAsia" w:ascii="仿宋_GB2312" w:hAnsi="仿宋_GB2312" w:eastAsia="仿宋_GB2312" w:cs="仿宋_GB2312"/>
          <w:b w:val="0"/>
          <w:bCs w:val="0"/>
          <w:color w:val="auto"/>
          <w:sz w:val="32"/>
          <w:szCs w:val="32"/>
          <w:highlight w:val="none"/>
        </w:rPr>
        <w:t>重大故障记录应长期保存。</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⑥</w:t>
      </w:r>
      <w:r>
        <w:rPr>
          <w:rFonts w:hint="eastAsia" w:ascii="仿宋_GB2312" w:hAnsi="仿宋_GB2312" w:eastAsia="仿宋_GB2312" w:cs="仿宋_GB2312"/>
          <w:b w:val="0"/>
          <w:bCs w:val="0"/>
          <w:color w:val="auto"/>
          <w:sz w:val="32"/>
          <w:szCs w:val="32"/>
          <w:highlight w:val="none"/>
        </w:rPr>
        <w:t>本项目所有过程材料知识产权归业主单位所有，服务商应在项目结束后将所有材料提交到业主单位，不得私自保留。</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为了规范运维服务工作，提高服务水平，服务供应商在项目的售后服务过程中需建立和收集完善的售后服务文档。记录从项目开始运行以来的每次故障现象和处理过程及结果，分析故障原因。从而形成全面的知识库，存储各种故障现象、原因及解决方案，以便维护人员及用户管理人员能及时跟踪并消除故障隐患，为故障的快速解决提供有力的帮助。知识库管理员应在遇到重复发生的故障问题时，充分利用运维知识库，及时针对故障问题输出一个可实施的解决方案。</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知识库具体包括：</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1.系统售后服务计划；</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2.系统运行状况记录；</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3.系统版本记录、升级记录；</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4.系统故障处理记录；</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（1）《巡检维护记录表》：包括申告时间、受理人、故障现象、故障。</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（2）《巡检维护记录表》：包括原因、处理方法、处理结果、系统恢复时间等。</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5.卡片资料库；</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6.数据资产库。</w:t>
      </w:r>
    </w:p>
    <w:p>
      <w:pPr>
        <w:pStyle w:val="8"/>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运维文档要求</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服务商必须按要求提交运维工作文档，运维工作文档将作为项目验收的交付材料。最终产出的文档将根据实际情况进行调整：</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①</w:t>
      </w:r>
      <w:r>
        <w:rPr>
          <w:rFonts w:hint="eastAsia" w:ascii="仿宋_GB2312" w:hAnsi="仿宋_GB2312" w:eastAsia="仿宋_GB2312" w:cs="仿宋_GB2312"/>
          <w:b w:val="0"/>
          <w:bCs w:val="0"/>
          <w:color w:val="auto"/>
          <w:sz w:val="32"/>
          <w:szCs w:val="32"/>
          <w:highlight w:val="none"/>
        </w:rPr>
        <w:t>工作记录。报告内容包括但不限于：系统巡检记录、故障记录、工单处理、业务开展和支持情况。</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②</w:t>
      </w:r>
      <w:r>
        <w:rPr>
          <w:rFonts w:hint="eastAsia" w:ascii="仿宋_GB2312" w:hAnsi="仿宋_GB2312" w:eastAsia="仿宋_GB2312" w:cs="仿宋_GB2312"/>
          <w:b w:val="0"/>
          <w:bCs w:val="0"/>
          <w:color w:val="auto"/>
          <w:sz w:val="32"/>
          <w:szCs w:val="32"/>
          <w:highlight w:val="none"/>
        </w:rPr>
        <w:t>月报。报告内容包括但不限于：本月运维工作、工单跟踪情况、工作总结及建议、运维事件记录和事件问题分析、遗留未决问题的解决进度、预防性运维措施等。</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③</w:t>
      </w:r>
      <w:r>
        <w:rPr>
          <w:rFonts w:hint="eastAsia" w:ascii="仿宋_GB2312" w:hAnsi="仿宋_GB2312" w:eastAsia="仿宋_GB2312" w:cs="仿宋_GB2312"/>
          <w:b w:val="0"/>
          <w:bCs w:val="0"/>
          <w:color w:val="auto"/>
          <w:sz w:val="32"/>
          <w:szCs w:val="32"/>
          <w:highlight w:val="none"/>
        </w:rPr>
        <w:t>年报。报告内容包括但不限于：本年运维工作、工单跟踪情况、工作总结及建议、运维事件记录和事件问题分析、遗留未决问题的解决进度、预防性运维措施等。</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bookmarkStart w:id="21" w:name="_Toc43454784"/>
      <w:r>
        <w:rPr>
          <w:rFonts w:hint="eastAsia" w:ascii="仿宋_GB2312" w:hAnsi="仿宋_GB2312" w:eastAsia="仿宋_GB2312" w:cs="仿宋_GB2312"/>
          <w:b w:val="0"/>
          <w:bCs w:val="0"/>
          <w:color w:val="auto"/>
          <w:sz w:val="32"/>
          <w:szCs w:val="32"/>
          <w:highlight w:val="none"/>
        </w:rPr>
        <w:t>1）</w:t>
      </w:r>
      <w:bookmarkEnd w:id="21"/>
      <w:r>
        <w:rPr>
          <w:rFonts w:hint="eastAsia" w:ascii="仿宋_GB2312" w:hAnsi="仿宋_GB2312" w:eastAsia="仿宋_GB2312" w:cs="仿宋_GB2312"/>
          <w:b w:val="0"/>
          <w:bCs w:val="0"/>
          <w:color w:val="auto"/>
          <w:sz w:val="32"/>
          <w:szCs w:val="32"/>
          <w:highlight w:val="none"/>
        </w:rPr>
        <w:t>巡检维护记录表</w:t>
      </w:r>
    </w:p>
    <w:p>
      <w:pPr>
        <w:pStyle w:val="31"/>
        <w:pageBreakBefore w:val="0"/>
        <w:kinsoku/>
        <w:wordWrap/>
        <w:overflowPunct/>
        <w:topLinePunct w:val="0"/>
        <w:autoSpaceDE/>
        <w:autoSpaceDN/>
        <w:bidi w:val="0"/>
        <w:spacing w:line="240" w:lineRule="auto"/>
        <w:textAlignment w:val="auto"/>
        <w:rPr>
          <w:color w:val="auto"/>
          <w:sz w:val="28"/>
          <w:szCs w:val="28"/>
          <w:highlight w:val="none"/>
        </w:rPr>
      </w:pPr>
      <w:r>
        <w:rPr>
          <w:color w:val="auto"/>
          <w:sz w:val="28"/>
          <w:szCs w:val="28"/>
          <w:highlight w:val="none"/>
        </w:rPr>
        <w:drawing>
          <wp:inline distT="0" distB="0" distL="114300" distR="114300">
            <wp:extent cx="5756910" cy="1015365"/>
            <wp:effectExtent l="0" t="0" r="152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a:stretch>
                      <a:fillRect/>
                    </a:stretch>
                  </pic:blipFill>
                  <pic:spPr>
                    <a:xfrm>
                      <a:off x="0" y="0"/>
                      <a:ext cx="5756910" cy="1015365"/>
                    </a:xfrm>
                    <a:prstGeom prst="rect">
                      <a:avLst/>
                    </a:prstGeom>
                    <a:noFill/>
                    <a:ln>
                      <a:noFill/>
                    </a:ln>
                  </pic:spPr>
                </pic:pic>
              </a:graphicData>
            </a:graphic>
          </wp:inline>
        </w:drawing>
      </w:r>
    </w:p>
    <w:p>
      <w:pPr>
        <w:pStyle w:val="8"/>
        <w:pageBreakBefore w:val="0"/>
        <w:kinsoku/>
        <w:wordWrap/>
        <w:overflowPunct/>
        <w:topLinePunct w:val="0"/>
        <w:autoSpaceDE/>
        <w:autoSpaceDN/>
        <w:bidi w:val="0"/>
        <w:spacing w:before="0" w:after="0"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bookmarkStart w:id="22" w:name="_Toc87881696"/>
      <w:bookmarkStart w:id="23" w:name="_Toc24574"/>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其他文档</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运维服务过程中需要和产生的其他各类文档。</w:t>
      </w:r>
    </w:p>
    <w:p>
      <w:pPr>
        <w:pStyle w:val="11"/>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包括但不限于以下文档：</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①</w:t>
      </w:r>
      <w:r>
        <w:rPr>
          <w:rFonts w:hint="eastAsia" w:ascii="仿宋_GB2312" w:hAnsi="仿宋_GB2312" w:eastAsia="仿宋_GB2312" w:cs="仿宋_GB2312"/>
          <w:b w:val="0"/>
          <w:bCs w:val="0"/>
          <w:color w:val="auto"/>
          <w:sz w:val="32"/>
          <w:szCs w:val="32"/>
          <w:highlight w:val="none"/>
        </w:rPr>
        <w:t>安全策略优化报告：针对所有需要安全策略优化的安全设备输出安全策略优化报告，该报告内容是记录了优化前和优化后的策略变化情况。</w:t>
      </w:r>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②</w:t>
      </w:r>
      <w:r>
        <w:rPr>
          <w:rFonts w:hint="eastAsia" w:ascii="仿宋_GB2312" w:hAnsi="仿宋_GB2312" w:eastAsia="仿宋_GB2312" w:cs="仿宋_GB2312"/>
          <w:b w:val="0"/>
          <w:bCs w:val="0"/>
          <w:color w:val="auto"/>
          <w:sz w:val="32"/>
          <w:szCs w:val="32"/>
          <w:highlight w:val="none"/>
        </w:rPr>
        <w:t>安全产品运维记录单：针对所有需要安全产品运维的安全设备输出安全产品运维记录单，该记录单内容是记录了安全产品运行过程中变化情况、出现的问题、问题的解决等。</w:t>
      </w:r>
    </w:p>
    <w:p>
      <w:pPr>
        <w:pStyle w:val="11"/>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③</w:t>
      </w:r>
      <w:r>
        <w:rPr>
          <w:rFonts w:hint="eastAsia" w:ascii="仿宋_GB2312" w:hAnsi="仿宋_GB2312" w:eastAsia="仿宋_GB2312" w:cs="仿宋_GB2312"/>
          <w:b w:val="0"/>
          <w:bCs w:val="0"/>
          <w:color w:val="auto"/>
          <w:sz w:val="32"/>
          <w:szCs w:val="32"/>
          <w:highlight w:val="none"/>
        </w:rPr>
        <w:t>其他各类在运维期间内需配套提供的报告。</w:t>
      </w:r>
    </w:p>
    <w:bookmarkEnd w:id="22"/>
    <w:bookmarkEnd w:id="23"/>
    <w:p>
      <w:pPr>
        <w:pStyle w:val="6"/>
        <w:pageBreakBefore w:val="0"/>
        <w:kinsoku/>
        <w:wordWrap/>
        <w:overflowPunct/>
        <w:topLinePunct w:val="0"/>
        <w:autoSpaceDE/>
        <w:autoSpaceDN/>
        <w:bidi w:val="0"/>
        <w:spacing w:before="0" w:after="0" w:line="560" w:lineRule="exact"/>
        <w:ind w:left="0" w:firstLine="640" w:firstLineChars="200"/>
        <w:textAlignment w:val="auto"/>
        <w:rPr>
          <w:rFonts w:hint="eastAsia" w:ascii="楷体" w:hAnsi="楷体" w:eastAsia="楷体" w:cs="楷体"/>
          <w:b w:val="0"/>
          <w:bCs w:val="0"/>
          <w:color w:val="auto"/>
          <w:sz w:val="32"/>
          <w:szCs w:val="32"/>
          <w:highlight w:val="none"/>
        </w:rPr>
      </w:pPr>
      <w:bookmarkStart w:id="24" w:name="_Toc319"/>
      <w:bookmarkStart w:id="25" w:name="_Toc20298"/>
      <w:bookmarkStart w:id="26" w:name="_Toc27334"/>
      <w:bookmarkStart w:id="27" w:name="_Toc7774"/>
      <w:bookmarkStart w:id="28" w:name="_Toc1189"/>
      <w:bookmarkStart w:id="29" w:name="_Toc87881703"/>
      <w:r>
        <w:rPr>
          <w:rFonts w:hint="eastAsia" w:ascii="楷体" w:hAnsi="楷体" w:eastAsia="楷体" w:cs="楷体"/>
          <w:b w:val="0"/>
          <w:bCs w:val="0"/>
          <w:color w:val="auto"/>
          <w:sz w:val="32"/>
          <w:szCs w:val="32"/>
          <w:highlight w:val="none"/>
          <w:lang w:eastAsia="zh-CN"/>
        </w:rPr>
        <w:t>（</w:t>
      </w:r>
      <w:r>
        <w:rPr>
          <w:rFonts w:hint="eastAsia" w:ascii="楷体" w:hAnsi="楷体" w:eastAsia="楷体" w:cs="楷体"/>
          <w:b w:val="0"/>
          <w:bCs w:val="0"/>
          <w:color w:val="auto"/>
          <w:sz w:val="32"/>
          <w:szCs w:val="32"/>
          <w:highlight w:val="none"/>
          <w:lang w:val="en-US" w:eastAsia="zh-CN"/>
        </w:rPr>
        <w:t>九）</w:t>
      </w:r>
      <w:r>
        <w:rPr>
          <w:rFonts w:hint="eastAsia" w:ascii="楷体" w:hAnsi="楷体" w:eastAsia="楷体" w:cs="楷体"/>
          <w:b w:val="0"/>
          <w:bCs w:val="0"/>
          <w:color w:val="auto"/>
          <w:sz w:val="32"/>
          <w:szCs w:val="32"/>
          <w:highlight w:val="none"/>
        </w:rPr>
        <w:t>培训服务要求</w:t>
      </w:r>
      <w:bookmarkEnd w:id="24"/>
      <w:bookmarkEnd w:id="25"/>
      <w:bookmarkEnd w:id="26"/>
      <w:bookmarkEnd w:id="27"/>
      <w:bookmarkEnd w:id="28"/>
      <w:bookmarkEnd w:id="29"/>
    </w:p>
    <w:p>
      <w:pPr>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在运维期间，若业主单位提出培训需求，运维单位需及时作出响应，为使用户的技术人员熟练掌握各种产品的操作和维护系统的正常运行，运维单位必须根据用户的需求就本项目所涉及的具体技术和基础知识派出具有相关专业资格和实际工作经验的培训人员和相应的辅导人员进行培训，培训内容包括相关所提供设备的系统基本结构、工作原理、技术性能、操作维护方法、安装调测、排除故障等各个方面，受训人员经过培训后，应能掌握和使用所培训的技术内容，能够独立承担和完成相应的系统维护和管理工作。</w:t>
      </w:r>
    </w:p>
    <w:p>
      <w:pPr>
        <w:pStyle w:val="9"/>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运维单位需制作培训PPT、设备使用手册、常见问题解答等培训材料，并在培训时要求参与培训人员在培训记录签到表进行签到。</w:t>
      </w:r>
    </w:p>
    <w:p>
      <w:pPr>
        <w:pStyle w:val="6"/>
        <w:pageBreakBefore w:val="0"/>
        <w:kinsoku/>
        <w:wordWrap/>
        <w:overflowPunct/>
        <w:topLinePunct w:val="0"/>
        <w:autoSpaceDE/>
        <w:autoSpaceDN/>
        <w:bidi w:val="0"/>
        <w:spacing w:before="0" w:after="0" w:line="560" w:lineRule="exact"/>
        <w:ind w:left="0" w:firstLine="640" w:firstLineChars="200"/>
        <w:textAlignment w:val="auto"/>
        <w:rPr>
          <w:rFonts w:hint="eastAsia" w:ascii="楷体" w:hAnsi="楷体" w:eastAsia="楷体" w:cs="楷体"/>
          <w:b w:val="0"/>
          <w:bCs w:val="0"/>
          <w:color w:val="auto"/>
          <w:sz w:val="32"/>
          <w:szCs w:val="32"/>
          <w:highlight w:val="none"/>
        </w:rPr>
      </w:pPr>
      <w:bookmarkStart w:id="30" w:name="_Toc4474"/>
      <w:bookmarkStart w:id="31" w:name="_Toc87881708"/>
      <w:bookmarkStart w:id="32" w:name="_Toc18355"/>
      <w:bookmarkStart w:id="33" w:name="_Toc3080"/>
      <w:bookmarkStart w:id="34" w:name="_Toc11225"/>
      <w:bookmarkStart w:id="35" w:name="_Toc5264"/>
      <w:r>
        <w:rPr>
          <w:rFonts w:hint="eastAsia" w:ascii="楷体" w:hAnsi="楷体" w:eastAsia="楷体" w:cs="楷体"/>
          <w:b w:val="0"/>
          <w:bCs w:val="0"/>
          <w:color w:val="auto"/>
          <w:sz w:val="32"/>
          <w:szCs w:val="32"/>
          <w:highlight w:val="none"/>
          <w:lang w:eastAsia="zh-CN"/>
        </w:rPr>
        <w:t>（</w:t>
      </w:r>
      <w:r>
        <w:rPr>
          <w:rFonts w:hint="eastAsia" w:ascii="楷体" w:hAnsi="楷体" w:eastAsia="楷体" w:cs="楷体"/>
          <w:b w:val="0"/>
          <w:bCs w:val="0"/>
          <w:color w:val="auto"/>
          <w:sz w:val="32"/>
          <w:szCs w:val="32"/>
          <w:highlight w:val="none"/>
          <w:lang w:val="en-US" w:eastAsia="zh-CN"/>
        </w:rPr>
        <w:t>十）</w:t>
      </w:r>
      <w:r>
        <w:rPr>
          <w:rFonts w:hint="eastAsia" w:ascii="楷体" w:hAnsi="楷体" w:eastAsia="楷体" w:cs="楷体"/>
          <w:b w:val="0"/>
          <w:bCs w:val="0"/>
          <w:color w:val="auto"/>
          <w:sz w:val="32"/>
          <w:szCs w:val="32"/>
          <w:highlight w:val="none"/>
        </w:rPr>
        <w:t>工作交接要求</w:t>
      </w:r>
      <w:bookmarkEnd w:id="30"/>
      <w:bookmarkEnd w:id="31"/>
      <w:bookmarkEnd w:id="32"/>
      <w:bookmarkEnd w:id="33"/>
      <w:bookmarkEnd w:id="34"/>
      <w:bookmarkEnd w:id="35"/>
    </w:p>
    <w:p>
      <w:pPr>
        <w:pStyle w:val="29"/>
        <w:pageBreakBefore w:val="0"/>
        <w:kinsoku/>
        <w:wordWrap/>
        <w:overflowPunct/>
        <w:topLinePunct w:val="0"/>
        <w:autoSpaceDE/>
        <w:autoSpaceDN/>
        <w:bidi w:val="0"/>
        <w:spacing w:before="0" w:line="56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运维单位中标后应组织运维团队验收工作移交清单、完成工作移交工作，承接项目运维服务；若本期运维单位未中标下一期运维服务项目，则必须在下一期运维单位入场前提交运维服务工作移交清单并配合完成工作移交，交接期不少于一个月，交接内容必须完整、准确，无保留、无隐瞒。</w:t>
      </w:r>
    </w:p>
    <w:p>
      <w:pPr>
        <w:pStyle w:val="6"/>
        <w:pageBreakBefore w:val="0"/>
        <w:kinsoku/>
        <w:wordWrap/>
        <w:overflowPunct/>
        <w:topLinePunct w:val="0"/>
        <w:autoSpaceDE/>
        <w:autoSpaceDN/>
        <w:bidi w:val="0"/>
        <w:spacing w:before="0" w:after="0" w:line="560" w:lineRule="exact"/>
        <w:ind w:left="0" w:firstLine="640" w:firstLineChars="200"/>
        <w:textAlignment w:val="auto"/>
        <w:rPr>
          <w:rFonts w:hint="eastAsia" w:ascii="楷体" w:hAnsi="楷体" w:eastAsia="楷体" w:cs="楷体"/>
          <w:b w:val="0"/>
          <w:bCs w:val="0"/>
          <w:color w:val="auto"/>
          <w:sz w:val="32"/>
          <w:szCs w:val="32"/>
          <w:highlight w:val="none"/>
        </w:rPr>
      </w:pPr>
      <w:bookmarkStart w:id="36" w:name="_Toc13724"/>
      <w:bookmarkStart w:id="37" w:name="_Toc20123"/>
      <w:bookmarkStart w:id="38" w:name="_Toc18161"/>
      <w:bookmarkStart w:id="39" w:name="_Toc87881709"/>
      <w:bookmarkStart w:id="40" w:name="_Toc18380"/>
      <w:bookmarkStart w:id="41" w:name="_Toc3062"/>
      <w:r>
        <w:rPr>
          <w:rFonts w:hint="eastAsia" w:ascii="楷体" w:hAnsi="楷体" w:eastAsia="楷体" w:cs="楷体"/>
          <w:b w:val="0"/>
          <w:bCs w:val="0"/>
          <w:color w:val="auto"/>
          <w:sz w:val="32"/>
          <w:szCs w:val="32"/>
          <w:highlight w:val="none"/>
          <w:lang w:eastAsia="zh-CN"/>
        </w:rPr>
        <w:t>（</w:t>
      </w:r>
      <w:r>
        <w:rPr>
          <w:rFonts w:hint="eastAsia" w:ascii="楷体" w:hAnsi="楷体" w:eastAsia="楷体" w:cs="楷体"/>
          <w:b w:val="0"/>
          <w:bCs w:val="0"/>
          <w:color w:val="auto"/>
          <w:sz w:val="32"/>
          <w:szCs w:val="32"/>
          <w:highlight w:val="none"/>
          <w:lang w:val="en-US" w:eastAsia="zh-CN"/>
        </w:rPr>
        <w:t>十一）</w:t>
      </w:r>
      <w:r>
        <w:rPr>
          <w:rFonts w:hint="eastAsia" w:ascii="楷体" w:hAnsi="楷体" w:eastAsia="楷体" w:cs="楷体"/>
          <w:b w:val="0"/>
          <w:bCs w:val="0"/>
          <w:color w:val="auto"/>
          <w:sz w:val="32"/>
          <w:szCs w:val="32"/>
          <w:highlight w:val="none"/>
        </w:rPr>
        <w:t>技术支撑服务</w:t>
      </w:r>
      <w:bookmarkEnd w:id="36"/>
      <w:bookmarkEnd w:id="37"/>
      <w:bookmarkEnd w:id="38"/>
      <w:bookmarkEnd w:id="39"/>
      <w:bookmarkEnd w:id="40"/>
      <w:bookmarkEnd w:id="41"/>
    </w:p>
    <w:p>
      <w:pPr>
        <w:pStyle w:val="11"/>
        <w:pageBreakBefore w:val="0"/>
        <w:kinsoku/>
        <w:wordWrap/>
        <w:overflowPunct/>
        <w:topLinePunct w:val="0"/>
        <w:autoSpaceDE/>
        <w:autoSpaceDN/>
        <w:bidi w:val="0"/>
        <w:spacing w:line="560" w:lineRule="exact"/>
        <w:ind w:left="0" w:firstLine="640" w:firstLineChars="200"/>
        <w:textAlignment w:val="auto"/>
        <w:rPr>
          <w:rFonts w:hint="eastAsia"/>
          <w:highlight w:val="none"/>
        </w:rPr>
      </w:pPr>
      <w:r>
        <w:rPr>
          <w:rFonts w:hint="eastAsia" w:ascii="仿宋_GB2312" w:hAnsi="仿宋_GB2312" w:eastAsia="仿宋_GB2312" w:cs="仿宋_GB2312"/>
          <w:b w:val="0"/>
          <w:bCs w:val="0"/>
          <w:color w:val="auto"/>
          <w:sz w:val="32"/>
          <w:szCs w:val="32"/>
          <w:highlight w:val="none"/>
        </w:rPr>
        <w:t>运维人员运维过程中无法处理的一切技术性难题需提交给技术支撑团队协助解决，技术支撑团队对问题进行分析、处理，以提高运维服务效率。</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napToGrid w:val="0"/>
          <w:color w:val="auto"/>
          <w:kern w:val="44"/>
          <w:sz w:val="32"/>
          <w:szCs w:val="32"/>
          <w:highlight w:val="none"/>
          <w:lang w:val="en-US" w:eastAsia="zh-CN" w:bidi="ar-SA"/>
        </w:rPr>
      </w:pPr>
      <w:r>
        <w:rPr>
          <w:rFonts w:hint="eastAsia" w:ascii="黑体" w:hAnsi="黑体" w:eastAsia="黑体" w:cs="黑体"/>
          <w:b w:val="0"/>
          <w:bCs w:val="0"/>
          <w:snapToGrid w:val="0"/>
          <w:color w:val="auto"/>
          <w:kern w:val="44"/>
          <w:sz w:val="32"/>
          <w:szCs w:val="32"/>
          <w:highlight w:val="none"/>
          <w:lang w:val="en-US" w:eastAsia="zh-CN" w:bidi="ar-SA"/>
        </w:rPr>
        <w:t>四、服务时间</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仿宋_GB2312" w:cs="黑体"/>
          <w:b w:val="0"/>
          <w:bCs w:val="0"/>
          <w:snapToGrid w:val="0"/>
          <w:color w:val="auto"/>
          <w:kern w:val="44"/>
          <w:sz w:val="32"/>
          <w:szCs w:val="32"/>
          <w:highlight w:val="none"/>
          <w:lang w:val="en-US" w:eastAsia="zh-CN" w:bidi="ar-SA"/>
        </w:rPr>
      </w:pPr>
      <w:r>
        <w:rPr>
          <w:rFonts w:hint="eastAsia" w:ascii="仿宋_GB2312" w:hAnsi="仿宋_GB2312" w:eastAsia="仿宋_GB2312" w:cs="仿宋_GB2312"/>
          <w:sz w:val="32"/>
          <w:szCs w:val="32"/>
          <w:highlight w:val="none"/>
        </w:rPr>
        <w:t>服务期限为1年</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kern w:val="2"/>
          <w:sz w:val="32"/>
          <w:szCs w:val="32"/>
          <w:highlight w:val="none"/>
          <w:lang w:val="en-US" w:eastAsia="zh-CN" w:bidi="ar-SA"/>
        </w:rPr>
        <w:t>五、</w:t>
      </w:r>
      <w:r>
        <w:rPr>
          <w:rFonts w:hint="eastAsia" w:ascii="黑体" w:hAnsi="黑体" w:eastAsia="黑体" w:cs="黑体"/>
          <w:b w:val="0"/>
          <w:bCs/>
          <w:color w:val="auto"/>
          <w:sz w:val="32"/>
          <w:szCs w:val="32"/>
          <w:highlight w:val="none"/>
        </w:rPr>
        <w:t>服务报价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sz w:val="32"/>
          <w:szCs w:val="32"/>
          <w:highlight w:val="none"/>
        </w:rPr>
        <w:t>本服务费用</w:t>
      </w:r>
      <w:r>
        <w:rPr>
          <w:rFonts w:hint="eastAsia" w:ascii="仿宋_GB2312" w:hAnsi="仿宋_GB2312" w:eastAsia="仿宋_GB2312" w:cs="仿宋_GB2312"/>
          <w:b w:val="0"/>
          <w:bCs/>
          <w:sz w:val="32"/>
          <w:szCs w:val="32"/>
          <w:highlight w:val="none"/>
          <w:lang w:val="en-US" w:eastAsia="zh-CN"/>
        </w:rPr>
        <w:t>预算</w:t>
      </w:r>
      <w:r>
        <w:rPr>
          <w:rFonts w:hint="eastAsia" w:ascii="仿宋_GB2312" w:hAnsi="仿宋_GB2312" w:eastAsia="仿宋_GB2312" w:cs="仿宋_GB2312"/>
          <w:b w:val="0"/>
          <w:bCs/>
          <w:sz w:val="32"/>
          <w:szCs w:val="32"/>
          <w:highlight w:val="none"/>
        </w:rPr>
        <w:t>为人民币</w:t>
      </w:r>
      <w:r>
        <w:rPr>
          <w:rFonts w:hint="eastAsia" w:ascii="仿宋_GB2312" w:hAnsi="仿宋_GB2312" w:eastAsia="仿宋_GB2312" w:cs="仿宋_GB2312"/>
          <w:b w:val="0"/>
          <w:bCs/>
          <w:color w:val="auto"/>
          <w:sz w:val="32"/>
          <w:szCs w:val="32"/>
          <w:highlight w:val="none"/>
          <w:u w:val="none"/>
          <w:lang w:val="en-US" w:eastAsia="zh-CN"/>
        </w:rPr>
        <w:t>361000</w:t>
      </w:r>
      <w:r>
        <w:rPr>
          <w:rFonts w:hint="eastAsia" w:ascii="仿宋_GB2312" w:hAnsi="仿宋_GB2312" w:eastAsia="仿宋_GB2312" w:cs="仿宋_GB2312"/>
          <w:b w:val="0"/>
          <w:bCs/>
          <w:sz w:val="32"/>
          <w:szCs w:val="32"/>
          <w:highlight w:val="none"/>
        </w:rPr>
        <w:t>元整。供应商的报价不得超出最高限价。</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0"/>
        <w:rPr>
          <w:rFonts w:hint="eastAsia" w:ascii="仿宋_GB2312" w:hAnsi="仿宋_GB2312" w:eastAsia="仿宋_GB2312" w:cs="仿宋_GB2312"/>
          <w:b w:val="0"/>
          <w:bCs w:val="0"/>
          <w:color w:val="auto"/>
          <w:sz w:val="32"/>
          <w:szCs w:val="32"/>
          <w:highlight w:val="none"/>
        </w:rPr>
      </w:pPr>
      <w:r>
        <w:rPr>
          <w:rFonts w:hint="eastAsia" w:ascii="黑体" w:hAnsi="黑体" w:eastAsia="黑体" w:cs="黑体"/>
          <w:b w:val="0"/>
          <w:bCs w:val="0"/>
          <w:color w:val="auto"/>
          <w:sz w:val="32"/>
          <w:szCs w:val="32"/>
          <w:highlight w:val="none"/>
        </w:rPr>
        <w:t>六、确定成交供应商</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若有多家供应商竞价，采购人将综合考虑供应商的服务质量、技术服务能力、采购信誉度、与本单位有服务经验者等方面进行择优选择，确定为成交供应商。</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0"/>
        <w:rPr>
          <w:rFonts w:hint="eastAsia"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七、结算方式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宋体" w:hAnsi="宋体"/>
          <w:b w:val="0"/>
          <w:bCs/>
          <w:color w:val="auto"/>
          <w:sz w:val="28"/>
          <w:szCs w:val="28"/>
          <w:highlight w:val="none"/>
        </w:rPr>
      </w:pPr>
      <w:r>
        <w:rPr>
          <w:rFonts w:hint="eastAsia" w:ascii="仿宋_GB2312" w:hAnsi="仿宋_GB2312" w:eastAsia="仿宋_GB2312" w:cs="仿宋_GB2312"/>
          <w:b w:val="0"/>
          <w:bCs w:val="0"/>
          <w:sz w:val="32"/>
          <w:szCs w:val="32"/>
          <w:highlight w:val="none"/>
        </w:rPr>
        <w:t>按合同约定方式结算。</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华文新魏">
    <w:altName w:val="宋体"/>
    <w:panose1 w:val="0201080004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single" w:color="auto" w:sz="4" w:space="1"/>
      </w:pBdr>
      <w:ind w:right="0"/>
      <w:jc w:val="both"/>
      <w:rPr>
        <w:b/>
        <w:bCs/>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C144B0"/>
    <w:multiLevelType w:val="multilevel"/>
    <w:tmpl w:val="03C144B0"/>
    <w:lvl w:ilvl="0" w:tentative="0">
      <w:start w:val="1"/>
      <w:numFmt w:val="chineseCountingThousand"/>
      <w:pStyle w:val="2"/>
      <w:suff w:val="space"/>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zZTE3MzI0MGVlMDMzNGI0ZTZiYjdhMjRjZDc5ZGMifQ=="/>
  </w:docVars>
  <w:rsids>
    <w:rsidRoot w:val="51685275"/>
    <w:rsid w:val="00023AC4"/>
    <w:rsid w:val="00055108"/>
    <w:rsid w:val="00057EAB"/>
    <w:rsid w:val="001C20CF"/>
    <w:rsid w:val="001F22C1"/>
    <w:rsid w:val="00577159"/>
    <w:rsid w:val="006062BB"/>
    <w:rsid w:val="00711D9B"/>
    <w:rsid w:val="00722AE3"/>
    <w:rsid w:val="009E4BBD"/>
    <w:rsid w:val="00B4182D"/>
    <w:rsid w:val="00B62EE4"/>
    <w:rsid w:val="00C5127B"/>
    <w:rsid w:val="00E54F46"/>
    <w:rsid w:val="00E90BD2"/>
    <w:rsid w:val="01F41243"/>
    <w:rsid w:val="01F77CB9"/>
    <w:rsid w:val="03440750"/>
    <w:rsid w:val="03652411"/>
    <w:rsid w:val="043379FC"/>
    <w:rsid w:val="06F565C6"/>
    <w:rsid w:val="0A073321"/>
    <w:rsid w:val="0B304CCB"/>
    <w:rsid w:val="0D9F4BFE"/>
    <w:rsid w:val="136E2F6C"/>
    <w:rsid w:val="15C47DB0"/>
    <w:rsid w:val="176B63E0"/>
    <w:rsid w:val="17C7661E"/>
    <w:rsid w:val="180D2822"/>
    <w:rsid w:val="1C5C2B67"/>
    <w:rsid w:val="1DB20187"/>
    <w:rsid w:val="20326453"/>
    <w:rsid w:val="21CC7DA6"/>
    <w:rsid w:val="229C574B"/>
    <w:rsid w:val="22EE3CE2"/>
    <w:rsid w:val="25482D46"/>
    <w:rsid w:val="27F9158A"/>
    <w:rsid w:val="28695AD9"/>
    <w:rsid w:val="28E91CB1"/>
    <w:rsid w:val="29A97796"/>
    <w:rsid w:val="2B56297D"/>
    <w:rsid w:val="2D935D02"/>
    <w:rsid w:val="306D193F"/>
    <w:rsid w:val="313F5099"/>
    <w:rsid w:val="31B95EAC"/>
    <w:rsid w:val="32CB4A25"/>
    <w:rsid w:val="33FF3832"/>
    <w:rsid w:val="36CF631D"/>
    <w:rsid w:val="37310A0F"/>
    <w:rsid w:val="37F03BC9"/>
    <w:rsid w:val="3EC310F2"/>
    <w:rsid w:val="3FFB486B"/>
    <w:rsid w:val="428861D5"/>
    <w:rsid w:val="42C55272"/>
    <w:rsid w:val="43EA2666"/>
    <w:rsid w:val="47C93B59"/>
    <w:rsid w:val="4AB05248"/>
    <w:rsid w:val="4D9E2C93"/>
    <w:rsid w:val="4FE67D1D"/>
    <w:rsid w:val="51685275"/>
    <w:rsid w:val="5559466A"/>
    <w:rsid w:val="58A3606D"/>
    <w:rsid w:val="5A3156F1"/>
    <w:rsid w:val="5E683829"/>
    <w:rsid w:val="5FB90769"/>
    <w:rsid w:val="64F270AC"/>
    <w:rsid w:val="66213FF2"/>
    <w:rsid w:val="67D944C2"/>
    <w:rsid w:val="69B44522"/>
    <w:rsid w:val="6C9C41FD"/>
    <w:rsid w:val="6CB27683"/>
    <w:rsid w:val="6D3F523F"/>
    <w:rsid w:val="6D9C0C44"/>
    <w:rsid w:val="6EC16F54"/>
    <w:rsid w:val="6FA869E7"/>
    <w:rsid w:val="72DB333C"/>
    <w:rsid w:val="742B39B5"/>
    <w:rsid w:val="75A0348A"/>
    <w:rsid w:val="7EBF5B10"/>
    <w:rsid w:val="7EDE1CC6"/>
    <w:rsid w:val="7FB465D8"/>
    <w:rsid w:val="99F53EEA"/>
    <w:rsid w:val="FB7FFA6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0"/>
    <w:pPr>
      <w:keepNext/>
      <w:keepLines/>
      <w:numPr>
        <w:ilvl w:val="0"/>
        <w:numId w:val="1"/>
      </w:numPr>
      <w:adjustRightInd w:val="0"/>
      <w:snapToGrid w:val="0"/>
      <w:spacing w:before="60" w:after="60" w:line="360" w:lineRule="auto"/>
      <w:outlineLvl w:val="0"/>
    </w:pPr>
    <w:rPr>
      <w:rFonts w:ascii="Times New Roman" w:hAnsi="Times New Roman" w:eastAsia="宋体" w:cs="Times New Roman"/>
      <w:b/>
      <w:bCs/>
      <w:snapToGrid w:val="0"/>
      <w:kern w:val="44"/>
      <w:sz w:val="28"/>
      <w:szCs w:val="20"/>
    </w:rPr>
  </w:style>
  <w:style w:type="paragraph" w:styleId="3">
    <w:name w:val="heading 2"/>
    <w:basedOn w:val="1"/>
    <w:next w:val="1"/>
    <w:link w:val="28"/>
    <w:unhideWhenUsed/>
    <w:qFormat/>
    <w:uiPriority w:val="0"/>
    <w:pPr>
      <w:keepNext/>
      <w:keepLines/>
      <w:spacing w:before="260" w:after="260" w:line="416" w:lineRule="auto"/>
      <w:outlineLvl w:val="1"/>
    </w:pPr>
    <w:rPr>
      <w:rFonts w:ascii="等线 Light" w:hAnsi="等线 Light" w:eastAsia="等线 Light" w:cs="Times New Roman"/>
      <w:b/>
      <w:bCs/>
      <w:sz w:val="32"/>
      <w:szCs w:val="32"/>
    </w:rPr>
  </w:style>
  <w:style w:type="paragraph" w:styleId="4">
    <w:name w:val="heading 3"/>
    <w:basedOn w:val="1"/>
    <w:next w:val="5"/>
    <w:link w:val="32"/>
    <w:autoRedefine/>
    <w:semiHidden/>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21"/>
    <w:semiHidden/>
    <w:unhideWhenUsed/>
    <w:qFormat/>
    <w:uiPriority w:val="0"/>
    <w:pPr>
      <w:keepNext/>
      <w:keepLines/>
      <w:spacing w:before="280" w:after="290" w:line="376" w:lineRule="auto"/>
      <w:outlineLvl w:val="3"/>
    </w:pPr>
    <w:rPr>
      <w:rFonts w:ascii="等线 Light" w:hAnsi="等线 Light" w:eastAsia="等线 Light" w:cs="Times New Roman"/>
      <w:b/>
      <w:bCs/>
      <w:sz w:val="28"/>
      <w:szCs w:val="28"/>
    </w:rPr>
  </w:style>
  <w:style w:type="paragraph" w:styleId="7">
    <w:name w:val="heading 5"/>
    <w:basedOn w:val="1"/>
    <w:next w:val="1"/>
    <w:link w:val="22"/>
    <w:autoRedefine/>
    <w:semiHidden/>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23"/>
    <w:autoRedefine/>
    <w:unhideWhenUsed/>
    <w:qFormat/>
    <w:uiPriority w:val="0"/>
    <w:pPr>
      <w:keepNext/>
      <w:keepLines/>
      <w:spacing w:before="240" w:after="64" w:line="320" w:lineRule="auto"/>
      <w:outlineLvl w:val="5"/>
    </w:pPr>
    <w:rPr>
      <w:rFonts w:ascii="等线 Light" w:hAnsi="等线 Light" w:eastAsia="等线 Light" w:cs="Times New Roman"/>
      <w:b/>
      <w:bCs/>
      <w:sz w:val="24"/>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5">
    <w:name w:val="技术文档正文"/>
    <w:basedOn w:val="1"/>
    <w:autoRedefine/>
    <w:qFormat/>
    <w:uiPriority w:val="0"/>
    <w:pPr>
      <w:ind w:firstLine="200"/>
    </w:pPr>
  </w:style>
  <w:style w:type="paragraph" w:styleId="9">
    <w:name w:val="Normal Indent"/>
    <w:basedOn w:val="1"/>
    <w:link w:val="24"/>
    <w:qFormat/>
    <w:uiPriority w:val="99"/>
    <w:pPr>
      <w:widowControl/>
      <w:spacing w:line="360" w:lineRule="auto"/>
      <w:ind w:firstLine="420" w:firstLineChars="200"/>
    </w:pPr>
    <w:rPr>
      <w:rFonts w:ascii="宋体" w:hAnsi="宋体"/>
      <w:kern w:val="0"/>
      <w:sz w:val="24"/>
    </w:rPr>
  </w:style>
  <w:style w:type="paragraph" w:styleId="10">
    <w:name w:val="caption"/>
    <w:basedOn w:val="1"/>
    <w:next w:val="1"/>
    <w:link w:val="25"/>
    <w:autoRedefine/>
    <w:qFormat/>
    <w:uiPriority w:val="0"/>
    <w:pPr>
      <w:spacing w:before="120" w:line="360" w:lineRule="auto"/>
      <w:jc w:val="center"/>
    </w:pPr>
    <w:rPr>
      <w:rFonts w:ascii="Times New Roman" w:hAnsi="Times New Roman" w:cs="宋体"/>
      <w:spacing w:val="23"/>
      <w:szCs w:val="20"/>
    </w:rPr>
  </w:style>
  <w:style w:type="paragraph" w:styleId="11">
    <w:name w:val="Body Text"/>
    <w:basedOn w:val="1"/>
    <w:qFormat/>
    <w:uiPriority w:val="0"/>
    <w:pPr>
      <w:jc w:val="left"/>
    </w:pPr>
    <w:rPr>
      <w:rFonts w:ascii="华文新魏" w:hAnsi="华文新魏" w:eastAsia="宋体" w:cs="Times New Roman"/>
      <w:sz w:val="24"/>
      <w:szCs w:val="44"/>
    </w:rPr>
  </w:style>
  <w:style w:type="paragraph" w:styleId="12">
    <w:name w:val="Plain Text"/>
    <w:basedOn w:val="1"/>
    <w:qFormat/>
    <w:uiPriority w:val="0"/>
    <w:rPr>
      <w:rFonts w:ascii="宋体" w:hAnsi="Courier New" w:eastAsia="宋体"/>
      <w:sz w:val="21"/>
    </w:rPr>
  </w:style>
  <w:style w:type="paragraph" w:styleId="13">
    <w:name w:val="footer"/>
    <w:basedOn w:val="1"/>
    <w:link w:val="17"/>
    <w:autoRedefine/>
    <w:qFormat/>
    <w:uiPriority w:val="99"/>
    <w:pPr>
      <w:tabs>
        <w:tab w:val="center" w:pos="4153"/>
        <w:tab w:val="right" w:pos="8306"/>
      </w:tabs>
      <w:snapToGrid w:val="0"/>
      <w:jc w:val="left"/>
    </w:pPr>
    <w:rPr>
      <w:sz w:val="18"/>
      <w:szCs w:val="18"/>
    </w:rPr>
  </w:style>
  <w:style w:type="paragraph" w:styleId="14">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character" w:customStyle="1" w:styleId="17">
    <w:name w:val="页脚 字符"/>
    <w:link w:val="13"/>
    <w:qFormat/>
    <w:uiPriority w:val="99"/>
    <w:rPr>
      <w:rFonts w:ascii="Calibri" w:hAnsi="Calibri"/>
      <w:kern w:val="2"/>
      <w:sz w:val="18"/>
      <w:szCs w:val="18"/>
    </w:rPr>
  </w:style>
  <w:style w:type="character" w:customStyle="1" w:styleId="18">
    <w:name w:val="页眉 字符"/>
    <w:link w:val="14"/>
    <w:qFormat/>
    <w:uiPriority w:val="99"/>
    <w:rPr>
      <w:rFonts w:ascii="Calibri" w:hAnsi="Calibri"/>
      <w:kern w:val="2"/>
      <w:sz w:val="18"/>
      <w:szCs w:val="18"/>
    </w:rPr>
  </w:style>
  <w:style w:type="character" w:customStyle="1" w:styleId="19">
    <w:name w:val="font41"/>
    <w:qFormat/>
    <w:uiPriority w:val="0"/>
    <w:rPr>
      <w:rFonts w:hint="eastAsia" w:ascii="仿宋" w:hAnsi="仿宋" w:eastAsia="仿宋" w:cs="仿宋"/>
      <w:color w:val="000000"/>
      <w:sz w:val="24"/>
      <w:szCs w:val="24"/>
      <w:u w:val="none"/>
    </w:rPr>
  </w:style>
  <w:style w:type="character" w:customStyle="1" w:styleId="20">
    <w:name w:val="font01"/>
    <w:autoRedefine/>
    <w:qFormat/>
    <w:uiPriority w:val="0"/>
    <w:rPr>
      <w:rFonts w:ascii="Calibri" w:hAnsi="Calibri" w:cs="Calibri"/>
      <w:color w:val="000000"/>
      <w:sz w:val="24"/>
      <w:szCs w:val="24"/>
      <w:u w:val="none"/>
    </w:rPr>
  </w:style>
  <w:style w:type="character" w:customStyle="1" w:styleId="21">
    <w:name w:val="标题 4 字符"/>
    <w:link w:val="6"/>
    <w:autoRedefine/>
    <w:semiHidden/>
    <w:qFormat/>
    <w:uiPriority w:val="0"/>
    <w:rPr>
      <w:rFonts w:ascii="等线 Light" w:hAnsi="等线 Light" w:eastAsia="等线 Light" w:cs="Times New Roman"/>
      <w:b/>
      <w:bCs/>
      <w:kern w:val="2"/>
      <w:sz w:val="28"/>
      <w:szCs w:val="28"/>
    </w:rPr>
  </w:style>
  <w:style w:type="character" w:customStyle="1" w:styleId="22">
    <w:name w:val="标题 5 字符"/>
    <w:link w:val="7"/>
    <w:autoRedefine/>
    <w:semiHidden/>
    <w:qFormat/>
    <w:uiPriority w:val="0"/>
    <w:rPr>
      <w:b/>
      <w:bCs/>
      <w:kern w:val="2"/>
      <w:sz w:val="28"/>
      <w:szCs w:val="28"/>
    </w:rPr>
  </w:style>
  <w:style w:type="character" w:customStyle="1" w:styleId="23">
    <w:name w:val="标题 6 字符"/>
    <w:link w:val="8"/>
    <w:autoRedefine/>
    <w:qFormat/>
    <w:uiPriority w:val="0"/>
    <w:rPr>
      <w:rFonts w:ascii="等线 Light" w:hAnsi="等线 Light" w:eastAsia="等线 Light" w:cs="Times New Roman"/>
      <w:b/>
      <w:bCs/>
      <w:kern w:val="2"/>
      <w:sz w:val="24"/>
      <w:szCs w:val="24"/>
    </w:rPr>
  </w:style>
  <w:style w:type="character" w:customStyle="1" w:styleId="24">
    <w:name w:val="正文缩进 字符"/>
    <w:link w:val="9"/>
    <w:autoRedefine/>
    <w:qFormat/>
    <w:locked/>
    <w:uiPriority w:val="0"/>
    <w:rPr>
      <w:rFonts w:ascii="宋体" w:hAnsi="宋体"/>
      <w:sz w:val="24"/>
      <w:szCs w:val="24"/>
    </w:rPr>
  </w:style>
  <w:style w:type="character" w:customStyle="1" w:styleId="25">
    <w:name w:val="题注 字符"/>
    <w:link w:val="10"/>
    <w:autoRedefine/>
    <w:qFormat/>
    <w:uiPriority w:val="0"/>
    <w:rPr>
      <w:rFonts w:ascii="Times New Roman" w:hAnsi="Times New Roman" w:cs="宋体"/>
      <w:spacing w:val="23"/>
      <w:kern w:val="2"/>
      <w:sz w:val="21"/>
    </w:rPr>
  </w:style>
  <w:style w:type="character" w:customStyle="1" w:styleId="26">
    <w:name w:val="无间隔 字符"/>
    <w:link w:val="27"/>
    <w:autoRedefine/>
    <w:qFormat/>
    <w:uiPriority w:val="1"/>
    <w:rPr>
      <w:rFonts w:ascii="宋体" w:hAnsi="宋体"/>
      <w:kern w:val="2"/>
      <w:sz w:val="21"/>
      <w:szCs w:val="22"/>
    </w:rPr>
  </w:style>
  <w:style w:type="paragraph" w:styleId="27">
    <w:name w:val="No Spacing"/>
    <w:link w:val="26"/>
    <w:autoRedefine/>
    <w:qFormat/>
    <w:uiPriority w:val="1"/>
    <w:rPr>
      <w:rFonts w:ascii="宋体" w:hAnsi="宋体" w:eastAsia="宋体" w:cs="Times New Roman"/>
      <w:kern w:val="2"/>
      <w:sz w:val="21"/>
      <w:szCs w:val="22"/>
      <w:lang w:val="en-US" w:eastAsia="zh-CN" w:bidi="ar-SA"/>
    </w:rPr>
  </w:style>
  <w:style w:type="character" w:customStyle="1" w:styleId="28">
    <w:name w:val="标题 2 字符"/>
    <w:link w:val="3"/>
    <w:autoRedefine/>
    <w:qFormat/>
    <w:uiPriority w:val="0"/>
    <w:rPr>
      <w:rFonts w:ascii="等线 Light" w:hAnsi="等线 Light" w:eastAsia="等线 Light" w:cs="Times New Roman"/>
      <w:b/>
      <w:bCs/>
      <w:kern w:val="2"/>
      <w:sz w:val="32"/>
      <w:szCs w:val="32"/>
    </w:rPr>
  </w:style>
  <w:style w:type="paragraph" w:customStyle="1" w:styleId="29">
    <w:name w:val="Body text|1"/>
    <w:basedOn w:val="1"/>
    <w:link w:val="30"/>
    <w:autoRedefine/>
    <w:qFormat/>
    <w:uiPriority w:val="0"/>
    <w:pPr>
      <w:spacing w:before="120" w:line="360" w:lineRule="auto"/>
      <w:ind w:firstLine="403" w:firstLineChars="200"/>
    </w:pPr>
    <w:rPr>
      <w:rFonts w:ascii="宋体" w:hAnsi="宋体"/>
      <w:sz w:val="24"/>
      <w:szCs w:val="28"/>
    </w:rPr>
  </w:style>
  <w:style w:type="character" w:customStyle="1" w:styleId="30">
    <w:name w:val="Body text|1_"/>
    <w:link w:val="29"/>
    <w:autoRedefine/>
    <w:qFormat/>
    <w:uiPriority w:val="0"/>
    <w:rPr>
      <w:rFonts w:ascii="宋体" w:hAnsi="宋体"/>
      <w:kern w:val="2"/>
      <w:sz w:val="24"/>
      <w:szCs w:val="28"/>
    </w:rPr>
  </w:style>
  <w:style w:type="paragraph" w:customStyle="1" w:styleId="31">
    <w:name w:val="正文，实施方案正文标准格式"/>
    <w:basedOn w:val="1"/>
    <w:autoRedefine/>
    <w:qFormat/>
    <w:uiPriority w:val="0"/>
    <w:pPr>
      <w:spacing w:line="360" w:lineRule="auto"/>
    </w:pPr>
    <w:rPr>
      <w:rFonts w:ascii="Times New Roman" w:hAnsi="Times New Roman" w:cs="楷体"/>
      <w:sz w:val="24"/>
      <w:szCs w:val="21"/>
      <w:shd w:val="clear" w:color="auto" w:fill="FFFFFF"/>
    </w:rPr>
  </w:style>
  <w:style w:type="character" w:customStyle="1" w:styleId="32">
    <w:name w:val="标题 3 字符"/>
    <w:link w:val="4"/>
    <w:autoRedefine/>
    <w:semiHidden/>
    <w:qFormat/>
    <w:uiPriority w:val="0"/>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11308</Words>
  <Characters>12515</Characters>
  <Lines>87</Lines>
  <Paragraphs>24</Paragraphs>
  <TotalTime>26</TotalTime>
  <ScaleCrop>false</ScaleCrop>
  <LinksUpToDate>false</LinksUpToDate>
  <CharactersWithSpaces>12796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2024-03-04T14:39:00Z</dcterms:created>
  <dc:creator>Administrator</dc:creator>
  <cp:lastModifiedBy>Kimho</cp:lastModifiedBy>
  <cp:lastPrinted>2024-04-03T01:02:00Z</cp:lastPrinted>
  <dcterms:modified xsi:type="dcterms:W3CDTF">2024-04-03T01:09:09Z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A9214B12455147D4A0019BDCF9C50588_13</vt:lpwstr>
  </property>
  <property fmtid="{D5CDD505-2E9C-101B-9397-08002B2CF9AE}" pid="4" name="ribbonExt">
    <vt:lpwstr>{"WPSExtOfficeTab":{"OnGetEnabled":false,"OnGetVisible":false}}</vt:lpwstr>
  </property>
</Properties>
</file>