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val="0"/>
        <w:spacing w:line="700" w:lineRule="exact"/>
        <w:jc w:val="center"/>
        <w:textAlignment w:val="auto"/>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lang w:val="en-US" w:eastAsia="zh-CN"/>
        </w:rPr>
        <w:t>2024年</w:t>
      </w:r>
      <w:r>
        <w:rPr>
          <w:rFonts w:hint="eastAsia" w:ascii="方正小标宋简体" w:hAnsi="方正小标宋简体" w:eastAsia="方正小标宋简体" w:cs="方正小标宋简体"/>
          <w:b w:val="0"/>
          <w:sz w:val="44"/>
          <w:szCs w:val="44"/>
        </w:rPr>
        <w:t>开平市会议管理系统运维服务项目</w:t>
      </w:r>
    </w:p>
    <w:p>
      <w:pPr>
        <w:keepNext w:val="0"/>
        <w:keepLines w:val="0"/>
        <w:pageBreakBefore w:val="0"/>
        <w:widowControl/>
        <w:kinsoku/>
        <w:wordWrap/>
        <w:overflowPunct/>
        <w:topLinePunct w:val="0"/>
        <w:autoSpaceDE/>
        <w:autoSpaceDN/>
        <w:bidi w:val="0"/>
        <w:snapToGrid w:val="0"/>
        <w:spacing w:line="7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采购需求</w:t>
      </w:r>
    </w:p>
    <w:p>
      <w:pPr>
        <w:pStyle w:val="4"/>
        <w:pageBreakBefore w:val="0"/>
        <w:numPr>
          <w:ilvl w:val="1"/>
          <w:numId w:val="0"/>
        </w:numPr>
        <w:kinsoku/>
        <w:wordWrap/>
        <w:overflowPunct/>
        <w:topLinePunct w:val="0"/>
        <w:autoSpaceDE/>
        <w:autoSpaceDN/>
        <w:bidi w:val="0"/>
        <w:spacing w:before="0" w:after="0"/>
        <w:textAlignment w:val="auto"/>
        <w:rPr>
          <w:rFonts w:hint="eastAsia"/>
        </w:rPr>
      </w:pP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黑体" w:hAnsi="黑体" w:eastAsia="黑体" w:cs="黑体"/>
          <w:b w:val="0"/>
          <w:sz w:val="32"/>
          <w:szCs w:val="32"/>
          <w:lang w:val="zh-CN"/>
        </w:rPr>
      </w:pPr>
      <w:r>
        <w:rPr>
          <w:rFonts w:hint="eastAsia" w:ascii="黑体" w:hAnsi="黑体" w:eastAsia="黑体" w:cs="黑体"/>
          <w:b w:val="0"/>
          <w:sz w:val="32"/>
          <w:szCs w:val="32"/>
          <w:lang w:val="zh-CN" w:eastAsia="zh-CN"/>
        </w:rPr>
        <w:t>一、</w:t>
      </w:r>
      <w:r>
        <w:rPr>
          <w:rFonts w:hint="eastAsia" w:ascii="黑体" w:hAnsi="黑体" w:eastAsia="黑体" w:cs="黑体"/>
          <w:b w:val="0"/>
          <w:sz w:val="32"/>
          <w:szCs w:val="32"/>
          <w:lang w:val="zh-CN"/>
        </w:rPr>
        <w:t>项目概述</w:t>
      </w:r>
    </w:p>
    <w:p>
      <w:pPr>
        <w:pStyle w:val="21"/>
        <w:pageBreakBefore w:val="0"/>
        <w:kinsoku/>
        <w:wordWrap/>
        <w:overflowPunct/>
        <w:topLinePunct w:val="0"/>
        <w:bidi w:val="0"/>
        <w:snapToGrid w:val="0"/>
        <w:spacing w:line="560" w:lineRule="exact"/>
        <w:ind w:firstLine="560"/>
        <w:textAlignment w:val="auto"/>
        <w:rPr>
          <w:rFonts w:hint="eastAsia" w:ascii="楷体" w:hAnsi="楷体" w:eastAsia="楷体" w:cs="楷体"/>
          <w:b w:val="0"/>
          <w:sz w:val="32"/>
          <w:szCs w:val="32"/>
        </w:rPr>
      </w:pPr>
      <w:r>
        <w:rPr>
          <w:rFonts w:hint="eastAsia" w:ascii="楷体" w:hAnsi="楷体" w:eastAsia="楷体" w:cs="楷体"/>
          <w:b w:val="0"/>
          <w:sz w:val="32"/>
          <w:szCs w:val="32"/>
          <w:lang w:val="en-US" w:eastAsia="zh-CN"/>
        </w:rPr>
        <w:t>（一）</w:t>
      </w:r>
      <w:r>
        <w:rPr>
          <w:rFonts w:hint="eastAsia" w:ascii="楷体" w:hAnsi="楷体" w:eastAsia="楷体" w:cs="楷体"/>
          <w:b w:val="0"/>
          <w:sz w:val="32"/>
          <w:szCs w:val="32"/>
        </w:rPr>
        <w:t>项目名称</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lang w:val="zh-CN"/>
        </w:rPr>
      </w:pPr>
      <w:r>
        <w:rPr>
          <w:rFonts w:hint="eastAsia" w:ascii="仿宋_GB2312" w:hAnsi="仿宋_GB2312" w:eastAsia="仿宋_GB2312" w:cs="仿宋_GB2312"/>
          <w:b w:val="0"/>
          <w:sz w:val="32"/>
          <w:szCs w:val="32"/>
          <w:lang w:val="en-US" w:eastAsia="zh-CN"/>
        </w:rPr>
        <w:t>2024年</w:t>
      </w:r>
      <w:r>
        <w:rPr>
          <w:rFonts w:hint="eastAsia" w:ascii="仿宋_GB2312" w:hAnsi="仿宋_GB2312" w:eastAsia="仿宋_GB2312" w:cs="仿宋_GB2312"/>
          <w:b w:val="0"/>
          <w:sz w:val="32"/>
          <w:szCs w:val="32"/>
          <w:lang w:val="zh-CN"/>
        </w:rPr>
        <w:t>开平市会议管理系统运维服务项目</w:t>
      </w:r>
    </w:p>
    <w:p>
      <w:pPr>
        <w:pStyle w:val="21"/>
        <w:pageBreakBefore w:val="0"/>
        <w:kinsoku/>
        <w:wordWrap/>
        <w:overflowPunct/>
        <w:topLinePunct w:val="0"/>
        <w:bidi w:val="0"/>
        <w:snapToGrid w:val="0"/>
        <w:spacing w:line="560" w:lineRule="exact"/>
        <w:ind w:firstLine="560"/>
        <w:textAlignment w:val="auto"/>
        <w:rPr>
          <w:rFonts w:hint="eastAsia" w:ascii="楷体" w:hAnsi="楷体" w:eastAsia="楷体" w:cs="楷体"/>
          <w:b w:val="0"/>
          <w:sz w:val="32"/>
          <w:szCs w:val="32"/>
          <w:lang w:val="en-US" w:eastAsia="zh-CN"/>
        </w:rPr>
      </w:pPr>
      <w:r>
        <w:rPr>
          <w:rFonts w:hint="eastAsia" w:ascii="楷体" w:hAnsi="楷体" w:eastAsia="楷体" w:cs="楷体"/>
          <w:b w:val="0"/>
          <w:sz w:val="32"/>
          <w:szCs w:val="32"/>
          <w:lang w:val="zh-CN"/>
        </w:rPr>
        <w:t>（</w:t>
      </w:r>
      <w:r>
        <w:rPr>
          <w:rFonts w:hint="eastAsia" w:ascii="楷体" w:hAnsi="楷体" w:eastAsia="楷体" w:cs="楷体"/>
          <w:b w:val="0"/>
          <w:sz w:val="32"/>
          <w:szCs w:val="32"/>
          <w:lang w:val="en-US" w:eastAsia="zh-CN"/>
        </w:rPr>
        <w:t>二）项目背景</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黑体" w:hAnsi="黑体" w:eastAsia="黑体" w:cs="黑体"/>
          <w:b w:val="0"/>
          <w:sz w:val="32"/>
          <w:szCs w:val="32"/>
          <w:lang w:val="zh-CN"/>
        </w:rPr>
      </w:pPr>
      <w:r>
        <w:rPr>
          <w:rFonts w:hint="eastAsia" w:ascii="仿宋_GB2312" w:hAnsi="仿宋_GB2312" w:eastAsia="仿宋_GB2312" w:cs="仿宋_GB2312"/>
          <w:b w:val="0"/>
          <w:sz w:val="32"/>
          <w:szCs w:val="32"/>
          <w:lang w:val="zh-CN"/>
        </w:rPr>
        <w:t>开平市智慧会议管理系统</w:t>
      </w:r>
      <w:r>
        <w:rPr>
          <w:rFonts w:hint="default" w:ascii="仿宋_GB2312" w:hAnsi="仿宋_GB2312" w:eastAsia="仿宋_GB2312" w:cs="仿宋_GB2312"/>
          <w:b w:val="0"/>
          <w:sz w:val="32"/>
          <w:szCs w:val="32"/>
          <w:lang w:val="en-US" w:eastAsia="zh-CN"/>
        </w:rPr>
        <w:t>由市政务服务数据管理局牵头开发，</w:t>
      </w:r>
      <w:r>
        <w:rPr>
          <w:rFonts w:hint="eastAsia" w:ascii="仿宋_GB2312" w:hAnsi="仿宋_GB2312" w:eastAsia="仿宋_GB2312" w:cs="仿宋_GB2312"/>
          <w:b w:val="0"/>
          <w:sz w:val="32"/>
          <w:szCs w:val="32"/>
          <w:lang w:val="en-US" w:eastAsia="zh-CN"/>
        </w:rPr>
        <w:t>于</w:t>
      </w:r>
      <w:r>
        <w:rPr>
          <w:rFonts w:hint="default" w:ascii="仿宋_GB2312" w:hAnsi="仿宋_GB2312" w:eastAsia="仿宋_GB2312" w:cs="仿宋_GB2312"/>
          <w:b w:val="0"/>
          <w:sz w:val="32"/>
          <w:szCs w:val="32"/>
          <w:lang w:val="en-US" w:eastAsia="zh-CN"/>
        </w:rPr>
        <w:t>202</w:t>
      </w:r>
      <w:r>
        <w:rPr>
          <w:rFonts w:hint="eastAsia" w:ascii="仿宋_GB2312" w:hAnsi="仿宋_GB2312" w:eastAsia="仿宋_GB2312" w:cs="仿宋_GB2312"/>
          <w:b w:val="0"/>
          <w:sz w:val="32"/>
          <w:szCs w:val="32"/>
          <w:lang w:val="en-US" w:eastAsia="zh-CN"/>
        </w:rPr>
        <w:t>2</w:t>
      </w:r>
      <w:r>
        <w:rPr>
          <w:rFonts w:hint="default" w:ascii="仿宋_GB2312" w:hAnsi="仿宋_GB2312" w:eastAsia="仿宋_GB2312" w:cs="仿宋_GB2312"/>
          <w:b w:val="0"/>
          <w:sz w:val="32"/>
          <w:szCs w:val="32"/>
          <w:lang w:val="en-US" w:eastAsia="zh-CN"/>
        </w:rPr>
        <w:t>年</w:t>
      </w:r>
      <w:r>
        <w:rPr>
          <w:rFonts w:hint="eastAsia" w:ascii="仿宋_GB2312" w:hAnsi="仿宋_GB2312" w:eastAsia="仿宋_GB2312" w:cs="仿宋_GB2312"/>
          <w:b w:val="0"/>
          <w:sz w:val="32"/>
          <w:szCs w:val="32"/>
          <w:lang w:val="en-US" w:eastAsia="zh-CN"/>
        </w:rPr>
        <w:t>正式验收启用。自</w:t>
      </w:r>
      <w:r>
        <w:rPr>
          <w:rFonts w:hint="default" w:ascii="仿宋_GB2312" w:hAnsi="仿宋_GB2312" w:eastAsia="仿宋_GB2312" w:cs="仿宋_GB2312"/>
          <w:b w:val="0"/>
          <w:sz w:val="32"/>
          <w:szCs w:val="32"/>
          <w:lang w:val="en-US" w:eastAsia="zh-CN"/>
        </w:rPr>
        <w:t>上线以来，坚持智慧政务创新、数据赋能政务的理念，有效地提高了机关工作效率，减轻了基层负担。全市共100多</w:t>
      </w:r>
      <w:r>
        <w:rPr>
          <w:rFonts w:hint="eastAsia" w:ascii="仿宋_GB2312" w:hAnsi="仿宋_GB2312" w:eastAsia="仿宋_GB2312" w:cs="仿宋_GB2312"/>
          <w:b w:val="0"/>
          <w:sz w:val="32"/>
          <w:szCs w:val="32"/>
          <w:lang w:val="en-US" w:eastAsia="zh-CN"/>
        </w:rPr>
        <w:t>个</w:t>
      </w:r>
      <w:r>
        <w:rPr>
          <w:rFonts w:hint="default" w:ascii="仿宋_GB2312" w:hAnsi="仿宋_GB2312" w:eastAsia="仿宋_GB2312" w:cs="仿宋_GB2312"/>
          <w:b w:val="0"/>
          <w:sz w:val="32"/>
          <w:szCs w:val="32"/>
          <w:lang w:val="en-US" w:eastAsia="zh-CN"/>
        </w:rPr>
        <w:t>单位完成了接入和使用工作，效果较好。</w:t>
      </w:r>
      <w:r>
        <w:rPr>
          <w:rFonts w:hint="eastAsia" w:ascii="仿宋_GB2312" w:hAnsi="仿宋_GB2312" w:eastAsia="仿宋_GB2312" w:cs="仿宋_GB2312"/>
          <w:b w:val="0"/>
          <w:sz w:val="32"/>
          <w:szCs w:val="32"/>
          <w:lang w:val="en-US" w:eastAsia="zh-CN"/>
        </w:rPr>
        <w:t>经过两年</w:t>
      </w:r>
      <w:r>
        <w:rPr>
          <w:rFonts w:hint="default" w:ascii="仿宋_GB2312" w:hAnsi="仿宋_GB2312" w:eastAsia="仿宋_GB2312" w:cs="仿宋_GB2312"/>
          <w:b w:val="0"/>
          <w:sz w:val="32"/>
          <w:szCs w:val="32"/>
          <w:lang w:val="en-US" w:eastAsia="zh-CN"/>
        </w:rPr>
        <w:t>时间的</w:t>
      </w:r>
      <w:r>
        <w:rPr>
          <w:rFonts w:hint="eastAsia" w:ascii="仿宋_GB2312" w:hAnsi="仿宋_GB2312" w:eastAsia="仿宋_GB2312" w:cs="仿宋_GB2312"/>
          <w:b w:val="0"/>
          <w:sz w:val="32"/>
          <w:szCs w:val="32"/>
          <w:lang w:val="en-US" w:eastAsia="zh-CN"/>
        </w:rPr>
        <w:t>实际</w:t>
      </w:r>
      <w:r>
        <w:rPr>
          <w:rFonts w:hint="default" w:ascii="仿宋_GB2312" w:hAnsi="仿宋_GB2312" w:eastAsia="仿宋_GB2312" w:cs="仿宋_GB2312"/>
          <w:b w:val="0"/>
          <w:sz w:val="32"/>
          <w:szCs w:val="32"/>
          <w:lang w:val="en-US" w:eastAsia="zh-CN"/>
        </w:rPr>
        <w:t>使用，</w:t>
      </w:r>
      <w:r>
        <w:rPr>
          <w:rFonts w:hint="eastAsia" w:ascii="仿宋_GB2312" w:hAnsi="仿宋_GB2312" w:eastAsia="仿宋_GB2312" w:cs="仿宋_GB2312"/>
          <w:b w:val="0"/>
          <w:sz w:val="32"/>
          <w:szCs w:val="32"/>
          <w:lang w:val="en-US" w:eastAsia="zh-CN"/>
        </w:rPr>
        <w:t>市委办、市府办对</w:t>
      </w:r>
      <w:r>
        <w:rPr>
          <w:rFonts w:hint="eastAsia" w:ascii="仿宋_GB2312" w:hAnsi="仿宋_GB2312" w:eastAsia="仿宋_GB2312" w:cs="仿宋_GB2312"/>
          <w:b w:val="0"/>
          <w:sz w:val="32"/>
          <w:szCs w:val="32"/>
          <w:lang w:val="zh-CN"/>
        </w:rPr>
        <w:t>开平市智慧会议管理系统</w:t>
      </w:r>
      <w:r>
        <w:rPr>
          <w:rFonts w:hint="eastAsia" w:ascii="仿宋_GB2312" w:hAnsi="仿宋_GB2312" w:eastAsia="仿宋_GB2312" w:cs="仿宋_GB2312"/>
          <w:b w:val="0"/>
          <w:sz w:val="32"/>
          <w:szCs w:val="32"/>
          <w:lang w:val="en-US" w:eastAsia="zh-CN"/>
        </w:rPr>
        <w:t>功能模块提出</w:t>
      </w:r>
      <w:r>
        <w:rPr>
          <w:rFonts w:hint="default" w:ascii="仿宋_GB2312" w:hAnsi="仿宋_GB2312" w:eastAsia="仿宋_GB2312" w:cs="仿宋_GB2312"/>
          <w:b w:val="0"/>
          <w:sz w:val="32"/>
          <w:szCs w:val="32"/>
          <w:lang w:val="en-US" w:eastAsia="zh-CN"/>
        </w:rPr>
        <w:t>新的需求，需要</w:t>
      </w:r>
      <w:r>
        <w:rPr>
          <w:rFonts w:hint="eastAsia" w:ascii="仿宋_GB2312" w:hAnsi="仿宋_GB2312" w:eastAsia="仿宋_GB2312" w:cs="仿宋_GB2312"/>
          <w:b w:val="0"/>
          <w:sz w:val="32"/>
          <w:szCs w:val="32"/>
          <w:lang w:val="en-US" w:eastAsia="zh-CN"/>
        </w:rPr>
        <w:t>对系统</w:t>
      </w:r>
      <w:r>
        <w:rPr>
          <w:rFonts w:hint="default" w:ascii="仿宋_GB2312" w:hAnsi="仿宋_GB2312" w:eastAsia="仿宋_GB2312" w:cs="仿宋_GB2312"/>
          <w:b w:val="0"/>
          <w:sz w:val="32"/>
          <w:szCs w:val="32"/>
          <w:lang w:val="en-US" w:eastAsia="zh-CN"/>
        </w:rPr>
        <w:t>进行进一步完善迭代升级。</w:t>
      </w:r>
      <w:r>
        <w:rPr>
          <w:rFonts w:hint="eastAsia" w:ascii="仿宋_GB2312" w:hAnsi="仿宋_GB2312" w:eastAsia="仿宋_GB2312" w:cs="仿宋_GB2312"/>
          <w:b w:val="0"/>
          <w:sz w:val="32"/>
          <w:szCs w:val="32"/>
          <w:lang w:val="zh-CN"/>
        </w:rPr>
        <w:t>开平市智慧会议管理系统</w:t>
      </w:r>
      <w:r>
        <w:rPr>
          <w:rFonts w:hint="default" w:ascii="仿宋_GB2312" w:hAnsi="仿宋_GB2312" w:eastAsia="仿宋_GB2312" w:cs="仿宋_GB2312"/>
          <w:b w:val="0"/>
          <w:sz w:val="32"/>
          <w:szCs w:val="32"/>
          <w:lang w:val="en-US" w:eastAsia="zh-CN"/>
        </w:rPr>
        <w:t>维护期于2024年1月17日到期</w:t>
      </w:r>
      <w:r>
        <w:rPr>
          <w:rFonts w:hint="eastAsia" w:ascii="仿宋_GB2312" w:hAnsi="仿宋_GB2312" w:eastAsia="仿宋_GB2312" w:cs="仿宋_GB2312"/>
          <w:b w:val="0"/>
          <w:sz w:val="32"/>
          <w:szCs w:val="32"/>
          <w:lang w:val="en-US" w:eastAsia="zh-CN"/>
        </w:rPr>
        <w:t>，</w:t>
      </w:r>
      <w:r>
        <w:rPr>
          <w:rFonts w:hint="default" w:ascii="仿宋_GB2312" w:hAnsi="仿宋_GB2312" w:eastAsia="仿宋_GB2312" w:cs="仿宋_GB2312"/>
          <w:b w:val="0"/>
          <w:sz w:val="32"/>
          <w:szCs w:val="32"/>
          <w:lang w:val="en-US" w:eastAsia="zh-CN"/>
        </w:rPr>
        <w:t>为了保证系统的稳定运行，需要对系统提供专业的运维保障服务。</w:t>
      </w:r>
      <w:r>
        <w:rPr>
          <w:rFonts w:hint="eastAsia" w:ascii="黑体" w:hAnsi="黑体" w:eastAsia="黑体" w:cs="黑体"/>
          <w:b w:val="0"/>
          <w:sz w:val="32"/>
          <w:szCs w:val="32"/>
          <w:lang w:val="zh-CN" w:eastAsia="zh-CN"/>
        </w:rPr>
        <w:t>二、</w:t>
      </w:r>
      <w:r>
        <w:rPr>
          <w:rFonts w:hint="eastAsia" w:ascii="黑体" w:hAnsi="黑体" w:eastAsia="黑体" w:cs="黑体"/>
          <w:b w:val="0"/>
          <w:sz w:val="32"/>
          <w:szCs w:val="32"/>
          <w:lang w:val="zh-CN"/>
        </w:rPr>
        <w:t>供应商资格要求</w:t>
      </w:r>
    </w:p>
    <w:p>
      <w:pPr>
        <w:pStyle w:val="21"/>
        <w:pageBreakBefore w:val="0"/>
        <w:kinsoku/>
        <w:wordWrap/>
        <w:overflowPunct/>
        <w:topLinePunct w:val="0"/>
        <w:bidi w:val="0"/>
        <w:snapToGrid w:val="0"/>
        <w:spacing w:line="560" w:lineRule="exact"/>
        <w:ind w:firstLine="560"/>
        <w:textAlignment w:val="auto"/>
        <w:rPr>
          <w:rFonts w:hint="eastAsia" w:ascii="楷体" w:hAnsi="楷体" w:eastAsia="楷体" w:cs="楷体"/>
          <w:b w:val="0"/>
          <w:sz w:val="32"/>
          <w:szCs w:val="32"/>
        </w:rPr>
      </w:pPr>
      <w:r>
        <w:rPr>
          <w:rFonts w:hint="eastAsia" w:ascii="楷体" w:hAnsi="楷体" w:eastAsia="楷体" w:cs="楷体"/>
          <w:b w:val="0"/>
          <w:sz w:val="32"/>
          <w:szCs w:val="32"/>
          <w:lang w:val="en-US" w:eastAsia="zh-CN"/>
        </w:rPr>
        <w:t>（一）</w:t>
      </w:r>
      <w:r>
        <w:rPr>
          <w:rFonts w:hint="eastAsia" w:ascii="楷体" w:hAnsi="楷体" w:eastAsia="楷体" w:cs="楷体"/>
          <w:b w:val="0"/>
          <w:sz w:val="32"/>
          <w:szCs w:val="32"/>
        </w:rPr>
        <w:t>供应商应具备《政府采购法》第二十二条规定的条件，提供下列材料：</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具有独立承担民事责任的能力：</w:t>
      </w:r>
      <w:r>
        <w:rPr>
          <w:rFonts w:hint="eastAsia" w:ascii="仿宋_GB2312" w:hAnsi="仿宋_GB2312" w:eastAsia="仿宋_GB2312" w:cs="仿宋_GB2312"/>
          <w:b w:val="0"/>
          <w:sz w:val="32"/>
          <w:szCs w:val="32"/>
        </w:rPr>
        <w:t>有效期内的工商营业执照（或事业单位法人证书，或社会团体法人登记证书）、组织机构代码证及税务登记证复印件（或“三证合一”营业执照复印件）。</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有依法缴纳税收和社会保障资金的良好记录：</w:t>
      </w:r>
      <w:r>
        <w:rPr>
          <w:rFonts w:hint="eastAsia" w:ascii="仿宋_GB2312" w:hAnsi="仿宋_GB2312" w:eastAsia="仿宋_GB2312" w:cs="仿宋_GB2312"/>
          <w:b w:val="0"/>
          <w:sz w:val="32"/>
          <w:szCs w:val="32"/>
        </w:rPr>
        <w:t>投标截止日前6个月内任意一个月的依法缴纳税收的证明文件复印件【缴纳税收的证明文件是指：加盖银行业务章的税收回单，或加盖税务部门电子征税专用章的税收电子转账专用完税证，或加盖税务部门公章的纳税证明；如供应商在规定的时间段内没有发生业务的，则提供税务部门出具的纳税证明，或加盖税务部门公章的纳税申报表】；投标截止日前6个月内任意一个月社保部门（或税务部门）出具的单位参加社会保险的证明文件复印件，或合法有效的社保部门（或税务部门）网站的电子证明打印件【内容应包含单位名称、参保（或缴费）信息、电子印章和日期等】。</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具有良好的商业信誉和健全的财务会计制度：</w:t>
      </w:r>
      <w:r>
        <w:rPr>
          <w:rFonts w:hint="eastAsia" w:ascii="仿宋_GB2312" w:hAnsi="仿宋_GB2312" w:eastAsia="仿宋_GB2312" w:cs="仿宋_GB2312"/>
          <w:b w:val="0"/>
          <w:sz w:val="32"/>
          <w:szCs w:val="32"/>
        </w:rPr>
        <w:t>202</w:t>
      </w:r>
      <w:r>
        <w:rPr>
          <w:rFonts w:hint="eastAsia" w:ascii="仿宋_GB2312" w:hAnsi="仿宋_GB2312" w:eastAsia="仿宋_GB2312" w:cs="仿宋_GB2312"/>
          <w:b w:val="0"/>
          <w:sz w:val="32"/>
          <w:szCs w:val="32"/>
          <w:lang w:val="en-US" w:eastAsia="zh-CN"/>
        </w:rPr>
        <w:t>3</w:t>
      </w:r>
      <w:bookmarkStart w:id="0" w:name="_GoBack"/>
      <w:bookmarkEnd w:id="0"/>
      <w:r>
        <w:rPr>
          <w:rFonts w:hint="eastAsia" w:ascii="仿宋_GB2312" w:hAnsi="仿宋_GB2312" w:eastAsia="仿宋_GB2312" w:cs="仿宋_GB2312"/>
          <w:b w:val="0"/>
          <w:sz w:val="32"/>
          <w:szCs w:val="32"/>
        </w:rPr>
        <w:t>年年度财务报表或投标截止日前6个月内任意一个月的财务报表。【财务报表须包含资产负债表、利润表】。</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履行合同所必需的设备和专业技术能力：</w:t>
      </w:r>
      <w:r>
        <w:rPr>
          <w:rFonts w:hint="eastAsia" w:ascii="仿宋_GB2312" w:hAnsi="仿宋_GB2312" w:eastAsia="仿宋_GB2312" w:cs="仿宋_GB2312"/>
          <w:b w:val="0"/>
          <w:sz w:val="32"/>
          <w:szCs w:val="32"/>
        </w:rPr>
        <w:t>按投标（响应）文件格式填报设备及专业技术能力情况。</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参加采购活动前3年内，在经营活动中没有重大违法记录：</w:t>
      </w:r>
      <w:r>
        <w:rPr>
          <w:rFonts w:hint="eastAsia" w:ascii="仿宋_GB2312" w:hAnsi="仿宋_GB2312" w:eastAsia="仿宋_GB2312" w:cs="仿宋_GB2312"/>
          <w:b w:val="0"/>
          <w:sz w:val="32"/>
          <w:szCs w:val="32"/>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信用记录：</w:t>
      </w:r>
      <w:r>
        <w:rPr>
          <w:rFonts w:hint="eastAsia" w:ascii="仿宋_GB2312" w:hAnsi="仿宋_GB2312" w:eastAsia="仿宋_GB2312" w:cs="仿宋_GB2312"/>
          <w:b w:val="0"/>
          <w:sz w:val="32"/>
          <w:szCs w:val="32"/>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投标（响应）截止时间当天在“信用中国”网站（</w:t>
      </w:r>
      <w:r>
        <w:rPr>
          <w:rFonts w:hint="eastAsia" w:ascii="仿宋_GB2312" w:hAnsi="仿宋_GB2312" w:eastAsia="仿宋_GB2312" w:cs="仿宋_GB2312"/>
          <w:b w:val="0"/>
          <w:sz w:val="32"/>
          <w:szCs w:val="32"/>
        </w:rPr>
        <w:fldChar w:fldCharType="begin"/>
      </w:r>
      <w:r>
        <w:rPr>
          <w:rFonts w:hint="eastAsia" w:ascii="仿宋_GB2312" w:hAnsi="仿宋_GB2312" w:eastAsia="仿宋_GB2312" w:cs="仿宋_GB2312"/>
          <w:b w:val="0"/>
          <w:sz w:val="32"/>
          <w:szCs w:val="32"/>
        </w:rPr>
        <w:instrText xml:space="preserve"> HYPERLINK "http://www.creditchina.gov.cn/" \h </w:instrText>
      </w:r>
      <w:r>
        <w:rPr>
          <w:rFonts w:hint="eastAsia" w:ascii="仿宋_GB2312" w:hAnsi="仿宋_GB2312" w:eastAsia="仿宋_GB2312" w:cs="仿宋_GB2312"/>
          <w:b w:val="0"/>
          <w:sz w:val="32"/>
          <w:szCs w:val="32"/>
        </w:rPr>
        <w:fldChar w:fldCharType="separate"/>
      </w:r>
      <w:r>
        <w:rPr>
          <w:rFonts w:hint="eastAsia" w:ascii="仿宋_GB2312" w:hAnsi="仿宋_GB2312" w:eastAsia="仿宋_GB2312" w:cs="仿宋_GB2312"/>
          <w:b w:val="0"/>
          <w:sz w:val="32"/>
          <w:szCs w:val="32"/>
        </w:rPr>
        <w:t>www.creditchina.gov.cn</w:t>
      </w:r>
      <w:r>
        <w:rPr>
          <w:rFonts w:hint="eastAsia" w:ascii="仿宋_GB2312" w:hAnsi="仿宋_GB2312" w:eastAsia="仿宋_GB2312" w:cs="仿宋_GB2312"/>
          <w:b w:val="0"/>
          <w:sz w:val="32"/>
          <w:szCs w:val="32"/>
        </w:rPr>
        <w:fldChar w:fldCharType="end"/>
      </w:r>
      <w:r>
        <w:rPr>
          <w:rFonts w:hint="eastAsia" w:ascii="仿宋_GB2312" w:hAnsi="仿宋_GB2312" w:eastAsia="仿宋_GB2312" w:cs="仿宋_GB2312"/>
          <w:b w:val="0"/>
          <w:sz w:val="32"/>
          <w:szCs w:val="32"/>
        </w:rPr>
        <w:t>）及中国政府采购网（</w:t>
      </w:r>
      <w:r>
        <w:rPr>
          <w:rFonts w:hint="eastAsia" w:ascii="仿宋_GB2312" w:hAnsi="仿宋_GB2312" w:eastAsia="仿宋_GB2312" w:cs="仿宋_GB2312"/>
          <w:b w:val="0"/>
          <w:sz w:val="32"/>
          <w:szCs w:val="32"/>
        </w:rPr>
        <w:fldChar w:fldCharType="begin"/>
      </w:r>
      <w:r>
        <w:rPr>
          <w:rFonts w:hint="eastAsia" w:ascii="仿宋_GB2312" w:hAnsi="仿宋_GB2312" w:eastAsia="仿宋_GB2312" w:cs="仿宋_GB2312"/>
          <w:b w:val="0"/>
          <w:sz w:val="32"/>
          <w:szCs w:val="32"/>
        </w:rPr>
        <w:instrText xml:space="preserve"> HYPERLINK "http://www.ccgp.gov.cn/" \h </w:instrText>
      </w:r>
      <w:r>
        <w:rPr>
          <w:rFonts w:hint="eastAsia" w:ascii="仿宋_GB2312" w:hAnsi="仿宋_GB2312" w:eastAsia="仿宋_GB2312" w:cs="仿宋_GB2312"/>
          <w:b w:val="0"/>
          <w:sz w:val="32"/>
          <w:szCs w:val="32"/>
        </w:rPr>
        <w:fldChar w:fldCharType="separate"/>
      </w:r>
      <w:r>
        <w:rPr>
          <w:rFonts w:hint="eastAsia" w:ascii="仿宋_GB2312" w:hAnsi="仿宋_GB2312" w:eastAsia="仿宋_GB2312" w:cs="仿宋_GB2312"/>
          <w:b w:val="0"/>
          <w:sz w:val="32"/>
          <w:szCs w:val="32"/>
        </w:rPr>
        <w:t>http://www.ccgp.gov.cn/</w:t>
      </w:r>
      <w:r>
        <w:rPr>
          <w:rFonts w:hint="eastAsia" w:ascii="仿宋_GB2312" w:hAnsi="仿宋_GB2312" w:eastAsia="仿宋_GB2312" w:cs="仿宋_GB2312"/>
          <w:b w:val="0"/>
          <w:sz w:val="32"/>
          <w:szCs w:val="32"/>
        </w:rPr>
        <w:fldChar w:fldCharType="end"/>
      </w:r>
      <w:r>
        <w:rPr>
          <w:rFonts w:hint="eastAsia" w:ascii="仿宋_GB2312" w:hAnsi="仿宋_GB2312" w:eastAsia="仿宋_GB2312" w:cs="仿宋_GB2312"/>
          <w:b w:val="0"/>
          <w:sz w:val="32"/>
          <w:szCs w:val="32"/>
        </w:rPr>
        <w:t>）查询结果为准，如相关失信记录已失效，供应商需提供相关证明资料）。</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供应商必须符合法律、行政法规规定的其他条件：</w:t>
      </w:r>
      <w:r>
        <w:rPr>
          <w:rFonts w:hint="eastAsia" w:ascii="仿宋_GB2312" w:hAnsi="仿宋_GB2312" w:eastAsia="仿宋_GB2312" w:cs="仿宋_GB2312"/>
          <w:b w:val="0"/>
          <w:sz w:val="32"/>
          <w:szCs w:val="32"/>
        </w:rPr>
        <w:t>单位负责人为同一人或者存在直接控股、管理关系的不同供应商，不得同时参加本采购项目（包组）投标。为本项目提供整体设计、规范编制或者项目管理、监理、检测等服务的供应商，不得再参与本项目投标。 投标（报价）函相关承诺要求内容。</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楷体" w:hAnsi="楷体" w:eastAsia="楷体" w:cs="楷体"/>
          <w:b w:val="0"/>
          <w:sz w:val="32"/>
          <w:szCs w:val="32"/>
          <w:lang w:val="en-US" w:eastAsia="zh-CN"/>
        </w:rPr>
        <w:t>（二）</w:t>
      </w:r>
      <w:r>
        <w:rPr>
          <w:rFonts w:hint="eastAsia" w:ascii="楷体" w:hAnsi="楷体" w:eastAsia="楷体" w:cs="楷体"/>
          <w:b w:val="0"/>
          <w:sz w:val="32"/>
          <w:szCs w:val="32"/>
        </w:rPr>
        <w:t>落实政府采购政策需满足的资格要求：</w:t>
      </w:r>
      <w:r>
        <w:rPr>
          <w:rFonts w:hint="eastAsia" w:ascii="仿宋_GB2312" w:hAnsi="仿宋_GB2312" w:eastAsia="仿宋_GB2312" w:cs="仿宋_GB2312"/>
          <w:b w:val="0"/>
          <w:sz w:val="32"/>
          <w:szCs w:val="32"/>
        </w:rPr>
        <w:t>本项目不属于专门面向中小企业采购的项目。</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楷体" w:hAnsi="楷体" w:eastAsia="楷体" w:cs="楷体"/>
          <w:b w:val="0"/>
          <w:sz w:val="32"/>
          <w:szCs w:val="32"/>
          <w:lang w:val="en-US" w:eastAsia="zh-CN"/>
        </w:rPr>
        <w:t>（三）</w:t>
      </w:r>
      <w:r>
        <w:rPr>
          <w:rFonts w:hint="eastAsia" w:ascii="楷体" w:hAnsi="楷体" w:eastAsia="楷体" w:cs="楷体"/>
          <w:b w:val="0"/>
          <w:sz w:val="32"/>
          <w:szCs w:val="32"/>
        </w:rPr>
        <w:t>本项目特定的资格要求：</w:t>
      </w:r>
      <w:r>
        <w:rPr>
          <w:rFonts w:hint="eastAsia" w:ascii="仿宋_GB2312" w:hAnsi="仿宋_GB2312" w:eastAsia="仿宋_GB2312" w:cs="仿宋_GB2312"/>
          <w:b w:val="0"/>
          <w:sz w:val="32"/>
          <w:szCs w:val="32"/>
        </w:rPr>
        <w:t>无。</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黑体" w:hAnsi="黑体" w:eastAsia="黑体" w:cs="黑体"/>
          <w:b w:val="0"/>
          <w:sz w:val="32"/>
          <w:szCs w:val="32"/>
          <w:lang w:val="en-US" w:eastAsia="zh-CN"/>
        </w:rPr>
      </w:pPr>
      <w:r>
        <w:rPr>
          <w:rFonts w:hint="eastAsia" w:ascii="黑体" w:hAnsi="黑体" w:eastAsia="黑体" w:cs="黑体"/>
          <w:b w:val="0"/>
          <w:sz w:val="32"/>
          <w:szCs w:val="32"/>
          <w:lang w:val="zh-CN" w:eastAsia="zh-CN"/>
        </w:rPr>
        <w:t>三、</w:t>
      </w:r>
      <w:r>
        <w:rPr>
          <w:rFonts w:hint="eastAsia" w:ascii="黑体" w:hAnsi="黑体" w:eastAsia="黑体" w:cs="黑体"/>
          <w:b w:val="0"/>
          <w:sz w:val="32"/>
          <w:szCs w:val="32"/>
          <w:lang w:val="en-US" w:eastAsia="zh-CN"/>
        </w:rPr>
        <w:t>服务内容</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楷体" w:hAnsi="楷体" w:eastAsia="楷体" w:cs="楷体"/>
          <w:b w:val="0"/>
          <w:sz w:val="32"/>
          <w:szCs w:val="32"/>
          <w:lang w:val="en-US" w:eastAsia="zh-CN"/>
        </w:rPr>
      </w:pPr>
      <w:r>
        <w:rPr>
          <w:rFonts w:hint="eastAsia" w:ascii="楷体" w:hAnsi="楷体" w:eastAsia="楷体" w:cs="楷体"/>
          <w:b w:val="0"/>
          <w:sz w:val="32"/>
          <w:szCs w:val="32"/>
          <w:lang w:val="en-US" w:eastAsia="zh-CN"/>
        </w:rPr>
        <w:t>（一）系统维护服务</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1.系统管理运营服务：对服务器的操作系统、数据库管理系统等基础支撑软件进行维护，及时修复软件漏洞，及时处理异常情况，保证基础支撑软件的正常运行，为系统的正常运行提供支撑。</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（1）监控与管理：监测服务器、网络和系统基础设施的运行状态，及时发现和解决潜在问题，保障系统的正常运行。同时，建立相应的管理机制，包括审查日志文件、维护配置信息和执行预防性维护等。</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（2）容量规划与管理：通过分析历史数据和未来的增长趋势，对系统软硬件资源进行容量规划和管理，确保系统能够满足当前和未来的需求。</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（3）操作系统和数据库管理：负责操作系统和数据库的安装、配置和升级工作，确保其安全、稳定和高效运行。包括定期进行补丁更新、配置文件优化、数据库备份和恢复策略的制定等。</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（4）用户支持和故障排除：提供及时的用户支持，解答用户的疑问和问题，并进行故障排除和问题解决。包括通过电话、电子邮件或在线聊天等方式为用户提供技术支持，并记录和跟踪问题的处理过程。</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（5）版本控制管理：跟踪和控制软件部署和使用情况，确保合规性和合理利用。同时，建立版本控制系统，管理涉及的第三方软件及控件的不同版本和变更，以便跟踪和控制软件配置和更新。</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（6）对系统突发情况（如系统服务停止、系统崩溃、数据丢失等）提供快速处理服务。</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（7）每年向用户提供年度维护总结报告。</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2.系统数据处理服务：</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（1）数据备份与恢复：制定并执行数据备份计划，确保数据定期备份，并建立合适的恢复机制，以便在数据丢失或灾难发生时能够及时恢复数据。通过备份和恢复操作，确保数据的完整性和安全性。</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数据管理策略实施：制定并执行综合的数据管理策略，包括数据存储、备份频率和数据归档等。根据不同类型的数据进行分类管理，确定数据存储的位置和方式，并设置适当的备份频率以及数据归档规则，以满足数据保留和存储需求。</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数据库性能监测与优化：建立数据库性能监测系统，实时监测数据库的性能指标，如响应时间、吞吐量和资源利用率等。通过分析和优化数据库查询、索引和配置等，提高数据库的性能，并进行定期维护任务，如数据库清理、重建索引和收集统计信息等。</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数据迁移与转换：负责处理数据的迁移和转换工作，确保数据能够顺利迁移到新环境或转换为其他格式。这可能涉及数据导出和导入、数据格式转换、数据映射和数据一致性验证等工作，以确保数据在迁移或转换过程中的完整性和准确性。</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（5）数据访问权限与安全管理：建立合适的数据访问权限控制机制，确保只有经授权的用户可以访问敏感数据。同时，定期进行安全审计和漏洞扫描，在发现安全风险时及时采取相应的</w:t>
      </w:r>
      <w:r>
        <w:rPr>
          <w:rFonts w:hint="eastAsia" w:ascii="仿宋_GB2312" w:hAnsi="仿宋_GB2312" w:eastAsia="仿宋_GB2312" w:cs="仿宋_GB2312"/>
          <w:sz w:val="32"/>
          <w:szCs w:val="32"/>
          <w:lang w:val="en-US" w:eastAsia="zh-CN"/>
        </w:rPr>
        <w:t>修复措施。</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3.系统安全运营服务：构建安全运营体系、安全知识体系，融合、增强安全能力，以“安全能力”进行赋能，以“安全数据”提供决策，以“安全能力”作为交付，通过该运营模式来发现问题、验证问题、分析问题、响应处置、解决问题，并持续迭代优化，实现安全的共同目标。</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（1）定期安检：对系统进行定期安全检查，检查系统杀毒软件更新情况，对系统进行诊断测试，日志查阅等，确保系统的安全稳定。</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（2）漏洞扫描和安全审计：定期进行漏洞扫描和安全审计，发现系统和应用程序中的潜在安全漏洞。及时修补和更新软件，以消除这些安全漏洞，并持续评估和改进安全策略和控制措施。</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监测和分析安全事件：建立安全事件监测和分析机制，对网络流量和日志进行实时监测。通过检测和分析安全事件，能够及时发现异常活动和潜在的安全威胁，并采取相应的响应和处置措施，以减轻潜在的风险和损害。</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）及时响应有关部门对系统安全方面的要求和规范，及时整改和排查安全风险。</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）在重大保障期内，落实7×24小时值班制度，确保系统的安全性符合有关网络安全的文件要求，保障系统和数据安全。</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）用户系统指导与安全教育：提供用户系统指导，帮助用户了解和遵守安全策略。加强用户的安全意识和培训，通过分享安全信息和提供相关文档等方式，使用户能够主动参与保护系统安全和预防安全事件。</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4.系统其他运营服务：</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系统日志和事件管理：负责管理系统日志和事件记录，定期进行故障和异常分析。通过监控和分析系统日志和事件，能够及时发现潜在的问题和风险，并采取相应的纠正措施，以确保系统的稳定性和可靠性。</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报告和统计数据生成：定期生成报告和统计数据，提供系统性能和使用情况的分析。通过收集和分析关键指标和数据，可以评估系统的性能、资源利用率和用户行为等，为决策提供依据，并识别改进机会和优化措施。</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变更管理和问题管理：实施变更管理和问题管理，确保系统的稳定性和减少故障风险。制定并执行变更管理流程，确保系统变更的规范性和可控性。同时，建立问题管理机制，追踪和处理系统故障和问题，并进行根本原因分析和持续改进。</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（4）容灾和业务恢复管理：制定和测试容灾和业务恢复计划。通过评估风险、制定应急响应策略和实施恢复计划，确保在灾难事件发生时能够迅速恢复业务，并最大限度地减少业务中断时间和数据损失。</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sz w:val="32"/>
          <w:szCs w:val="32"/>
          <w:lang w:val="en-US" w:eastAsia="zh-CN"/>
        </w:rPr>
        <w:t>5.运维人员安排：务商在实施服务时，需组建专门的运维团队，人数不能低于4人，并保证项目管理团队的主要人员稳定。团队组件后，需建立相关的作业流程和响应机制，进行合理的人员岗位设置和职责定义，保证专人专岗并设置人员备份，配备具有相应能力的人员和必要的工具，并定期进行专业培训，以提高服务能力。</w:t>
      </w:r>
      <w:r>
        <w:rPr>
          <w:rFonts w:hint="eastAsia" w:ascii="仿宋_GB2312" w:hAnsi="仿宋_GB2312" w:eastAsia="仿宋_GB2312" w:cs="仿宋_GB2312"/>
          <w:sz w:val="32"/>
          <w:szCs w:val="32"/>
        </w:rPr>
        <w:t>团队分工如下：</w:t>
      </w:r>
    </w:p>
    <w:tbl>
      <w:tblPr>
        <w:tblStyle w:val="16"/>
        <w:tblW w:w="8850"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217"/>
        <w:gridCol w:w="5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773" w:type="dxa"/>
            <w:noWrap w:val="0"/>
            <w:vAlign w:val="center"/>
          </w:tcPr>
          <w:p>
            <w:pPr>
              <w:jc w:val="center"/>
              <w:rPr>
                <w:rFonts w:hint="eastAsia" w:ascii="仿宋" w:hAnsi="仿宋" w:eastAsia="仿宋" w:cs="仿宋"/>
                <w:sz w:val="32"/>
                <w:szCs w:val="32"/>
              </w:rPr>
            </w:pPr>
            <w:r>
              <w:rPr>
                <w:rFonts w:hint="eastAsia" w:ascii="仿宋" w:hAnsi="仿宋" w:eastAsia="仿宋" w:cs="仿宋"/>
                <w:sz w:val="32"/>
                <w:szCs w:val="32"/>
              </w:rPr>
              <w:t>岗位</w:t>
            </w:r>
          </w:p>
        </w:tc>
        <w:tc>
          <w:tcPr>
            <w:tcW w:w="1217" w:type="dxa"/>
            <w:noWrap w:val="0"/>
            <w:vAlign w:val="center"/>
          </w:tcPr>
          <w:p>
            <w:pPr>
              <w:jc w:val="center"/>
              <w:rPr>
                <w:rFonts w:hint="eastAsia" w:ascii="仿宋" w:hAnsi="仿宋" w:eastAsia="仿宋" w:cs="仿宋"/>
                <w:sz w:val="32"/>
                <w:szCs w:val="32"/>
              </w:rPr>
            </w:pPr>
            <w:r>
              <w:rPr>
                <w:rFonts w:hint="eastAsia" w:ascii="仿宋" w:hAnsi="仿宋" w:eastAsia="仿宋" w:cs="仿宋"/>
                <w:sz w:val="32"/>
                <w:szCs w:val="32"/>
              </w:rPr>
              <w:t>人数</w:t>
            </w:r>
          </w:p>
        </w:tc>
        <w:tc>
          <w:tcPr>
            <w:tcW w:w="5860" w:type="dxa"/>
            <w:noWrap w:val="0"/>
            <w:vAlign w:val="center"/>
          </w:tcPr>
          <w:p>
            <w:pPr>
              <w:jc w:val="center"/>
              <w:rPr>
                <w:rFonts w:hint="eastAsia" w:ascii="仿宋" w:hAnsi="仿宋" w:eastAsia="仿宋" w:cs="仿宋"/>
                <w:sz w:val="32"/>
                <w:szCs w:val="32"/>
              </w:rPr>
            </w:pPr>
            <w:r>
              <w:rPr>
                <w:rFonts w:hint="eastAsia" w:ascii="仿宋" w:hAnsi="仿宋" w:eastAsia="仿宋" w:cs="仿宋"/>
                <w:sz w:val="32"/>
                <w:szCs w:val="32"/>
              </w:rPr>
              <w:t>职责和工作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1773" w:type="dxa"/>
            <w:noWrap w:val="0"/>
            <w:vAlign w:val="center"/>
          </w:tcPr>
          <w:p>
            <w:pPr>
              <w:jc w:val="center"/>
              <w:rPr>
                <w:rFonts w:hint="eastAsia" w:ascii="仿宋" w:hAnsi="仿宋" w:eastAsia="仿宋" w:cs="仿宋"/>
                <w:sz w:val="32"/>
                <w:szCs w:val="32"/>
              </w:rPr>
            </w:pPr>
            <w:r>
              <w:rPr>
                <w:rFonts w:hint="eastAsia" w:ascii="仿宋" w:hAnsi="仿宋" w:eastAsia="仿宋" w:cs="仿宋"/>
                <w:sz w:val="32"/>
                <w:szCs w:val="32"/>
              </w:rPr>
              <w:t>项目经理</w:t>
            </w:r>
          </w:p>
        </w:tc>
        <w:tc>
          <w:tcPr>
            <w:tcW w:w="1217" w:type="dxa"/>
            <w:noWrap w:val="0"/>
            <w:vAlign w:val="center"/>
          </w:tcPr>
          <w:p>
            <w:pPr>
              <w:jc w:val="center"/>
              <w:rPr>
                <w:rFonts w:hint="eastAsia" w:ascii="仿宋" w:hAnsi="仿宋" w:eastAsia="仿宋" w:cs="仿宋"/>
                <w:sz w:val="32"/>
                <w:szCs w:val="32"/>
              </w:rPr>
            </w:pPr>
            <w:r>
              <w:rPr>
                <w:rFonts w:hint="eastAsia" w:ascii="仿宋" w:hAnsi="仿宋" w:eastAsia="仿宋" w:cs="仿宋"/>
                <w:sz w:val="32"/>
                <w:szCs w:val="32"/>
              </w:rPr>
              <w:t>1人</w:t>
            </w:r>
          </w:p>
        </w:tc>
        <w:tc>
          <w:tcPr>
            <w:tcW w:w="5860" w:type="dxa"/>
            <w:noWrap w:val="0"/>
            <w:vAlign w:val="center"/>
          </w:tcPr>
          <w:p>
            <w:pPr>
              <w:rPr>
                <w:rFonts w:hint="eastAsia" w:ascii="仿宋" w:hAnsi="仿宋" w:eastAsia="仿宋" w:cs="仿宋"/>
                <w:sz w:val="32"/>
                <w:szCs w:val="32"/>
              </w:rPr>
            </w:pPr>
            <w:r>
              <w:rPr>
                <w:rFonts w:hint="eastAsia" w:ascii="仿宋" w:hAnsi="仿宋" w:eastAsia="仿宋" w:cs="仿宋"/>
                <w:sz w:val="32"/>
                <w:szCs w:val="32"/>
              </w:rPr>
              <w:t>全面负责维护工作，对项目及客户负责，确保工作及时、标准、高效的完成。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773" w:type="dxa"/>
            <w:noWrap w:val="0"/>
            <w:vAlign w:val="center"/>
          </w:tcPr>
          <w:p>
            <w:pPr>
              <w:jc w:val="center"/>
              <w:rPr>
                <w:rFonts w:hint="eastAsia" w:ascii="仿宋" w:hAnsi="仿宋" w:eastAsia="仿宋" w:cs="仿宋"/>
                <w:sz w:val="32"/>
                <w:szCs w:val="32"/>
              </w:rPr>
            </w:pPr>
            <w:r>
              <w:rPr>
                <w:rFonts w:hint="eastAsia" w:ascii="仿宋" w:hAnsi="仿宋" w:eastAsia="仿宋" w:cs="仿宋"/>
                <w:sz w:val="32"/>
                <w:szCs w:val="32"/>
              </w:rPr>
              <w:t>运维工程师</w:t>
            </w:r>
          </w:p>
        </w:tc>
        <w:tc>
          <w:tcPr>
            <w:tcW w:w="1217" w:type="dxa"/>
            <w:noWrap w:val="0"/>
            <w:vAlign w:val="center"/>
          </w:tcPr>
          <w:p>
            <w:pPr>
              <w:jc w:val="center"/>
              <w:rPr>
                <w:rFonts w:hint="eastAsia" w:ascii="仿宋" w:hAnsi="仿宋" w:eastAsia="仿宋" w:cs="仿宋"/>
                <w:sz w:val="32"/>
                <w:szCs w:val="32"/>
              </w:rPr>
            </w:pPr>
            <w:r>
              <w:rPr>
                <w:rFonts w:hint="eastAsia" w:ascii="仿宋" w:hAnsi="仿宋" w:eastAsia="仿宋" w:cs="仿宋"/>
                <w:sz w:val="32"/>
                <w:szCs w:val="32"/>
              </w:rPr>
              <w:t>≥2人</w:t>
            </w:r>
          </w:p>
        </w:tc>
        <w:tc>
          <w:tcPr>
            <w:tcW w:w="5860" w:type="dxa"/>
            <w:noWrap w:val="0"/>
            <w:vAlign w:val="center"/>
          </w:tcPr>
          <w:p>
            <w:pPr>
              <w:rPr>
                <w:rFonts w:hint="eastAsia" w:ascii="仿宋" w:hAnsi="仿宋" w:eastAsia="仿宋" w:cs="仿宋"/>
                <w:sz w:val="32"/>
                <w:szCs w:val="32"/>
              </w:rPr>
            </w:pPr>
            <w:r>
              <w:rPr>
                <w:rFonts w:hint="eastAsia" w:ascii="仿宋" w:hAnsi="仿宋" w:eastAsia="仿宋" w:cs="仿宋"/>
                <w:sz w:val="32"/>
                <w:szCs w:val="32"/>
              </w:rPr>
              <w:t>完成系统的日常维护工作，并针对日常工作提出合理化建议。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773" w:type="dxa"/>
            <w:noWrap w:val="0"/>
            <w:vAlign w:val="center"/>
          </w:tcPr>
          <w:p>
            <w:pPr>
              <w:jc w:val="center"/>
              <w:rPr>
                <w:rFonts w:hint="eastAsia" w:ascii="仿宋" w:hAnsi="仿宋" w:eastAsia="仿宋" w:cs="仿宋"/>
                <w:sz w:val="32"/>
                <w:szCs w:val="32"/>
              </w:rPr>
            </w:pPr>
            <w:r>
              <w:rPr>
                <w:rFonts w:hint="eastAsia" w:ascii="仿宋" w:hAnsi="仿宋" w:eastAsia="仿宋" w:cs="仿宋"/>
                <w:sz w:val="32"/>
                <w:szCs w:val="32"/>
              </w:rPr>
              <w:t>客服代表</w:t>
            </w:r>
          </w:p>
        </w:tc>
        <w:tc>
          <w:tcPr>
            <w:tcW w:w="1217" w:type="dxa"/>
            <w:noWrap w:val="0"/>
            <w:vAlign w:val="center"/>
          </w:tcPr>
          <w:p>
            <w:pPr>
              <w:jc w:val="center"/>
              <w:rPr>
                <w:rFonts w:hint="eastAsia" w:ascii="仿宋" w:hAnsi="仿宋" w:eastAsia="仿宋" w:cs="仿宋"/>
                <w:sz w:val="32"/>
                <w:szCs w:val="32"/>
              </w:rPr>
            </w:pPr>
            <w:r>
              <w:rPr>
                <w:rFonts w:hint="eastAsia" w:ascii="仿宋" w:hAnsi="仿宋" w:eastAsia="仿宋" w:cs="仿宋"/>
                <w:sz w:val="32"/>
                <w:szCs w:val="32"/>
              </w:rPr>
              <w:t>≥1人</w:t>
            </w:r>
          </w:p>
        </w:tc>
        <w:tc>
          <w:tcPr>
            <w:tcW w:w="5860" w:type="dxa"/>
            <w:noWrap w:val="0"/>
            <w:vAlign w:val="center"/>
          </w:tcPr>
          <w:p>
            <w:pPr>
              <w:rPr>
                <w:rFonts w:hint="eastAsia" w:ascii="仿宋" w:hAnsi="仿宋" w:eastAsia="仿宋" w:cs="仿宋"/>
                <w:sz w:val="32"/>
                <w:szCs w:val="32"/>
              </w:rPr>
            </w:pPr>
            <w:r>
              <w:rPr>
                <w:rFonts w:hint="eastAsia" w:ascii="仿宋" w:hAnsi="仿宋" w:eastAsia="仿宋" w:cs="仿宋"/>
                <w:sz w:val="32"/>
                <w:szCs w:val="32"/>
              </w:rPr>
              <w:t>进行有效的客户沟通，维护良好的客户关系</w:t>
            </w:r>
          </w:p>
        </w:tc>
      </w:tr>
    </w:tbl>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kern w:val="2"/>
          <w:sz w:val="32"/>
          <w:szCs w:val="32"/>
          <w:lang w:val="en-US" w:eastAsia="zh-CN" w:bidi="ar-SA"/>
        </w:rPr>
      </w:pPr>
      <w:r>
        <w:rPr>
          <w:rFonts w:hint="eastAsia" w:ascii="楷体" w:hAnsi="楷体" w:eastAsia="楷体" w:cs="楷体"/>
          <w:b w:val="0"/>
          <w:kern w:val="2"/>
          <w:sz w:val="32"/>
          <w:szCs w:val="32"/>
          <w:lang w:val="en-US" w:eastAsia="zh-CN" w:bidi="ar-SA"/>
        </w:rPr>
        <w:t>（二）系统功能改善性服务</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升级改造PDF安全阅读器</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增加批注工具：使参会人员能够在文档上添加文字、圈圈等标记，并且可以选择不同颜色、粗细的工具笔，用户还可对批注进行编辑、删除等操作。批注功能使参加人员能够对重点内容或需要修改的部分进行明确和突出的标记，避免误解和遗漏，提高沟通的准确性。</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（2）增加批注上传功能：参会人员批注过后可选择保存在本地供个人参考记录，也可以选择将批注内容上传到系统后台，方便会务工作人员收集整理。</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增加批注管理功能：参加人员选择上传某一文件的批注后，在后台形成该文件多个版本的批注文件，同时记录上传时间、上传人，会议工作人员可以通过后台方便的收集批注信息，提高会议的协作效率和沟通质量。同时，也能够促进会议记录和总结的工作，为后续工作提供重要参考。</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增加系统预览页及导航功能：将文档的缩略图展示在侧边栏或底部栏上，方便参会人员快速浏览文档的结构和内容，实现快速定位和导航。通过预览页功能，参加人员可以快速浏览整个文档的缩略图，在会前准备和回顾过程中能够更好地把握文档结构和内容。</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升级改造会议附件管理模块：</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（1）建设会议附件上传和存储功能，允许会务工作人员在系统中将相关会议附件上传至指定位置，并确保安全可靠地存储。</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（2）会议工作人员可对文件设置合理的权限管理和访问控制机制，以确保只有授权的用户才能访问和下载会议附件。系统需有文件自动清理机制，确保信息的安全。</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（3）提供文档排序功能，支持文件的上移、下移和快速插入，使会务工作人员可以轻松自如的管理文档材料，支持文档的实时更新和删除功能。</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系统对接粤政易，实现组织架构导入、自动同步、单点登录、信息推送、会议阅览、会议报名等功能。</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其他系统完善性改造：根据用户的需求，对系统进一步完善系统。</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四、服务时间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2024年2月1日至2025年1月31日。</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五、服务报价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r>
        <w:rPr>
          <w:rFonts w:hint="eastAsia" w:ascii="仿宋_GB2312" w:hAnsi="仿宋_GB2312" w:eastAsia="仿宋_GB2312" w:cs="仿宋_GB2312"/>
          <w:b w:val="0"/>
          <w:bCs/>
          <w:sz w:val="32"/>
          <w:szCs w:val="32"/>
        </w:rPr>
        <w:t>本服务费用</w:t>
      </w:r>
      <w:r>
        <w:rPr>
          <w:rFonts w:hint="eastAsia" w:ascii="仿宋_GB2312" w:hAnsi="仿宋_GB2312" w:eastAsia="仿宋_GB2312" w:cs="仿宋_GB2312"/>
          <w:b w:val="0"/>
          <w:bCs/>
          <w:sz w:val="32"/>
          <w:szCs w:val="32"/>
          <w:lang w:val="en-US" w:eastAsia="zh-CN"/>
        </w:rPr>
        <w:t>预算</w:t>
      </w:r>
      <w:r>
        <w:rPr>
          <w:rFonts w:hint="eastAsia" w:ascii="仿宋_GB2312" w:hAnsi="仿宋_GB2312" w:eastAsia="仿宋_GB2312" w:cs="仿宋_GB2312"/>
          <w:b w:val="0"/>
          <w:bCs/>
          <w:sz w:val="32"/>
          <w:szCs w:val="32"/>
        </w:rPr>
        <w:t>为人民币</w:t>
      </w:r>
      <w:r>
        <w:rPr>
          <w:rFonts w:hint="eastAsia" w:ascii="仿宋_GB2312" w:hAnsi="仿宋_GB2312" w:eastAsia="仿宋_GB2312" w:cs="仿宋_GB2312"/>
          <w:b w:val="0"/>
          <w:bCs/>
          <w:sz w:val="32"/>
          <w:szCs w:val="32"/>
          <w:lang w:val="en-US" w:eastAsia="zh-CN"/>
        </w:rPr>
        <w:t>132300</w:t>
      </w:r>
      <w:r>
        <w:rPr>
          <w:rFonts w:hint="eastAsia" w:ascii="仿宋_GB2312" w:hAnsi="仿宋_GB2312" w:eastAsia="仿宋_GB2312" w:cs="仿宋_GB2312"/>
          <w:b w:val="0"/>
          <w:bCs/>
          <w:sz w:val="32"/>
          <w:szCs w:val="32"/>
        </w:rPr>
        <w:t>元整。供应商的报价不得超出最高限价。</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黑体" w:hAnsi="黑体" w:eastAsia="黑体" w:cs="黑体"/>
          <w:b w:val="0"/>
          <w:bCs w:val="0"/>
          <w:color w:val="auto"/>
          <w:sz w:val="32"/>
          <w:szCs w:val="32"/>
        </w:rPr>
        <w:t>六、确定成交供应商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若有多家供应商竞价，采购人将综合考虑供应商的服务质量、技术服务能力、采购信誉度、与本单位有服务经验者等方面进行择优选择，确定为成交供应商。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七、结算方式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按合同约定方式结算。</w:t>
      </w:r>
    </w:p>
    <w:p>
      <w:pPr>
        <w:pStyle w:val="4"/>
        <w:pageBreakBefore w:val="0"/>
        <w:numPr>
          <w:ilvl w:val="1"/>
          <w:numId w:val="0"/>
        </w:numPr>
        <w:kinsoku/>
        <w:wordWrap/>
        <w:overflowPunct/>
        <w:topLinePunct w:val="0"/>
        <w:autoSpaceDE/>
        <w:autoSpaceDN/>
        <w:bidi w:val="0"/>
        <w:adjustRightInd/>
        <w:snapToGrid/>
        <w:spacing w:before="0" w:after="0" w:line="560" w:lineRule="exact"/>
        <w:ind w:firstLine="643" w:firstLineChars="200"/>
        <w:textAlignment w:val="auto"/>
        <w:rPr>
          <w:rFonts w:hint="default"/>
          <w:lang w:val="en-US" w:eastAsia="zh-CN"/>
        </w:rPr>
      </w:pPr>
    </w:p>
    <w:sectPr>
      <w:footerReference r:id="rId5" w:type="default"/>
      <w:footerReference r:id="rId6" w:type="even"/>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B0604020202020204"/>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9"/>
      </w:rPr>
      <w:id w:val="205464492"/>
      <w:docPartObj>
        <w:docPartGallery w:val="autotext"/>
      </w:docPartObj>
    </w:sdtPr>
    <w:sdtEndPr>
      <w:rPr>
        <w:rStyle w:val="19"/>
      </w:rPr>
    </w:sdtEndPr>
    <w:sdtContent>
      <w:p>
        <w:pPr>
          <w:pStyle w:val="14"/>
          <w:framePr w:wrap="around" w:vAnchor="text" w:hAnchor="margin" w:xAlign="center" w:y="1"/>
          <w:rPr>
            <w:rStyle w:val="19"/>
          </w:rPr>
        </w:pPr>
        <w:r>
          <w:rPr>
            <w:rStyle w:val="19"/>
          </w:rPr>
          <w:fldChar w:fldCharType="begin"/>
        </w:r>
        <w:r>
          <w:rPr>
            <w:rStyle w:val="19"/>
          </w:rPr>
          <w:instrText xml:space="preserve"> PAGE </w:instrText>
        </w:r>
        <w:r>
          <w:rPr>
            <w:rStyle w:val="19"/>
          </w:rPr>
          <w:fldChar w:fldCharType="separate"/>
        </w:r>
        <w:r>
          <w:rPr>
            <w:rStyle w:val="19"/>
          </w:rPr>
          <w:t>- 1 -</w:t>
        </w:r>
        <w:r>
          <w:rPr>
            <w:rStyle w:val="19"/>
          </w:rPr>
          <w:fldChar w:fldCharType="end"/>
        </w:r>
      </w:p>
    </w:sdtContent>
  </w:sdt>
  <w:p>
    <w:pPr>
      <w:pStyle w:val="1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9"/>
      </w:rPr>
      <w:id w:val="830952218"/>
      <w:docPartObj>
        <w:docPartGallery w:val="autotext"/>
      </w:docPartObj>
    </w:sdtPr>
    <w:sdtEndPr>
      <w:rPr>
        <w:rStyle w:val="19"/>
      </w:rPr>
    </w:sdtEndPr>
    <w:sdtContent>
      <w:p>
        <w:pPr>
          <w:pStyle w:val="14"/>
          <w:framePr w:wrap="around" w:vAnchor="text" w:hAnchor="margin" w:xAlign="center" w:y="1"/>
          <w:rPr>
            <w:rStyle w:val="19"/>
          </w:rPr>
        </w:pPr>
        <w:r>
          <w:rPr>
            <w:rStyle w:val="19"/>
          </w:rPr>
          <w:fldChar w:fldCharType="begin"/>
        </w:r>
        <w:r>
          <w:rPr>
            <w:rStyle w:val="19"/>
          </w:rPr>
          <w:instrText xml:space="preserve"> PAGE </w:instrText>
        </w:r>
        <w:r>
          <w:rPr>
            <w:rStyle w:val="19"/>
          </w:rPr>
          <w:fldChar w:fldCharType="end"/>
        </w:r>
      </w:p>
    </w:sdtContent>
  </w:sdt>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990ED0"/>
    <w:multiLevelType w:val="multilevel"/>
    <w:tmpl w:val="EF990ED0"/>
    <w:lvl w:ilvl="0" w:tentative="0">
      <w:start w:val="1"/>
      <w:numFmt w:val="chineseCounting"/>
      <w:pStyle w:val="2"/>
      <w:suff w:val="nothing"/>
      <w:lvlText w:val="%1、"/>
      <w:lvlJc w:val="left"/>
      <w:pPr>
        <w:ind w:left="0" w:firstLine="0"/>
      </w:pPr>
      <w:rPr>
        <w:rFonts w:hint="eastAsia"/>
      </w:rPr>
    </w:lvl>
    <w:lvl w:ilvl="1" w:tentative="0">
      <w:start w:val="1"/>
      <w:numFmt w:val="chineseCounting"/>
      <w:pStyle w:val="4"/>
      <w:suff w:val="nothing"/>
      <w:lvlText w:val="（%2）"/>
      <w:lvlJc w:val="left"/>
      <w:pPr>
        <w:ind w:left="216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zZTE3MzI0MGVlMDMzNGI0ZTZiYjdhMjRjZDc5ZGMifQ=="/>
  </w:docVars>
  <w:rsids>
    <w:rsidRoot w:val="A77F9C3A"/>
    <w:rsid w:val="002F6962"/>
    <w:rsid w:val="00C235DE"/>
    <w:rsid w:val="00D10CE1"/>
    <w:rsid w:val="00DE5F8F"/>
    <w:rsid w:val="00E915D4"/>
    <w:rsid w:val="04981C80"/>
    <w:rsid w:val="0A1D346A"/>
    <w:rsid w:val="0C135AF6"/>
    <w:rsid w:val="112D4DBB"/>
    <w:rsid w:val="207733AC"/>
    <w:rsid w:val="32426090"/>
    <w:rsid w:val="358D1D4B"/>
    <w:rsid w:val="47DD23CF"/>
    <w:rsid w:val="4ADC4D8C"/>
    <w:rsid w:val="4F1812D2"/>
    <w:rsid w:val="52300BC3"/>
    <w:rsid w:val="53230361"/>
    <w:rsid w:val="65C546DC"/>
    <w:rsid w:val="65FF3147"/>
    <w:rsid w:val="69310E13"/>
    <w:rsid w:val="6D9E301F"/>
    <w:rsid w:val="6FCE4524"/>
    <w:rsid w:val="7CF160F1"/>
    <w:rsid w:val="A77F9C3A"/>
    <w:rsid w:val="D5FB1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Times New Roman" w:hAnsi="Times New Roman" w:eastAsia="宋体" w:cs="Times New Roman"/>
      <w:kern w:val="2"/>
      <w:sz w:val="24"/>
      <w:szCs w:val="21"/>
      <w:lang w:val="en-US" w:eastAsia="zh-CN" w:bidi="ar-SA"/>
    </w:rPr>
  </w:style>
  <w:style w:type="paragraph" w:styleId="2">
    <w:name w:val="heading 1"/>
    <w:basedOn w:val="1"/>
    <w:next w:val="3"/>
    <w:autoRedefine/>
    <w:qFormat/>
    <w:uiPriority w:val="9"/>
    <w:pPr>
      <w:keepNext/>
      <w:keepLines/>
      <w:widowControl w:val="0"/>
      <w:numPr>
        <w:ilvl w:val="0"/>
        <w:numId w:val="1"/>
      </w:numPr>
      <w:spacing w:before="340" w:after="330"/>
      <w:jc w:val="center"/>
      <w:outlineLvl w:val="0"/>
    </w:pPr>
    <w:rPr>
      <w:rFonts w:ascii="楷体_GB2312" w:eastAsia="楷体_GB2312"/>
      <w:b/>
      <w:kern w:val="44"/>
      <w:sz w:val="30"/>
      <w:szCs w:val="44"/>
    </w:rPr>
  </w:style>
  <w:style w:type="paragraph" w:styleId="4">
    <w:name w:val="heading 2"/>
    <w:basedOn w:val="2"/>
    <w:next w:val="3"/>
    <w:qFormat/>
    <w:uiPriority w:val="9"/>
    <w:pPr>
      <w:keepNext/>
      <w:keepLines/>
      <w:widowControl w:val="0"/>
      <w:numPr>
        <w:ilvl w:val="1"/>
        <w:numId w:val="1"/>
      </w:numPr>
      <w:spacing w:before="260" w:after="260"/>
      <w:jc w:val="both"/>
      <w:outlineLvl w:val="1"/>
    </w:pPr>
    <w:rPr>
      <w:rFonts w:ascii="Arial" w:hAnsi="Arial" w:eastAsia="黑体"/>
      <w:sz w:val="32"/>
      <w:szCs w:val="32"/>
    </w:rPr>
  </w:style>
  <w:style w:type="paragraph" w:styleId="5">
    <w:name w:val="heading 3"/>
    <w:basedOn w:val="1"/>
    <w:next w:val="1"/>
    <w:semiHidden/>
    <w:unhideWhenUsed/>
    <w:qFormat/>
    <w:uiPriority w:val="0"/>
    <w:pPr>
      <w:keepNext/>
      <w:keepLines/>
      <w:numPr>
        <w:ilvl w:val="2"/>
        <w:numId w:val="1"/>
      </w:numPr>
      <w:spacing w:before="260" w:after="260" w:line="413" w:lineRule="auto"/>
      <w:outlineLvl w:val="2"/>
    </w:pPr>
    <w:rPr>
      <w:b/>
      <w:sz w:val="32"/>
    </w:rPr>
  </w:style>
  <w:style w:type="paragraph" w:styleId="6">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7">
    <w:name w:val="heading 5"/>
    <w:basedOn w:val="1"/>
    <w:next w:val="1"/>
    <w:autoRedefine/>
    <w:semiHidden/>
    <w:unhideWhenUsed/>
    <w:qFormat/>
    <w:uiPriority w:val="0"/>
    <w:pPr>
      <w:keepNext/>
      <w:keepLines/>
      <w:numPr>
        <w:ilvl w:val="4"/>
        <w:numId w:val="1"/>
      </w:numPr>
      <w:spacing w:before="280" w:after="290" w:line="372" w:lineRule="auto"/>
      <w:outlineLvl w:val="4"/>
    </w:pPr>
    <w:rPr>
      <w:b/>
      <w:sz w:val="28"/>
    </w:rPr>
  </w:style>
  <w:style w:type="paragraph" w:styleId="8">
    <w:name w:val="heading 6"/>
    <w:basedOn w:val="1"/>
    <w:next w:val="1"/>
    <w:autoRedefine/>
    <w:semiHidden/>
    <w:unhideWhenUsed/>
    <w:qFormat/>
    <w:uiPriority w:val="0"/>
    <w:pPr>
      <w:keepNext/>
      <w:keepLines/>
      <w:numPr>
        <w:ilvl w:val="5"/>
        <w:numId w:val="1"/>
      </w:numPr>
      <w:spacing w:before="240" w:after="64" w:line="317" w:lineRule="auto"/>
      <w:outlineLvl w:val="5"/>
    </w:pPr>
    <w:rPr>
      <w:rFonts w:ascii="Arial" w:hAnsi="Arial" w:eastAsia="黑体"/>
      <w:b/>
    </w:rPr>
  </w:style>
  <w:style w:type="paragraph" w:styleId="9">
    <w:name w:val="heading 7"/>
    <w:basedOn w:val="1"/>
    <w:next w:val="1"/>
    <w:autoRedefine/>
    <w:semiHidden/>
    <w:unhideWhenUsed/>
    <w:qFormat/>
    <w:uiPriority w:val="0"/>
    <w:pPr>
      <w:keepNext/>
      <w:keepLines/>
      <w:numPr>
        <w:ilvl w:val="6"/>
        <w:numId w:val="1"/>
      </w:numPr>
      <w:spacing w:before="240" w:after="64" w:line="317" w:lineRule="auto"/>
      <w:outlineLvl w:val="6"/>
    </w:pPr>
    <w:rPr>
      <w:b/>
    </w:rPr>
  </w:style>
  <w:style w:type="paragraph" w:styleId="10">
    <w:name w:val="heading 8"/>
    <w:basedOn w:val="1"/>
    <w:next w:val="1"/>
    <w:autoRedefine/>
    <w:semiHidden/>
    <w:unhideWhenUsed/>
    <w:qFormat/>
    <w:uiPriority w:val="0"/>
    <w:pPr>
      <w:keepNext/>
      <w:keepLines/>
      <w:numPr>
        <w:ilvl w:val="7"/>
        <w:numId w:val="1"/>
      </w:numPr>
      <w:spacing w:before="240" w:after="64" w:line="317" w:lineRule="auto"/>
      <w:outlineLvl w:val="7"/>
    </w:pPr>
    <w:rPr>
      <w:rFonts w:ascii="Arial" w:hAnsi="Arial" w:eastAsia="黑体"/>
    </w:rPr>
  </w:style>
  <w:style w:type="paragraph" w:styleId="11">
    <w:name w:val="heading 9"/>
    <w:basedOn w:val="1"/>
    <w:next w:val="1"/>
    <w:autoRedefine/>
    <w:semiHidden/>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18">
    <w:name w:val="Default Paragraph Font"/>
    <w:autoRedefine/>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customStyle="1" w:styleId="3">
    <w:name w:val="方案正文"/>
    <w:basedOn w:val="1"/>
    <w:autoRedefine/>
    <w:qFormat/>
    <w:uiPriority w:val="0"/>
    <w:pPr>
      <w:spacing w:line="360" w:lineRule="auto"/>
      <w:ind w:firstLine="480" w:firstLineChars="200"/>
    </w:pPr>
    <w:rPr>
      <w:rFonts w:ascii="宋体" w:hAnsi="宋体" w:eastAsia="宋体"/>
      <w:color w:val="000000"/>
      <w:sz w:val="24"/>
      <w:szCs w:val="24"/>
      <w:lang w:val="zh-CN" w:eastAsia="zh-CN"/>
    </w:rPr>
  </w:style>
  <w:style w:type="paragraph" w:styleId="12">
    <w:name w:val="Body Text"/>
    <w:basedOn w:val="1"/>
    <w:autoRedefine/>
    <w:qFormat/>
    <w:uiPriority w:val="0"/>
    <w:pPr>
      <w:widowControl/>
      <w:jc w:val="left"/>
    </w:pPr>
    <w:rPr>
      <w:rFonts w:eastAsia="宋体"/>
      <w:b/>
      <w:bCs/>
      <w:kern w:val="0"/>
      <w:sz w:val="24"/>
      <w:szCs w:val="24"/>
    </w:rPr>
  </w:style>
  <w:style w:type="paragraph" w:styleId="13">
    <w:name w:val="Plain Text"/>
    <w:basedOn w:val="1"/>
    <w:autoRedefine/>
    <w:qFormat/>
    <w:uiPriority w:val="0"/>
    <w:pPr>
      <w:widowControl w:val="0"/>
      <w:spacing w:line="240" w:lineRule="auto"/>
      <w:jc w:val="both"/>
    </w:pPr>
    <w:rPr>
      <w:rFonts w:ascii="宋体" w:hAnsi="Courier New"/>
      <w:sz w:val="21"/>
      <w:szCs w:val="20"/>
    </w:rPr>
  </w:style>
  <w:style w:type="paragraph" w:styleId="14">
    <w:name w:val="footer"/>
    <w:basedOn w:val="1"/>
    <w:link w:val="25"/>
    <w:autoRedefine/>
    <w:qFormat/>
    <w:uiPriority w:val="0"/>
    <w:pPr>
      <w:tabs>
        <w:tab w:val="center" w:pos="4153"/>
        <w:tab w:val="right" w:pos="8306"/>
      </w:tabs>
      <w:snapToGrid w:val="0"/>
      <w:spacing w:line="240" w:lineRule="auto"/>
    </w:pPr>
    <w:rPr>
      <w:sz w:val="18"/>
      <w:szCs w:val="18"/>
    </w:rPr>
  </w:style>
  <w:style w:type="paragraph" w:styleId="15">
    <w:name w:val="header"/>
    <w:basedOn w:val="1"/>
    <w:link w:val="24"/>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table" w:styleId="17">
    <w:name w:val="Table Grid"/>
    <w:basedOn w:val="16"/>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paragraph" w:customStyle="1" w:styleId="20">
    <w:name w:val="_Style 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列表段落1"/>
    <w:basedOn w:val="1"/>
    <w:autoRedefine/>
    <w:qFormat/>
    <w:uiPriority w:val="34"/>
    <w:pPr>
      <w:ind w:firstLine="420" w:firstLineChars="200"/>
    </w:pPr>
  </w:style>
  <w:style w:type="character" w:customStyle="1" w:styleId="22">
    <w:name w:val="font51"/>
    <w:basedOn w:val="18"/>
    <w:autoRedefine/>
    <w:qFormat/>
    <w:uiPriority w:val="0"/>
    <w:rPr>
      <w:rFonts w:hint="eastAsia" w:ascii="宋体" w:hAnsi="宋体" w:eastAsia="宋体" w:cs="宋体"/>
      <w:color w:val="000000"/>
      <w:sz w:val="20"/>
      <w:szCs w:val="20"/>
      <w:u w:val="none"/>
    </w:rPr>
  </w:style>
  <w:style w:type="character" w:customStyle="1" w:styleId="23">
    <w:name w:val="font61"/>
    <w:basedOn w:val="18"/>
    <w:autoRedefine/>
    <w:qFormat/>
    <w:uiPriority w:val="0"/>
    <w:rPr>
      <w:rFonts w:hint="default" w:ascii="仿宋" w:hAnsi="仿宋" w:eastAsia="仿宋" w:cs="仿宋"/>
      <w:color w:val="000000"/>
      <w:sz w:val="20"/>
      <w:szCs w:val="20"/>
      <w:u w:val="none"/>
    </w:rPr>
  </w:style>
  <w:style w:type="character" w:customStyle="1" w:styleId="24">
    <w:name w:val="页眉 字符"/>
    <w:basedOn w:val="18"/>
    <w:link w:val="15"/>
    <w:autoRedefine/>
    <w:qFormat/>
    <w:uiPriority w:val="0"/>
    <w:rPr>
      <w:rFonts w:ascii="Times New Roman" w:hAnsi="Times New Roman" w:eastAsia="宋体" w:cs="Times New Roman"/>
      <w:kern w:val="2"/>
      <w:sz w:val="18"/>
      <w:szCs w:val="18"/>
    </w:rPr>
  </w:style>
  <w:style w:type="character" w:customStyle="1" w:styleId="25">
    <w:name w:val="页脚 字符"/>
    <w:basedOn w:val="18"/>
    <w:link w:val="14"/>
    <w:autoRedefine/>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1617</Words>
  <Characters>9217</Characters>
  <Lines>76</Lines>
  <Paragraphs>21</Paragraphs>
  <TotalTime>0</TotalTime>
  <ScaleCrop>false</ScaleCrop>
  <LinksUpToDate>false</LinksUpToDate>
  <CharactersWithSpaces>10813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2022-07-15T01:21:00Z</dcterms:created>
  <dc:creator>lif</dc:creator>
  <cp:lastModifiedBy>Kimho</cp:lastModifiedBy>
  <dcterms:modified xsi:type="dcterms:W3CDTF">2024-04-17T09:10:03Z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D193AC2E311F5906868ECE6240D908C6</vt:lpwstr>
  </property>
</Properties>
</file>