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cs="黑体"/>
          <w:b w:val="0"/>
          <w:bCs w:val="0"/>
          <w:kern w:val="0"/>
          <w:sz w:val="32"/>
          <w:szCs w:val="32"/>
          <w:lang w:val="en-US" w:eastAsia="zh-CN"/>
        </w:rPr>
      </w:pPr>
      <w:bookmarkStart w:id="0" w:name="_Toc157946368"/>
      <w:r>
        <w:rPr>
          <w:rFonts w:hint="eastAsia" w:ascii="黑体" w:hAnsi="黑体" w:eastAsia="黑体" w:cs="黑体"/>
          <w:b w:val="0"/>
          <w:bCs w:val="0"/>
          <w:kern w:val="0"/>
          <w:sz w:val="32"/>
          <w:szCs w:val="32"/>
          <w:lang w:val="en-US" w:eastAsia="zh-CN"/>
        </w:rPr>
        <w:t>附件</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开平市人民政府行政服务中心</w:t>
      </w:r>
      <w:r>
        <w:rPr>
          <w:rFonts w:hint="eastAsia" w:ascii="方正小标宋简体" w:hAnsi="方正小标宋简体" w:eastAsia="方正小标宋简体" w:cs="方正小标宋简体"/>
          <w:b w:val="0"/>
          <w:bCs w:val="0"/>
          <w:kern w:val="0"/>
          <w:sz w:val="44"/>
          <w:szCs w:val="44"/>
          <w:lang w:eastAsia="zh-CN"/>
        </w:rPr>
        <w:t>保</w:t>
      </w:r>
      <w:r>
        <w:rPr>
          <w:rFonts w:hint="eastAsia" w:ascii="方正小标宋简体" w:hAnsi="方正小标宋简体" w:eastAsia="方正小标宋简体" w:cs="方正小标宋简体"/>
          <w:b w:val="0"/>
          <w:bCs w:val="0"/>
          <w:kern w:val="0"/>
          <w:sz w:val="44"/>
          <w:szCs w:val="44"/>
        </w:rPr>
        <w:t>洁服务</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项目评定原则与评审方法</w:t>
      </w:r>
      <w:bookmarkEnd w:id="0"/>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按能够最大限度地满足需求文件中规定的各项综合评价标准的响应人成交的原则定标。</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由采购小组对所有响应文件进行响应性审查，未能响应需求文件要求的响应文件作无效响应处理，通过符合性审查的响应人才能进入评比阶段。</w:t>
      </w:r>
    </w:p>
    <w:p>
      <w:pPr>
        <w:widowControl/>
        <w:spacing w:line="480" w:lineRule="exact"/>
        <w:ind w:firstLine="640" w:firstLineChars="200"/>
        <w:jc w:val="left"/>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由采购小组采用综合评分法对提交最后报价的供应商的响应文件和报价进行综合评分，评审以需求文件规定的条件为原则，最低报价不作为成交的唯一依据。</w:t>
      </w:r>
    </w:p>
    <w:p>
      <w:pPr>
        <w:widowControl/>
        <w:spacing w:line="480" w:lineRule="exact"/>
        <w:ind w:firstLine="640" w:firstLineChars="200"/>
        <w:jc w:val="left"/>
        <w:rPr>
          <w:rFonts w:hint="eastAsia" w:ascii="仿宋_GB2312" w:hAnsi="仿宋_GB2312" w:eastAsia="仿宋_GB2312" w:cs="仿宋_GB2312"/>
          <w:b w:val="0"/>
          <w:bCs/>
          <w:kern w:val="0"/>
          <w:sz w:val="32"/>
          <w:szCs w:val="32"/>
        </w:rPr>
      </w:pPr>
    </w:p>
    <w:p>
      <w:pPr>
        <w:widowControl/>
        <w:spacing w:line="480" w:lineRule="exact"/>
        <w:ind w:firstLine="640" w:firstLineChars="200"/>
        <w:jc w:val="left"/>
        <w:rPr>
          <w:rFonts w:hint="eastAsia" w:ascii="仿宋_GB2312" w:hAnsi="仿宋_GB2312" w:eastAsia="仿宋_GB2312" w:cs="仿宋_GB2312"/>
          <w:b/>
          <w:kern w:val="0"/>
          <w:sz w:val="32"/>
          <w:szCs w:val="32"/>
        </w:rPr>
      </w:pPr>
      <w:r>
        <w:rPr>
          <w:rFonts w:hint="eastAsia" w:ascii="黑体" w:hAnsi="黑体" w:eastAsia="黑体" w:cs="黑体"/>
          <w:b w:val="0"/>
          <w:bCs/>
          <w:kern w:val="0"/>
          <w:sz w:val="32"/>
          <w:szCs w:val="32"/>
        </w:rPr>
        <w:t>一、资格和符合性审查</w:t>
      </w:r>
      <w:r>
        <w:rPr>
          <w:rFonts w:hint="eastAsia" w:ascii="仿宋_GB2312" w:hAnsi="仿宋_GB2312" w:eastAsia="仿宋_GB2312" w:cs="仿宋_GB2312"/>
          <w:b/>
          <w:kern w:val="0"/>
          <w:sz w:val="32"/>
          <w:szCs w:val="32"/>
        </w:rPr>
        <w:t xml:space="preserve"> </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9"/>
        <w:gridCol w:w="5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审查项目</w:t>
            </w:r>
          </w:p>
        </w:tc>
        <w:tc>
          <w:tcPr>
            <w:tcW w:w="6378"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资格审查</w:t>
            </w:r>
          </w:p>
        </w:tc>
        <w:tc>
          <w:tcPr>
            <w:tcW w:w="6378" w:type="dxa"/>
            <w:tcBorders>
              <w:top w:val="single" w:color="auto" w:sz="4" w:space="0"/>
              <w:left w:val="single" w:color="auto" w:sz="4" w:space="0"/>
              <w:bottom w:val="single" w:color="auto" w:sz="4" w:space="0"/>
              <w:right w:val="single" w:color="auto" w:sz="4" w:space="0"/>
            </w:tcBorders>
          </w:tcPr>
          <w:p>
            <w:pPr>
              <w:widowControl/>
              <w:numPr>
                <w:numId w:val="0"/>
              </w:numPr>
              <w:spacing w:line="480" w:lineRule="exact"/>
              <w:ind w:left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响应人应当具备《政府采购法》第二十二条规定的条件；</w:t>
            </w:r>
          </w:p>
          <w:p>
            <w:pPr>
              <w:widowControl/>
              <w:numPr>
                <w:numId w:val="0"/>
              </w:numPr>
              <w:spacing w:line="480" w:lineRule="exact"/>
              <w:ind w:left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响应人应当是具合法经营资格的法人或者其他组织，且具有良好的信誉；</w:t>
            </w:r>
          </w:p>
          <w:p>
            <w:pPr>
              <w:widowControl/>
              <w:numPr>
                <w:numId w:val="0"/>
              </w:numPr>
              <w:wordWrap w:val="0"/>
              <w:spacing w:line="480" w:lineRule="exact"/>
              <w:ind w:left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响应人未被列入“信用中国”网站（www.creditchina.gov.cn）“失信被执行人或重大税收违法案件当事人名单或政府采购严重违法失信行为”记录名单；不处于中国政府采购网（www.ccgp.gov.cn）“政府采购严重违法失信行为信息记录”中的禁止参加政府采购活动期间；</w:t>
            </w:r>
          </w:p>
          <w:p>
            <w:pPr>
              <w:widowControl/>
              <w:numPr>
                <w:numId w:val="0"/>
              </w:numPr>
              <w:spacing w:line="480" w:lineRule="exact"/>
              <w:ind w:left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单位负责人为同一人或者存在直接控股、管理关系的不同供应商，不得参加同一合同项下的政府采购活动；</w:t>
            </w:r>
          </w:p>
          <w:p>
            <w:pPr>
              <w:widowControl/>
              <w:numPr>
                <w:numId w:val="0"/>
              </w:numPr>
              <w:spacing w:line="480" w:lineRule="exact"/>
              <w:ind w:left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本项目不允许分包，不接受联合体响应。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符合性审查</w:t>
            </w:r>
          </w:p>
        </w:tc>
        <w:tc>
          <w:tcPr>
            <w:tcW w:w="637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响应文件按照需求文件规定要求签署、盖章。</w:t>
            </w:r>
          </w:p>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响应报价符合需求文件规定的报价要求。</w:t>
            </w:r>
          </w:p>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响应有效期符合需求文件要求。</w:t>
            </w:r>
          </w:p>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响应文件不存在需求文件或法规明确规定的其他无效响应情形。</w:t>
            </w:r>
          </w:p>
        </w:tc>
      </w:tr>
    </w:tbl>
    <w:p>
      <w:pPr>
        <w:widowControl/>
        <w:spacing w:line="480" w:lineRule="exact"/>
        <w:ind w:firstLine="640" w:firstLineChars="200"/>
        <w:jc w:val="left"/>
        <w:rPr>
          <w:rFonts w:hint="eastAsia" w:ascii="黑体" w:hAnsi="黑体" w:eastAsia="黑体" w:cs="黑体"/>
          <w:b w:val="0"/>
          <w:bCs/>
          <w:kern w:val="0"/>
          <w:sz w:val="32"/>
          <w:szCs w:val="32"/>
        </w:rPr>
      </w:pPr>
    </w:p>
    <w:p>
      <w:pPr>
        <w:widowControl/>
        <w:spacing w:line="480" w:lineRule="exact"/>
        <w:ind w:firstLine="640" w:firstLineChars="200"/>
        <w:jc w:val="left"/>
        <w:rPr>
          <w:rFonts w:hint="eastAsia" w:ascii="仿宋_GB2312" w:hAnsi="仿宋_GB2312" w:eastAsia="仿宋_GB2312" w:cs="仿宋_GB2312"/>
          <w:b/>
          <w:kern w:val="0"/>
          <w:sz w:val="32"/>
          <w:szCs w:val="32"/>
        </w:rPr>
      </w:pPr>
      <w:r>
        <w:rPr>
          <w:rFonts w:hint="eastAsia" w:ascii="黑体" w:hAnsi="黑体" w:eastAsia="黑体" w:cs="黑体"/>
          <w:b w:val="0"/>
          <w:bCs/>
          <w:kern w:val="0"/>
          <w:sz w:val="32"/>
          <w:szCs w:val="32"/>
        </w:rPr>
        <w:t>二、本项目评分权重及评审因素如下</w:t>
      </w:r>
      <w:r>
        <w:rPr>
          <w:rFonts w:hint="eastAsia" w:ascii="仿宋_GB2312" w:hAnsi="仿宋_GB2312" w:eastAsia="仿宋_GB2312" w:cs="仿宋_GB2312"/>
          <w:b/>
          <w:kern w:val="0"/>
          <w:sz w:val="32"/>
          <w:szCs w:val="32"/>
        </w:rPr>
        <w:t>：</w:t>
      </w:r>
    </w:p>
    <w:tbl>
      <w:tblPr>
        <w:tblStyle w:val="5"/>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1641"/>
        <w:gridCol w:w="5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4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评分项目/权重</w:t>
            </w:r>
          </w:p>
        </w:tc>
        <w:tc>
          <w:tcPr>
            <w:tcW w:w="164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评审因素</w:t>
            </w:r>
          </w:p>
        </w:tc>
        <w:tc>
          <w:tcPr>
            <w:tcW w:w="5935"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评审指标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5" w:hRule="atLeast"/>
          <w:jc w:val="center"/>
        </w:trPr>
        <w:tc>
          <w:tcPr>
            <w:tcW w:w="1349" w:type="dxa"/>
            <w:vMerge w:val="restart"/>
            <w:tcBorders>
              <w:top w:val="single" w:color="auto" w:sz="4" w:space="0"/>
              <w:left w:val="single" w:color="auto" w:sz="4" w:space="0"/>
              <w:right w:val="single" w:color="auto" w:sz="4" w:space="0"/>
            </w:tcBorders>
            <w:vAlign w:val="center"/>
          </w:tcPr>
          <w:p>
            <w:pPr>
              <w:widowControl/>
              <w:spacing w:line="480" w:lineRule="exact"/>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技术评分（40分）</w:t>
            </w:r>
          </w:p>
        </w:tc>
        <w:tc>
          <w:tcPr>
            <w:tcW w:w="164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对采购人需求的响应程度（投标服务方案）   </w:t>
            </w:r>
          </w:p>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（5分）</w:t>
            </w:r>
          </w:p>
        </w:tc>
        <w:tc>
          <w:tcPr>
            <w:tcW w:w="5935"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对有效投标人的总体服务模式进行评审: </w:t>
            </w:r>
          </w:p>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总体服务模式科学合理,亮点多,针对性强, 能完全满足采购人的需求的为最优得5分；总体服务模式有一定特点,亮点较多,针对性较强,基本能满足采购人的需求得3分；总体服务模式不合理,无具体措施得1分。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5" w:hRule="atLeast"/>
          <w:jc w:val="center"/>
        </w:trPr>
        <w:tc>
          <w:tcPr>
            <w:tcW w:w="1349" w:type="dxa"/>
            <w:vMerge w:val="continue"/>
            <w:tcBorders>
              <w:left w:val="single" w:color="auto" w:sz="4" w:space="0"/>
              <w:right w:val="single" w:color="auto" w:sz="4" w:space="0"/>
            </w:tcBorders>
            <w:vAlign w:val="center"/>
          </w:tcPr>
          <w:p>
            <w:pPr>
              <w:widowControl/>
              <w:jc w:val="left"/>
              <w:rPr>
                <w:rFonts w:hint="eastAsia" w:ascii="仿宋_GB2312" w:hAnsi="仿宋_GB2312" w:eastAsia="仿宋_GB2312" w:cs="仿宋_GB2312"/>
                <w:bCs/>
                <w:kern w:val="0"/>
                <w:sz w:val="32"/>
                <w:szCs w:val="32"/>
              </w:rPr>
            </w:pPr>
          </w:p>
        </w:tc>
        <w:tc>
          <w:tcPr>
            <w:tcW w:w="164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管理规章制度</w:t>
            </w:r>
          </w:p>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（5分）</w:t>
            </w:r>
          </w:p>
        </w:tc>
        <w:tc>
          <w:tcPr>
            <w:tcW w:w="5935"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根据投标人针对本项目编制的保洁服务管理制度、岗位责任制度、保洁员管理制度、培训制度及标准、管理人员考核制度评审：</w:t>
            </w:r>
          </w:p>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投标人针对本项目编制的保洁服务管理制度详细完整，符合规范，科学合理的，得5分，其他不得分；</w:t>
            </w:r>
          </w:p>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投标人针对本项目编制的保洁员管理制度，详细完整，符合规范，科学合理的，得3分，其他不得分；</w:t>
            </w:r>
          </w:p>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投标人针对本项目编制的管理人员考核制度，详细完整，符合规范，科学合理的，得1分，其他不得分。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2" w:hRule="atLeast"/>
          <w:jc w:val="center"/>
        </w:trPr>
        <w:tc>
          <w:tcPr>
            <w:tcW w:w="1349" w:type="dxa"/>
            <w:vMerge w:val="continue"/>
            <w:tcBorders>
              <w:left w:val="single" w:color="auto" w:sz="4" w:space="0"/>
              <w:right w:val="single" w:color="auto" w:sz="4" w:space="0"/>
            </w:tcBorders>
            <w:vAlign w:val="center"/>
          </w:tcPr>
          <w:p>
            <w:pPr>
              <w:widowControl/>
              <w:jc w:val="left"/>
              <w:rPr>
                <w:rFonts w:hint="eastAsia" w:ascii="仿宋_GB2312" w:hAnsi="仿宋_GB2312" w:eastAsia="仿宋_GB2312" w:cs="仿宋_GB2312"/>
                <w:bCs/>
                <w:kern w:val="0"/>
                <w:sz w:val="32"/>
                <w:szCs w:val="32"/>
              </w:rPr>
            </w:pPr>
          </w:p>
        </w:tc>
        <w:tc>
          <w:tcPr>
            <w:tcW w:w="164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服务质量保证措施（5分）</w:t>
            </w:r>
          </w:p>
        </w:tc>
        <w:tc>
          <w:tcPr>
            <w:tcW w:w="5935"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根据投标人提供的质量保证体系及措施进行评审：</w:t>
            </w:r>
          </w:p>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体系完整，配套措施完善，得5分；</w:t>
            </w:r>
          </w:p>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体系较为完整，配套措施较为完善，得3分；</w:t>
            </w:r>
          </w:p>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未提供质量保证体系或措施的得1分。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8" w:hRule="atLeast"/>
          <w:jc w:val="center"/>
        </w:trPr>
        <w:tc>
          <w:tcPr>
            <w:tcW w:w="1349" w:type="dxa"/>
            <w:vMerge w:val="continue"/>
            <w:tcBorders>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Cs/>
                <w:kern w:val="0"/>
                <w:sz w:val="32"/>
                <w:szCs w:val="32"/>
              </w:rPr>
            </w:pPr>
          </w:p>
        </w:tc>
        <w:tc>
          <w:tcPr>
            <w:tcW w:w="164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培训及管理方案</w:t>
            </w:r>
          </w:p>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（5分）</w:t>
            </w:r>
          </w:p>
        </w:tc>
        <w:tc>
          <w:tcPr>
            <w:tcW w:w="5935"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根据投标人提供的相关培训及管理方案介绍进行评分：</w:t>
            </w:r>
          </w:p>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专业培训方案及计划详细合理、培训资源丰富、管理目标与措施强，得5分；</w:t>
            </w:r>
          </w:p>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专业培训方案及计划、培训资源、管理目标与措施一般，得3分；</w:t>
            </w:r>
          </w:p>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专业培训方案及计划、培训资源、管理目标与措施较差，得1分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49" w:type="dxa"/>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32"/>
                <w:szCs w:val="32"/>
              </w:rPr>
            </w:pPr>
          </w:p>
        </w:tc>
        <w:tc>
          <w:tcPr>
            <w:tcW w:w="164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项目负责人资质（10分）</w:t>
            </w:r>
          </w:p>
        </w:tc>
        <w:tc>
          <w:tcPr>
            <w:tcW w:w="5935"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 项目负责人持有人力资源和社会保障部门颁发的一级人力资源管理师得4分；持有二级或以下得2分；无得0分</w:t>
            </w:r>
          </w:p>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 项目负责人具有高级职称得3分；中级或以下得1分，无得0分</w:t>
            </w:r>
          </w:p>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 项目负责人具有本科或以上学历得3分，无得0分。</w:t>
            </w:r>
          </w:p>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（需提供相关证书或证明资料和2021年5月-7月连续的社保证明，加盖投标人公章，不能完整提供证明的，不得分；）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49" w:type="dxa"/>
            <w:tcBorders>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Cs/>
                <w:kern w:val="0"/>
                <w:sz w:val="32"/>
                <w:szCs w:val="32"/>
              </w:rPr>
            </w:pPr>
          </w:p>
        </w:tc>
        <w:tc>
          <w:tcPr>
            <w:tcW w:w="164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项目管理人员</w:t>
            </w:r>
          </w:p>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（10分）</w:t>
            </w:r>
          </w:p>
        </w:tc>
        <w:tc>
          <w:tcPr>
            <w:tcW w:w="5935"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 管理员具有与保洁环境绿化相关的高级职称得4分；中级或以下得1分，无得0分；</w:t>
            </w:r>
          </w:p>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 管理员具有硕士或以上学历得6分，本科或以下得3分，无得0分。（需提供相关证书或证明资料和2021年5月-7月连续的社保证明，加盖投标人公章，不能完整提供证明的，不得分；）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6" w:hRule="atLeast"/>
          <w:jc w:val="center"/>
        </w:trPr>
        <w:tc>
          <w:tcPr>
            <w:tcW w:w="134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商务评分（40分）</w:t>
            </w:r>
          </w:p>
        </w:tc>
        <w:tc>
          <w:tcPr>
            <w:tcW w:w="1641" w:type="dxa"/>
            <w:tcBorders>
              <w:top w:val="single" w:color="auto" w:sz="4" w:space="0"/>
              <w:left w:val="single" w:color="auto" w:sz="4" w:space="0"/>
              <w:bottom w:val="single" w:color="auto" w:sz="4" w:space="0"/>
              <w:right w:val="single" w:color="auto" w:sz="4" w:space="0"/>
            </w:tcBorders>
          </w:tcPr>
          <w:p>
            <w:pPr>
              <w:widowControl/>
              <w:spacing w:line="480" w:lineRule="exact"/>
              <w:jc w:val="center"/>
              <w:rPr>
                <w:rFonts w:hint="eastAsia" w:ascii="仿宋_GB2312" w:hAnsi="仿宋_GB2312" w:eastAsia="仿宋_GB2312" w:cs="仿宋_GB2312"/>
                <w:bCs/>
                <w:kern w:val="0"/>
                <w:sz w:val="32"/>
                <w:szCs w:val="32"/>
              </w:rPr>
            </w:pPr>
          </w:p>
          <w:p>
            <w:pPr>
              <w:widowControl/>
              <w:spacing w:line="480" w:lineRule="exact"/>
              <w:jc w:val="center"/>
              <w:rPr>
                <w:rFonts w:hint="eastAsia" w:ascii="仿宋_GB2312" w:hAnsi="仿宋_GB2312" w:eastAsia="仿宋_GB2312" w:cs="仿宋_GB2312"/>
                <w:bCs/>
                <w:kern w:val="0"/>
                <w:sz w:val="32"/>
                <w:szCs w:val="32"/>
              </w:rPr>
            </w:pPr>
          </w:p>
          <w:p>
            <w:pPr>
              <w:widowControl/>
              <w:spacing w:line="480" w:lineRule="exact"/>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财务状况   (</w:t>
            </w:r>
            <w:r>
              <w:rPr>
                <w:rFonts w:hint="eastAsia" w:ascii="仿宋_GB2312" w:hAnsi="仿宋_GB2312" w:eastAsia="仿宋_GB2312" w:cs="仿宋_GB2312"/>
                <w:bCs/>
                <w:kern w:val="0"/>
                <w:sz w:val="32"/>
                <w:szCs w:val="32"/>
                <w:lang w:val="en-US" w:eastAsia="zh-CN"/>
              </w:rPr>
              <w:t>5</w:t>
            </w:r>
            <w:r>
              <w:rPr>
                <w:rFonts w:hint="eastAsia" w:ascii="仿宋_GB2312" w:hAnsi="仿宋_GB2312" w:eastAsia="仿宋_GB2312" w:cs="仿宋_GB2312"/>
                <w:bCs/>
                <w:kern w:val="0"/>
                <w:sz w:val="32"/>
                <w:szCs w:val="32"/>
              </w:rPr>
              <w:t>分)</w:t>
            </w:r>
          </w:p>
        </w:tc>
        <w:tc>
          <w:tcPr>
            <w:tcW w:w="5935"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根据投标人20</w:t>
            </w:r>
            <w:r>
              <w:rPr>
                <w:rFonts w:hint="eastAsia" w:ascii="仿宋_GB2312" w:hAnsi="仿宋_GB2312" w:eastAsia="仿宋_GB2312" w:cs="仿宋_GB2312"/>
                <w:kern w:val="0"/>
                <w:sz w:val="32"/>
                <w:szCs w:val="32"/>
                <w:lang w:val="en-US" w:eastAsia="zh-CN"/>
              </w:rPr>
              <w:t>22</w:t>
            </w:r>
            <w:r>
              <w:rPr>
                <w:rFonts w:hint="eastAsia" w:ascii="仿宋_GB2312" w:hAnsi="仿宋_GB2312" w:eastAsia="仿宋_GB2312" w:cs="仿宋_GB2312"/>
                <w:kern w:val="0"/>
                <w:sz w:val="32"/>
                <w:szCs w:val="32"/>
              </w:rPr>
              <w:t>年、20</w:t>
            </w:r>
            <w:r>
              <w:rPr>
                <w:rFonts w:hint="eastAsia" w:ascii="仿宋_GB2312" w:hAnsi="仿宋_GB2312" w:eastAsia="仿宋_GB2312" w:cs="仿宋_GB2312"/>
                <w:kern w:val="0"/>
                <w:sz w:val="32"/>
                <w:szCs w:val="32"/>
                <w:lang w:val="en-US" w:eastAsia="zh-CN"/>
              </w:rPr>
              <w:t>23</w:t>
            </w:r>
            <w:r>
              <w:rPr>
                <w:rFonts w:hint="eastAsia" w:ascii="仿宋_GB2312" w:hAnsi="仿宋_GB2312" w:eastAsia="仿宋_GB2312" w:cs="仿宋_GB2312"/>
                <w:kern w:val="0"/>
                <w:sz w:val="32"/>
                <w:szCs w:val="32"/>
              </w:rPr>
              <w:t>年、20</w:t>
            </w:r>
            <w:r>
              <w:rPr>
                <w:rFonts w:hint="eastAsia" w:ascii="仿宋_GB2312" w:hAnsi="仿宋_GB2312" w:eastAsia="仿宋_GB2312" w:cs="仿宋_GB2312"/>
                <w:kern w:val="0"/>
                <w:sz w:val="32"/>
                <w:szCs w:val="32"/>
                <w:lang w:val="en-US" w:eastAsia="zh-CN"/>
              </w:rPr>
              <w:t>24</w:t>
            </w:r>
            <w:r>
              <w:rPr>
                <w:rFonts w:hint="eastAsia" w:ascii="仿宋_GB2312" w:hAnsi="仿宋_GB2312" w:eastAsia="仿宋_GB2312" w:cs="仿宋_GB2312"/>
                <w:kern w:val="0"/>
                <w:sz w:val="32"/>
                <w:szCs w:val="32"/>
              </w:rPr>
              <w:t>年的财务状况进行评审，每一份得</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分，最高得</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分，不提供不得分；</w:t>
            </w:r>
          </w:p>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注：以经会计师事务所审计的财务报告复印件加盖投标人公章为准，因提供的证明材料不清晰等无法反映相关数据的，不得分。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3" w:hRule="atLeast"/>
          <w:jc w:val="center"/>
        </w:trPr>
        <w:tc>
          <w:tcPr>
            <w:tcW w:w="13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Cs/>
                <w:kern w:val="0"/>
                <w:sz w:val="32"/>
                <w:szCs w:val="32"/>
              </w:rPr>
            </w:pPr>
          </w:p>
        </w:tc>
        <w:tc>
          <w:tcPr>
            <w:tcW w:w="164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公司实力   （20分）</w:t>
            </w:r>
          </w:p>
        </w:tc>
        <w:tc>
          <w:tcPr>
            <w:tcW w:w="5935"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投标人具有由国家认证认可监督管理部门批准设立的认证机构颁发并在有效期内的证书，每提供一个得2分，最高得10分。</w:t>
            </w:r>
          </w:p>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①质量管理体系认证证书；</w:t>
            </w:r>
          </w:p>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②职业健康安全管理体系认证证书；</w:t>
            </w:r>
          </w:p>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③环境管理体系认证证书；</w:t>
            </w:r>
          </w:p>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④信息安全管理体系认证证书；</w:t>
            </w:r>
          </w:p>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⑤诚信管理体系认证证书；</w:t>
            </w:r>
          </w:p>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⑥社会责任管理体系认证证书。</w:t>
            </w:r>
          </w:p>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注：须提供有效证书复印件加盖投标人公章。</w:t>
            </w:r>
          </w:p>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2.投标人获得</w:t>
            </w:r>
            <w:r>
              <w:rPr>
                <w:rFonts w:hint="eastAsia" w:ascii="仿宋_GB2312" w:hAnsi="仿宋_GB2312" w:eastAsia="仿宋_GB2312" w:cs="仿宋_GB2312"/>
                <w:kern w:val="0"/>
                <w:sz w:val="32"/>
                <w:szCs w:val="32"/>
                <w:lang w:val="en-US" w:eastAsia="zh-CN"/>
              </w:rPr>
              <w:t>2022</w:t>
            </w:r>
            <w:r>
              <w:rPr>
                <w:rFonts w:hint="eastAsia" w:ascii="仿宋_GB2312" w:hAnsi="仿宋_GB2312" w:eastAsia="仿宋_GB2312" w:cs="仿宋_GB2312"/>
                <w:kern w:val="0"/>
                <w:sz w:val="32"/>
                <w:szCs w:val="32"/>
              </w:rPr>
              <w:t>年度、20</w:t>
            </w:r>
            <w:r>
              <w:rPr>
                <w:rFonts w:hint="eastAsia" w:ascii="仿宋_GB2312" w:hAnsi="仿宋_GB2312" w:eastAsia="仿宋_GB2312" w:cs="仿宋_GB2312"/>
                <w:kern w:val="0"/>
                <w:sz w:val="32"/>
                <w:szCs w:val="32"/>
                <w:lang w:val="en-US" w:eastAsia="zh-CN"/>
              </w:rPr>
              <w:t>23</w:t>
            </w:r>
            <w:r>
              <w:rPr>
                <w:rFonts w:hint="eastAsia" w:ascii="仿宋_GB2312" w:hAnsi="仿宋_GB2312" w:eastAsia="仿宋_GB2312" w:cs="仿宋_GB2312"/>
                <w:kern w:val="0"/>
                <w:sz w:val="32"/>
                <w:szCs w:val="32"/>
              </w:rPr>
              <w:t>年度、20</w:t>
            </w:r>
            <w:r>
              <w:rPr>
                <w:rFonts w:hint="eastAsia" w:ascii="仿宋_GB2312" w:hAnsi="仿宋_GB2312" w:eastAsia="仿宋_GB2312" w:cs="仿宋_GB2312"/>
                <w:kern w:val="0"/>
                <w:sz w:val="32"/>
                <w:szCs w:val="32"/>
                <w:lang w:val="en-US" w:eastAsia="zh-CN"/>
              </w:rPr>
              <w:t>24</w:t>
            </w:r>
            <w:r>
              <w:rPr>
                <w:rFonts w:hint="eastAsia" w:ascii="仿宋_GB2312" w:hAnsi="仿宋_GB2312" w:eastAsia="仿宋_GB2312" w:cs="仿宋_GB2312"/>
                <w:kern w:val="0"/>
                <w:sz w:val="32"/>
                <w:szCs w:val="32"/>
              </w:rPr>
              <w:t>年度工商行政主管部门或其他政府职能部门或承接前述部门发布“守合同重信用”证书职能的非盈利性组织发布的有效的“守合同重信用”（或“重合同守信用”）情况，连续三年的得5分，连续两年的得5分，不连续或只有一年的得1分，无则得0分。</w:t>
            </w:r>
          </w:p>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.具有注册地清洁行业协会颁布的清洁清洗服务资质的，得5分，无得0分；</w:t>
            </w:r>
          </w:p>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注：必须提供相关证明材料复印件加盖投标人公章，否则不得分。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1" w:hRule="atLeast"/>
          <w:jc w:val="center"/>
        </w:trPr>
        <w:tc>
          <w:tcPr>
            <w:tcW w:w="13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Cs/>
                <w:kern w:val="0"/>
                <w:sz w:val="32"/>
                <w:szCs w:val="32"/>
              </w:rPr>
            </w:pPr>
          </w:p>
        </w:tc>
        <w:tc>
          <w:tcPr>
            <w:tcW w:w="164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项目业绩   （10分）</w:t>
            </w:r>
          </w:p>
        </w:tc>
        <w:tc>
          <w:tcPr>
            <w:tcW w:w="59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80" w:lineRule="exact"/>
              <w:jc w:val="left"/>
              <w:rPr>
                <w:rFonts w:hint="eastAsia" w:ascii="仿宋_GB2312" w:hAnsi="仿宋_GB2312" w:eastAsia="仿宋_GB2312" w:cs="仿宋_GB2312"/>
                <w:i/>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22</w:t>
            </w:r>
            <w:r>
              <w:rPr>
                <w:rFonts w:hint="eastAsia" w:ascii="仿宋_GB2312" w:hAnsi="仿宋_GB2312" w:eastAsia="仿宋_GB2312" w:cs="仿宋_GB2312"/>
                <w:kern w:val="0"/>
                <w:sz w:val="32"/>
                <w:szCs w:val="32"/>
              </w:rPr>
              <w:t>年至今的相关同类服务项目合同，每个得5分,满分10分。（投标时提供合同复印件）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1" w:hRule="atLeast"/>
          <w:jc w:val="center"/>
        </w:trPr>
        <w:tc>
          <w:tcPr>
            <w:tcW w:w="13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Cs/>
                <w:kern w:val="0"/>
                <w:sz w:val="32"/>
                <w:szCs w:val="32"/>
              </w:rPr>
            </w:pPr>
          </w:p>
        </w:tc>
        <w:tc>
          <w:tcPr>
            <w:tcW w:w="164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客户评价(</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分)</w:t>
            </w:r>
          </w:p>
        </w:tc>
        <w:tc>
          <w:tcPr>
            <w:tcW w:w="59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22</w:t>
            </w:r>
            <w:r>
              <w:rPr>
                <w:rFonts w:hint="eastAsia" w:ascii="仿宋_GB2312" w:hAnsi="仿宋_GB2312" w:eastAsia="仿宋_GB2312" w:cs="仿宋_GB2312"/>
                <w:kern w:val="0"/>
                <w:sz w:val="32"/>
                <w:szCs w:val="32"/>
              </w:rPr>
              <w:t>年以来的项目（必须为以上投标人业绩情况中的有效计分的业绩，须提供评价单位的联系人及联系方式）。获得项目用户考核评价为正面评价（优秀或满意或相当之类的评价）。每提供一份项目的正面评价得</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分，此项目最高</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分，同一项目不同年份的合同按一份计算，不重复计算分数。（注：提供合同甲方或甲方项目主管部门盖章的评价文件，不提供不得分）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2" w:hRule="atLeast"/>
          <w:jc w:val="center"/>
        </w:trPr>
        <w:tc>
          <w:tcPr>
            <w:tcW w:w="134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价格评分（20分）</w:t>
            </w:r>
          </w:p>
        </w:tc>
        <w:tc>
          <w:tcPr>
            <w:tcW w:w="164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报</w:t>
            </w:r>
            <w:bookmarkStart w:id="1" w:name="_GoBack"/>
            <w:bookmarkEnd w:id="1"/>
            <w:r>
              <w:rPr>
                <w:rFonts w:hint="eastAsia" w:ascii="仿宋_GB2312" w:hAnsi="仿宋_GB2312" w:eastAsia="仿宋_GB2312" w:cs="仿宋_GB2312"/>
                <w:kern w:val="0"/>
                <w:sz w:val="32"/>
                <w:szCs w:val="32"/>
              </w:rPr>
              <w:t>价情况</w:t>
            </w:r>
          </w:p>
        </w:tc>
        <w:tc>
          <w:tcPr>
            <w:tcW w:w="5935"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符合招标文件要求，报价排序，价低者满分20分，依次递减5分。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C4E6582-FA2F-4B9E-AAAA-7C09FE0B2BB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7BD1560-5396-41C0-A76A-0680A9A62B6D}"/>
  </w:font>
  <w:font w:name="方正小标宋简体">
    <w:panose1 w:val="03000509000000000000"/>
    <w:charset w:val="86"/>
    <w:family w:val="auto"/>
    <w:pitch w:val="default"/>
    <w:sig w:usb0="00000001" w:usb1="080E0000" w:usb2="00000000" w:usb3="00000000" w:csb0="00040000" w:csb1="00000000"/>
    <w:embedRegular r:id="rId3" w:fontKey="{917D571C-EF9F-4288-AFD4-D560CC7DCD90}"/>
  </w:font>
  <w:font w:name="仿宋_GB2312">
    <w:panose1 w:val="02010609030101010101"/>
    <w:charset w:val="86"/>
    <w:family w:val="auto"/>
    <w:pitch w:val="default"/>
    <w:sig w:usb0="00000001" w:usb1="080E0000" w:usb2="00000000" w:usb3="00000000" w:csb0="00040000" w:csb1="00000000"/>
    <w:embedRegular r:id="rId4" w:fontKey="{2871C999-5BCF-4C28-8B4E-6CB3D29A1B1E}"/>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xZmJkNWViZWY0ZDg2YjM5MzM2N2RhMWM1OTAxZjgifQ=="/>
  </w:docVars>
  <w:rsids>
    <w:rsidRoot w:val="00AA65B9"/>
    <w:rsid w:val="001316CE"/>
    <w:rsid w:val="00246969"/>
    <w:rsid w:val="003160E2"/>
    <w:rsid w:val="00364627"/>
    <w:rsid w:val="00451920"/>
    <w:rsid w:val="004C36AC"/>
    <w:rsid w:val="004C4248"/>
    <w:rsid w:val="004C484A"/>
    <w:rsid w:val="00563CDE"/>
    <w:rsid w:val="00672C9A"/>
    <w:rsid w:val="00673066"/>
    <w:rsid w:val="006C5ACD"/>
    <w:rsid w:val="006F1040"/>
    <w:rsid w:val="00757D81"/>
    <w:rsid w:val="00894003"/>
    <w:rsid w:val="008D31C7"/>
    <w:rsid w:val="00901368"/>
    <w:rsid w:val="00915C18"/>
    <w:rsid w:val="0093232A"/>
    <w:rsid w:val="00AA65B9"/>
    <w:rsid w:val="00B072AA"/>
    <w:rsid w:val="00C143DA"/>
    <w:rsid w:val="00C33B09"/>
    <w:rsid w:val="00C430DF"/>
    <w:rsid w:val="00CB0909"/>
    <w:rsid w:val="00E2502D"/>
    <w:rsid w:val="00F8563F"/>
    <w:rsid w:val="00F977CC"/>
    <w:rsid w:val="00FE0EC0"/>
    <w:rsid w:val="0B4D3BD7"/>
    <w:rsid w:val="17D5272F"/>
    <w:rsid w:val="2F4B2025"/>
    <w:rsid w:val="318661C4"/>
    <w:rsid w:val="58EC6F6F"/>
    <w:rsid w:val="71E47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2171</Words>
  <Characters>2255</Characters>
  <Lines>16</Lines>
  <Paragraphs>4</Paragraphs>
  <TotalTime>35</TotalTime>
  <ScaleCrop>false</ScaleCrop>
  <LinksUpToDate>false</LinksUpToDate>
  <CharactersWithSpaces>2278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2021-05-19T00:19:00Z</dcterms:created>
  <dc:creator>AutoBVT</dc:creator>
  <cp:lastModifiedBy>柑* ~*</cp:lastModifiedBy>
  <cp:lastPrinted>2024-08-12T07:46:00Z</cp:lastPrinted>
  <dcterms:modified xsi:type="dcterms:W3CDTF">2025-07-18T07:01:45Z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A15DBC0CF55049C094D44283A8611F73_13</vt:lpwstr>
  </property>
  <property fmtid="{D5CDD505-2E9C-101B-9397-08002B2CF9AE}" pid="4" name="KSOTemplateDocerSaveRecord">
    <vt:lpwstr>eyJoZGlkIjoiYjhlOGUzMjNkZjE4MGVkNGFkZGI1YmYxOWIwMWQ4YmUiLCJ1c2VySWQiOiI0MDg5MDIyMjcifQ==</vt:lpwstr>
  </property>
</Properties>
</file>