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D7D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right="0"/>
        <w:jc w:val="center"/>
        <w:rPr>
          <w:rFonts w:hint="eastAsia" w:ascii="宋体" w:hAnsi="宋体" w:eastAsia="宋体" w:cs="宋体"/>
          <w:i w:val="0"/>
          <w:iCs w:val="0"/>
          <w:caps w:val="0"/>
          <w:color w:val="333333"/>
          <w:spacing w:val="0"/>
          <w:sz w:val="44"/>
          <w:szCs w:val="44"/>
          <w:shd w:val="clear" w:fill="FFFFFF"/>
          <w:lang w:eastAsia="zh-CN"/>
        </w:rPr>
      </w:pPr>
      <w:r>
        <w:rPr>
          <w:rFonts w:hint="eastAsia" w:ascii="宋体" w:hAnsi="宋体" w:eastAsia="宋体" w:cs="宋体"/>
          <w:i w:val="0"/>
          <w:iCs w:val="0"/>
          <w:caps w:val="0"/>
          <w:color w:val="333333"/>
          <w:spacing w:val="0"/>
          <w:sz w:val="44"/>
          <w:szCs w:val="44"/>
          <w:shd w:val="clear" w:fill="FFFFFF"/>
        </w:rPr>
        <w:t>开平市202</w:t>
      </w:r>
      <w:r>
        <w:rPr>
          <w:rFonts w:hint="eastAsia" w:ascii="宋体" w:hAnsi="宋体" w:eastAsia="宋体" w:cs="宋体"/>
          <w:i w:val="0"/>
          <w:iCs w:val="0"/>
          <w:caps w:val="0"/>
          <w:color w:val="333333"/>
          <w:spacing w:val="0"/>
          <w:sz w:val="44"/>
          <w:szCs w:val="44"/>
          <w:shd w:val="clear" w:fill="FFFFFF"/>
          <w:lang w:val="en-US" w:eastAsia="zh-CN"/>
        </w:rPr>
        <w:t>5</w:t>
      </w:r>
      <w:r>
        <w:rPr>
          <w:rFonts w:hint="eastAsia" w:ascii="宋体" w:hAnsi="宋体" w:eastAsia="宋体" w:cs="宋体"/>
          <w:i w:val="0"/>
          <w:iCs w:val="0"/>
          <w:caps w:val="0"/>
          <w:color w:val="333333"/>
          <w:spacing w:val="0"/>
          <w:sz w:val="44"/>
          <w:szCs w:val="44"/>
          <w:shd w:val="clear" w:fill="FFFFFF"/>
        </w:rPr>
        <w:t>年中央财政衔接推进乡村振兴补助资金</w:t>
      </w:r>
      <w:r>
        <w:rPr>
          <w:rFonts w:hint="eastAsia" w:ascii="宋体" w:hAnsi="宋体" w:eastAsia="宋体" w:cs="宋体"/>
          <w:i w:val="0"/>
          <w:iCs w:val="0"/>
          <w:caps w:val="0"/>
          <w:color w:val="333333"/>
          <w:spacing w:val="0"/>
          <w:sz w:val="44"/>
          <w:szCs w:val="44"/>
          <w:shd w:val="clear" w:fill="FFFFFF"/>
          <w:lang w:eastAsia="zh-CN"/>
        </w:rPr>
        <w:t>实施方案</w:t>
      </w:r>
    </w:p>
    <w:p w14:paraId="72FAC1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right="0"/>
        <w:jc w:val="center"/>
        <w:rPr>
          <w:rFonts w:hint="eastAsia" w:ascii="宋体" w:hAnsi="宋体" w:eastAsia="宋体" w:cs="宋体"/>
          <w:i w:val="0"/>
          <w:iCs w:val="0"/>
          <w:caps w:val="0"/>
          <w:color w:val="333333"/>
          <w:spacing w:val="0"/>
          <w:sz w:val="30"/>
          <w:szCs w:val="30"/>
          <w:shd w:val="clear" w:fill="FFFFFF"/>
          <w:lang w:eastAsia="zh-CN"/>
        </w:rPr>
      </w:pPr>
    </w:p>
    <w:p w14:paraId="23D12A10">
      <w:pPr>
        <w:pStyle w:val="2"/>
        <w:bidi w:val="0"/>
        <w:rPr>
          <w:rFonts w:hint="eastAsia" w:ascii="仿宋" w:hAnsi="仿宋" w:eastAsia="仿宋" w:cs="仿宋"/>
          <w:b w:val="0"/>
          <w:bCs w:val="0"/>
          <w:color w:val="auto"/>
          <w:u w:val="none"/>
          <w:lang w:eastAsia="zh-CN"/>
        </w:rPr>
      </w:pPr>
      <w:r>
        <w:rPr>
          <w:rFonts w:hint="eastAsia" w:ascii="仿宋" w:hAnsi="仿宋" w:eastAsia="仿宋" w:cs="仿宋"/>
          <w:b w:val="0"/>
          <w:bCs w:val="0"/>
          <w:color w:val="auto"/>
          <w:u w:val="none"/>
        </w:rPr>
        <w:t>一、</w:t>
      </w:r>
      <w:r>
        <w:rPr>
          <w:rFonts w:hint="eastAsia" w:ascii="仿宋" w:hAnsi="仿宋" w:eastAsia="仿宋" w:cs="仿宋"/>
          <w:b w:val="0"/>
          <w:bCs w:val="0"/>
          <w:color w:val="auto"/>
          <w:u w:val="none"/>
          <w:lang w:eastAsia="zh-CN"/>
        </w:rPr>
        <w:t>资金来源</w:t>
      </w:r>
    </w:p>
    <w:p w14:paraId="6F425B01">
      <w:pPr>
        <w:ind w:firstLine="640" w:firstLineChars="200"/>
        <w:rPr>
          <w:rFonts w:hint="eastAsia" w:ascii="仿宋" w:hAnsi="仿宋" w:eastAsia="仿宋" w:cs="仿宋"/>
          <w:b w:val="0"/>
          <w:bCs w:val="0"/>
          <w:color w:val="auto"/>
          <w:kern w:val="0"/>
          <w:sz w:val="32"/>
          <w:szCs w:val="32"/>
          <w:u w:val="none"/>
        </w:rPr>
      </w:pPr>
      <w:r>
        <w:rPr>
          <w:rFonts w:hint="eastAsia" w:ascii="仿宋" w:hAnsi="仿宋" w:eastAsia="仿宋" w:cs="仿宋"/>
          <w:b w:val="0"/>
          <w:bCs w:val="0"/>
          <w:kern w:val="2"/>
          <w:sz w:val="32"/>
          <w:szCs w:val="32"/>
          <w:lang w:val="en-US" w:eastAsia="zh-CN" w:bidi="ar-SA"/>
        </w:rPr>
        <w:t>根据《关于提前下达2025年中央财政衔接推进乡村振兴补助资金（巩固拓展脱贫攻坚成果和乡村振兴任务）（不含发展农村集体经济）任务清单的通知</w:t>
      </w:r>
      <w:r>
        <w:rPr>
          <w:rFonts w:hint="eastAsia" w:ascii="仿宋" w:hAnsi="仿宋" w:eastAsia="仿宋" w:cs="仿宋"/>
          <w:b w:val="0"/>
          <w:bCs w:val="0"/>
          <w:color w:val="auto"/>
          <w:kern w:val="2"/>
          <w:sz w:val="32"/>
          <w:szCs w:val="32"/>
          <w:lang w:val="en-US" w:eastAsia="zh-CN" w:bidi="ar-SA"/>
        </w:rPr>
        <w:t>》（粤农农计〔2024〕187号）、《关于调整下达2025年中央财政衔接推进乡村振兴补助资金（巩固拓展脱贫攻坚成果和乡村振兴任务）的通知》（江财农〔2025〕51号）、《关于做好2025年中央衔接推进乡村振兴补助资金项目实施工作的通知》文件精</w:t>
      </w:r>
      <w:r>
        <w:rPr>
          <w:rFonts w:hint="eastAsia" w:ascii="仿宋" w:hAnsi="仿宋" w:eastAsia="仿宋" w:cs="仿宋"/>
          <w:b w:val="0"/>
          <w:bCs w:val="0"/>
          <w:kern w:val="2"/>
          <w:sz w:val="32"/>
          <w:szCs w:val="32"/>
          <w:lang w:val="en-US" w:eastAsia="zh-CN" w:bidi="ar-SA"/>
        </w:rPr>
        <w:t>神，</w:t>
      </w:r>
      <w:r>
        <w:rPr>
          <w:rFonts w:hint="eastAsia" w:ascii="仿宋" w:hAnsi="仿宋" w:eastAsia="仿宋" w:cs="仿宋"/>
          <w:b w:val="0"/>
          <w:bCs w:val="0"/>
          <w:color w:val="auto"/>
          <w:kern w:val="0"/>
          <w:sz w:val="32"/>
          <w:szCs w:val="32"/>
          <w:lang w:val="en-US" w:eastAsia="zh-CN"/>
        </w:rPr>
        <w:t>今年上级部门下达中央财政衔接推进乡村振兴补助资金965万元，专项用于新型农村集体经济发展项目、</w:t>
      </w:r>
      <w:r>
        <w:rPr>
          <w:rFonts w:hint="eastAsia" w:ascii="仿宋" w:hAnsi="仿宋" w:eastAsia="仿宋" w:cs="仿宋"/>
          <w:color w:val="auto"/>
          <w:sz w:val="32"/>
          <w:szCs w:val="32"/>
          <w:lang w:val="en-US" w:eastAsia="zh-CN"/>
        </w:rPr>
        <w:t>巩固拓展脱贫攻坚成果衔接乡村振兴项目及吸纳脱贫劳动力就业项目</w:t>
      </w:r>
      <w:r>
        <w:rPr>
          <w:rFonts w:hint="eastAsia" w:ascii="仿宋" w:hAnsi="仿宋" w:eastAsia="仿宋" w:cs="仿宋"/>
          <w:b w:val="0"/>
          <w:bCs w:val="0"/>
          <w:color w:val="auto"/>
          <w:kern w:val="2"/>
          <w:sz w:val="32"/>
          <w:szCs w:val="32"/>
          <w:lang w:val="en-US" w:eastAsia="zh-CN" w:bidi="ar-SA"/>
        </w:rPr>
        <w:t>。</w:t>
      </w:r>
    </w:p>
    <w:p w14:paraId="1C5476B9">
      <w:pPr>
        <w:pStyle w:val="2"/>
        <w:bidi w:val="0"/>
        <w:rPr>
          <w:rFonts w:hint="eastAsia" w:ascii="仿宋" w:hAnsi="仿宋" w:eastAsia="仿宋" w:cs="仿宋"/>
          <w:b w:val="0"/>
          <w:bCs w:val="0"/>
          <w:color w:val="auto"/>
          <w:u w:val="none"/>
        </w:rPr>
      </w:pPr>
      <w:r>
        <w:rPr>
          <w:rFonts w:hint="eastAsia" w:ascii="仿宋" w:hAnsi="仿宋" w:eastAsia="仿宋" w:cs="仿宋"/>
          <w:b w:val="0"/>
          <w:bCs w:val="0"/>
          <w:color w:val="auto"/>
          <w:u w:val="none"/>
        </w:rPr>
        <w:t>二、实施内容</w:t>
      </w:r>
    </w:p>
    <w:p w14:paraId="0496A8F8">
      <w:pPr>
        <w:ind w:firstLine="640" w:firstLineChars="200"/>
        <w:rPr>
          <w:rFonts w:hint="eastAsia" w:ascii="仿宋" w:hAnsi="仿宋" w:eastAsia="仿宋" w:cs="仿宋"/>
          <w:b w:val="0"/>
          <w:bCs w:val="0"/>
          <w:color w:val="auto"/>
          <w:kern w:val="0"/>
          <w:sz w:val="32"/>
          <w:szCs w:val="32"/>
          <w:u w:val="none"/>
        </w:rPr>
      </w:pPr>
      <w:r>
        <w:rPr>
          <w:rFonts w:hint="eastAsia" w:ascii="仿宋" w:hAnsi="仿宋" w:eastAsia="仿宋" w:cs="仿宋"/>
          <w:b w:val="0"/>
          <w:bCs w:val="0"/>
          <w:color w:val="auto"/>
          <w:kern w:val="0"/>
          <w:sz w:val="32"/>
          <w:szCs w:val="32"/>
          <w:u w:val="none"/>
          <w:lang w:val="en-US" w:eastAsia="zh-CN"/>
        </w:rPr>
        <w:t>1.</w:t>
      </w:r>
      <w:r>
        <w:rPr>
          <w:rFonts w:hint="eastAsia" w:ascii="仿宋" w:hAnsi="仿宋" w:eastAsia="仿宋" w:cs="仿宋"/>
          <w:b w:val="0"/>
          <w:bCs w:val="0"/>
          <w:color w:val="auto"/>
          <w:kern w:val="0"/>
          <w:sz w:val="32"/>
          <w:szCs w:val="32"/>
          <w:lang w:val="en-US" w:eastAsia="zh-CN"/>
        </w:rPr>
        <w:t>新型农村集体经济发展项目</w:t>
      </w:r>
    </w:p>
    <w:p w14:paraId="31FE1474">
      <w:pPr>
        <w:ind w:firstLine="640" w:firstLineChars="200"/>
        <w:rPr>
          <w:rFonts w:hint="eastAsia" w:ascii="仿宋" w:hAnsi="仿宋" w:eastAsia="仿宋" w:cs="仿宋"/>
          <w:b w:val="0"/>
          <w:bCs w:val="0"/>
          <w:color w:val="auto"/>
          <w:kern w:val="0"/>
          <w:sz w:val="32"/>
          <w:szCs w:val="32"/>
          <w:u w:val="none"/>
          <w:lang w:eastAsia="zh-CN"/>
        </w:rPr>
      </w:pPr>
      <w:r>
        <w:rPr>
          <w:rFonts w:hint="eastAsia" w:ascii="仿宋" w:hAnsi="仿宋" w:eastAsia="仿宋" w:cs="仿宋"/>
          <w:b w:val="0"/>
          <w:bCs w:val="0"/>
          <w:color w:val="auto"/>
          <w:kern w:val="0"/>
          <w:sz w:val="32"/>
          <w:szCs w:val="32"/>
          <w:u w:val="none"/>
          <w:lang w:eastAsia="zh-CN"/>
        </w:rPr>
        <w:t>用于支持马冈镇的集体经济项目，推动产业水平不断提升，充分利用各类自然资源通过整理整治改善利用条件发展种植养殖、农产品初加工等联农带农富农产业，打造消费者认可、能形成竞争优势的特色产业；发展乡村旅游、休闲观光、餐饮民宿、文化体验、健康养生等新型服务业。支持村集体经济组织改造利用现有资产创新运营模式，探索采取直接运营、委托经营、出租经营、入股经营等多种方式盘活利用集体资产。</w:t>
      </w:r>
    </w:p>
    <w:p w14:paraId="2722D428">
      <w:pPr>
        <w:ind w:firstLine="640" w:firstLineChars="200"/>
        <w:rPr>
          <w:rFonts w:hint="eastAsia" w:ascii="仿宋" w:hAnsi="仿宋" w:eastAsia="仿宋" w:cs="仿宋"/>
          <w:b w:val="0"/>
          <w:bCs w:val="0"/>
          <w:color w:val="auto"/>
          <w:kern w:val="0"/>
          <w:sz w:val="32"/>
          <w:szCs w:val="32"/>
          <w:u w:val="none"/>
          <w:lang w:eastAsia="zh-CN"/>
        </w:rPr>
      </w:pPr>
      <w:r>
        <w:rPr>
          <w:rFonts w:hint="eastAsia" w:ascii="仿宋" w:hAnsi="仿宋" w:eastAsia="仿宋" w:cs="仿宋"/>
          <w:b w:val="0"/>
          <w:bCs w:val="0"/>
          <w:color w:val="auto"/>
          <w:kern w:val="0"/>
          <w:sz w:val="32"/>
          <w:szCs w:val="32"/>
          <w:u w:val="none"/>
          <w:lang w:val="en-US" w:eastAsia="zh-CN"/>
        </w:rPr>
        <w:t>2</w:t>
      </w:r>
      <w:r>
        <w:rPr>
          <w:rFonts w:hint="eastAsia" w:ascii="仿宋" w:hAnsi="仿宋" w:eastAsia="仿宋" w:cs="仿宋"/>
          <w:b w:val="0"/>
          <w:bCs w:val="0"/>
          <w:color w:val="auto"/>
          <w:kern w:val="0"/>
          <w:sz w:val="32"/>
          <w:szCs w:val="32"/>
          <w:u w:val="none"/>
        </w:rPr>
        <w:t>.</w:t>
      </w:r>
      <w:r>
        <w:rPr>
          <w:rFonts w:hint="eastAsia" w:ascii="仿宋" w:hAnsi="仿宋" w:eastAsia="仿宋" w:cs="仿宋"/>
          <w:color w:val="auto"/>
          <w:sz w:val="32"/>
          <w:szCs w:val="32"/>
          <w:lang w:val="en-US" w:eastAsia="zh-CN"/>
        </w:rPr>
        <w:t>巩固拓展脱贫攻坚成果衔接乡村振兴项目</w:t>
      </w:r>
    </w:p>
    <w:p w14:paraId="21F1E07B">
      <w:pPr>
        <w:ind w:firstLine="640" w:firstLineChars="200"/>
        <w:rPr>
          <w:rFonts w:hint="default" w:ascii="仿宋" w:hAnsi="仿宋" w:eastAsia="仿宋" w:cs="仿宋"/>
          <w:b w:val="0"/>
          <w:bCs w:val="0"/>
          <w:color w:val="auto"/>
          <w:kern w:val="0"/>
          <w:sz w:val="32"/>
          <w:szCs w:val="32"/>
          <w:u w:val="none"/>
          <w:lang w:val="en-US" w:eastAsia="zh-CN"/>
        </w:rPr>
      </w:pPr>
      <w:r>
        <w:rPr>
          <w:rFonts w:hint="eastAsia" w:ascii="仿宋" w:hAnsi="仿宋" w:eastAsia="仿宋" w:cs="仿宋"/>
          <w:b w:val="0"/>
          <w:bCs w:val="0"/>
          <w:color w:val="auto"/>
          <w:kern w:val="0"/>
          <w:sz w:val="32"/>
          <w:szCs w:val="32"/>
          <w:u w:val="none"/>
          <w:lang w:eastAsia="zh-CN"/>
        </w:rPr>
        <w:t>用于</w:t>
      </w:r>
      <w:r>
        <w:rPr>
          <w:rFonts w:hint="eastAsia" w:ascii="仿宋" w:hAnsi="仿宋" w:eastAsia="仿宋" w:cs="仿宋"/>
          <w:b w:val="0"/>
          <w:bCs w:val="0"/>
          <w:color w:val="auto"/>
          <w:kern w:val="0"/>
          <w:sz w:val="32"/>
          <w:szCs w:val="32"/>
          <w:u w:val="none"/>
          <w:lang w:val="en-US" w:eastAsia="zh-CN"/>
        </w:rPr>
        <w:t>15个镇街的34个基础设施建设项目，</w:t>
      </w:r>
      <w:r>
        <w:rPr>
          <w:rFonts w:hint="eastAsia" w:ascii="仿宋" w:hAnsi="仿宋" w:eastAsia="仿宋" w:cs="仿宋"/>
          <w:b w:val="0"/>
          <w:bCs w:val="0"/>
          <w:color w:val="auto"/>
          <w:kern w:val="0"/>
          <w:sz w:val="32"/>
          <w:szCs w:val="32"/>
          <w:u w:val="none"/>
        </w:rPr>
        <w:t>支持补齐必要的村内小型公益性基础设施建设短板，支持农村生活污水治理设施、已完成乡村补短板工程前期工作的项目等基础设施建设</w:t>
      </w:r>
      <w:r>
        <w:rPr>
          <w:rFonts w:hint="eastAsia" w:ascii="仿宋" w:hAnsi="仿宋" w:eastAsia="仿宋" w:cs="仿宋"/>
          <w:b w:val="0"/>
          <w:bCs w:val="0"/>
          <w:color w:val="auto"/>
          <w:kern w:val="0"/>
          <w:sz w:val="32"/>
          <w:szCs w:val="32"/>
          <w:u w:val="none"/>
          <w:lang w:eastAsia="zh-CN"/>
        </w:rPr>
        <w:t>，</w:t>
      </w:r>
      <w:r>
        <w:rPr>
          <w:rFonts w:hint="eastAsia" w:ascii="仿宋" w:hAnsi="仿宋" w:eastAsia="仿宋" w:cs="仿宋"/>
          <w:b w:val="0"/>
          <w:bCs w:val="0"/>
          <w:color w:val="auto"/>
          <w:kern w:val="0"/>
          <w:sz w:val="32"/>
          <w:szCs w:val="32"/>
          <w:u w:val="none"/>
          <w:lang w:val="en-US" w:eastAsia="zh-CN"/>
        </w:rPr>
        <w:t>包括公厕改造、路灯改造、道路硬底化等内容。</w:t>
      </w:r>
    </w:p>
    <w:p w14:paraId="0EC58511">
      <w:pPr>
        <w:ind w:firstLine="640" w:firstLineChars="200"/>
        <w:rPr>
          <w:rFonts w:hint="eastAsia" w:ascii="仿宋" w:hAnsi="仿宋" w:eastAsia="仿宋" w:cs="仿宋"/>
          <w:b w:val="0"/>
          <w:bCs w:val="0"/>
          <w:color w:val="auto"/>
          <w:kern w:val="0"/>
          <w:sz w:val="32"/>
          <w:szCs w:val="32"/>
          <w:u w:val="none"/>
        </w:rPr>
      </w:pPr>
      <w:r>
        <w:rPr>
          <w:rFonts w:hint="eastAsia" w:ascii="仿宋" w:hAnsi="仿宋" w:eastAsia="仿宋" w:cs="仿宋"/>
          <w:b w:val="0"/>
          <w:bCs w:val="0"/>
          <w:color w:val="auto"/>
          <w:kern w:val="0"/>
          <w:sz w:val="32"/>
          <w:szCs w:val="32"/>
          <w:u w:val="none"/>
          <w:lang w:val="en-US" w:eastAsia="zh-CN"/>
        </w:rPr>
        <w:t>3</w:t>
      </w:r>
      <w:r>
        <w:rPr>
          <w:rFonts w:hint="eastAsia" w:ascii="仿宋" w:hAnsi="仿宋" w:eastAsia="仿宋" w:cs="仿宋"/>
          <w:b w:val="0"/>
          <w:bCs w:val="0"/>
          <w:color w:val="auto"/>
          <w:kern w:val="0"/>
          <w:sz w:val="32"/>
          <w:szCs w:val="32"/>
          <w:u w:val="none"/>
        </w:rPr>
        <w:t>.</w:t>
      </w:r>
      <w:r>
        <w:rPr>
          <w:rFonts w:hint="eastAsia" w:ascii="仿宋" w:hAnsi="仿宋" w:eastAsia="仿宋" w:cs="仿宋"/>
          <w:color w:val="auto"/>
          <w:sz w:val="32"/>
          <w:szCs w:val="32"/>
          <w:lang w:val="en-US" w:eastAsia="zh-CN"/>
        </w:rPr>
        <w:t>吸纳脱贫劳动力就业项目</w:t>
      </w:r>
    </w:p>
    <w:p w14:paraId="5B9F4189">
      <w:pPr>
        <w:ind w:firstLine="640" w:firstLineChars="200"/>
        <w:rPr>
          <w:rFonts w:hint="eastAsia" w:ascii="仿宋" w:hAnsi="仿宋" w:eastAsia="仿宋" w:cs="仿宋"/>
          <w:b w:val="0"/>
          <w:bCs w:val="0"/>
          <w:color w:val="auto"/>
          <w:kern w:val="0"/>
          <w:sz w:val="32"/>
          <w:szCs w:val="32"/>
          <w:u w:val="none"/>
        </w:rPr>
      </w:pPr>
      <w:r>
        <w:rPr>
          <w:rFonts w:hint="eastAsia" w:ascii="仿宋" w:hAnsi="仿宋" w:eastAsia="仿宋" w:cs="仿宋"/>
          <w:b w:val="0"/>
          <w:bCs w:val="0"/>
          <w:color w:val="auto"/>
          <w:kern w:val="0"/>
          <w:sz w:val="32"/>
          <w:szCs w:val="32"/>
          <w:u w:val="none"/>
          <w:lang w:val="en-US" w:eastAsia="zh-CN"/>
        </w:rPr>
        <w:t>奖励吸纳外省脱贫人口稳岗就业的在江门企业、农民专业合作社和社会组织，奖励转移外省脱贫劳动力来粤务工的劳务机构，鼓励开平市企业吸纳外省脱贫人口就业，按照5000元/人的标准，一次性发放就业补贴。</w:t>
      </w:r>
    </w:p>
    <w:p w14:paraId="33D3B399">
      <w:pPr>
        <w:pStyle w:val="2"/>
        <w:bidi w:val="0"/>
        <w:rPr>
          <w:rFonts w:hint="eastAsia" w:ascii="仿宋" w:hAnsi="仿宋" w:eastAsia="仿宋" w:cs="仿宋"/>
          <w:b w:val="0"/>
          <w:bCs w:val="0"/>
          <w:color w:val="auto"/>
          <w:u w:val="none"/>
          <w:lang w:eastAsia="zh-CN"/>
        </w:rPr>
      </w:pPr>
      <w:r>
        <w:rPr>
          <w:rFonts w:hint="eastAsia" w:ascii="仿宋" w:hAnsi="仿宋" w:eastAsia="仿宋" w:cs="仿宋"/>
          <w:b w:val="0"/>
          <w:bCs w:val="0"/>
          <w:color w:val="auto"/>
          <w:u w:val="none"/>
        </w:rPr>
        <w:t>三、</w:t>
      </w:r>
      <w:r>
        <w:rPr>
          <w:rFonts w:hint="eastAsia" w:ascii="仿宋" w:hAnsi="仿宋" w:eastAsia="仿宋" w:cs="仿宋"/>
          <w:b w:val="0"/>
          <w:bCs w:val="0"/>
          <w:color w:val="auto"/>
          <w:u w:val="none"/>
          <w:lang w:eastAsia="zh-CN"/>
        </w:rPr>
        <w:t>资金使用计划</w:t>
      </w:r>
    </w:p>
    <w:p w14:paraId="1218CEC1">
      <w:pPr>
        <w:ind w:firstLine="640" w:firstLineChars="200"/>
        <w:rPr>
          <w:rFonts w:hint="default" w:ascii="仿宋" w:hAnsi="仿宋" w:eastAsia="仿宋" w:cs="仿宋"/>
          <w:b w:val="0"/>
          <w:bCs w:val="0"/>
          <w:color w:val="auto"/>
          <w:kern w:val="0"/>
          <w:sz w:val="32"/>
          <w:szCs w:val="32"/>
          <w:u w:val="none"/>
          <w:lang w:val="en-US" w:eastAsia="zh-CN"/>
        </w:rPr>
      </w:pPr>
      <w:r>
        <w:rPr>
          <w:rFonts w:hint="eastAsia" w:ascii="仿宋" w:hAnsi="仿宋" w:eastAsia="仿宋" w:cs="仿宋"/>
          <w:b w:val="0"/>
          <w:bCs w:val="0"/>
          <w:color w:val="auto"/>
          <w:kern w:val="0"/>
          <w:sz w:val="32"/>
          <w:szCs w:val="32"/>
          <w:u w:val="none"/>
          <w:lang w:val="en-US" w:eastAsia="zh-CN"/>
        </w:rPr>
        <w:t>1.</w:t>
      </w:r>
      <w:r>
        <w:rPr>
          <w:rFonts w:hint="eastAsia" w:ascii="仿宋" w:hAnsi="仿宋" w:eastAsia="仿宋" w:cs="仿宋"/>
          <w:b w:val="0"/>
          <w:bCs w:val="0"/>
          <w:color w:val="auto"/>
          <w:kern w:val="0"/>
          <w:sz w:val="32"/>
          <w:szCs w:val="32"/>
          <w:lang w:val="en-US" w:eastAsia="zh-CN"/>
        </w:rPr>
        <w:t>新型农村集体经济发展项目480万元</w:t>
      </w:r>
      <w:r>
        <w:rPr>
          <w:rFonts w:hint="eastAsia" w:ascii="仿宋" w:hAnsi="仿宋" w:eastAsia="仿宋" w:cs="仿宋"/>
          <w:b w:val="0"/>
          <w:bCs w:val="0"/>
          <w:color w:val="auto"/>
          <w:kern w:val="0"/>
          <w:sz w:val="32"/>
          <w:szCs w:val="32"/>
          <w:u w:val="none"/>
          <w:lang w:val="en-US" w:eastAsia="zh-CN"/>
        </w:rPr>
        <w:t>；</w:t>
      </w:r>
    </w:p>
    <w:p w14:paraId="04E2B36F">
      <w:pPr>
        <w:ind w:firstLine="640" w:firstLineChars="200"/>
        <w:rPr>
          <w:rFonts w:hint="default" w:ascii="仿宋" w:hAnsi="仿宋" w:eastAsia="仿宋" w:cs="仿宋"/>
          <w:b w:val="0"/>
          <w:bCs w:val="0"/>
          <w:color w:val="auto"/>
          <w:kern w:val="0"/>
          <w:sz w:val="32"/>
          <w:szCs w:val="32"/>
          <w:u w:val="none"/>
          <w:lang w:val="en-US" w:eastAsia="zh-CN"/>
        </w:rPr>
      </w:pPr>
      <w:r>
        <w:rPr>
          <w:rFonts w:hint="eastAsia" w:ascii="仿宋" w:hAnsi="仿宋" w:eastAsia="仿宋" w:cs="仿宋"/>
          <w:b w:val="0"/>
          <w:bCs w:val="0"/>
          <w:color w:val="auto"/>
          <w:kern w:val="0"/>
          <w:sz w:val="32"/>
          <w:szCs w:val="32"/>
          <w:u w:val="none"/>
          <w:lang w:val="en-US" w:eastAsia="zh-CN"/>
        </w:rPr>
        <w:t>2</w:t>
      </w:r>
      <w:r>
        <w:rPr>
          <w:rFonts w:hint="eastAsia" w:ascii="仿宋" w:hAnsi="仿宋" w:eastAsia="仿宋" w:cs="仿宋"/>
          <w:b w:val="0"/>
          <w:bCs w:val="0"/>
          <w:color w:val="auto"/>
          <w:kern w:val="0"/>
          <w:sz w:val="32"/>
          <w:szCs w:val="32"/>
          <w:u w:val="none"/>
        </w:rPr>
        <w:t>.</w:t>
      </w:r>
      <w:r>
        <w:rPr>
          <w:rFonts w:hint="eastAsia" w:ascii="仿宋" w:hAnsi="仿宋" w:eastAsia="仿宋" w:cs="仿宋"/>
          <w:color w:val="auto"/>
          <w:sz w:val="32"/>
          <w:szCs w:val="32"/>
          <w:lang w:val="en-US" w:eastAsia="zh-CN"/>
        </w:rPr>
        <w:t>巩固拓展脱贫攻坚成果衔接乡村振兴项目463</w:t>
      </w:r>
      <w:r>
        <w:rPr>
          <w:rFonts w:hint="eastAsia" w:ascii="仿宋" w:hAnsi="仿宋" w:eastAsia="仿宋" w:cs="仿宋"/>
          <w:b w:val="0"/>
          <w:bCs w:val="0"/>
          <w:color w:val="auto"/>
          <w:kern w:val="0"/>
          <w:sz w:val="32"/>
          <w:szCs w:val="32"/>
          <w:u w:val="none"/>
          <w:lang w:val="en-US" w:eastAsia="zh-CN"/>
        </w:rPr>
        <w:t>万元；</w:t>
      </w:r>
    </w:p>
    <w:p w14:paraId="198078E5">
      <w:pPr>
        <w:ind w:firstLine="640" w:firstLineChars="200"/>
        <w:rPr>
          <w:rFonts w:hint="default" w:ascii="仿宋" w:hAnsi="仿宋" w:eastAsia="仿宋" w:cs="仿宋"/>
          <w:b w:val="0"/>
          <w:bCs w:val="0"/>
          <w:color w:val="auto"/>
          <w:kern w:val="0"/>
          <w:sz w:val="32"/>
          <w:szCs w:val="32"/>
          <w:u w:val="none"/>
          <w:lang w:val="en-US" w:eastAsia="zh-CN"/>
        </w:rPr>
      </w:pPr>
      <w:r>
        <w:rPr>
          <w:rFonts w:hint="eastAsia" w:ascii="仿宋" w:hAnsi="仿宋" w:eastAsia="仿宋" w:cs="仿宋"/>
          <w:b w:val="0"/>
          <w:bCs w:val="0"/>
          <w:color w:val="auto"/>
          <w:kern w:val="0"/>
          <w:sz w:val="32"/>
          <w:szCs w:val="32"/>
          <w:u w:val="none"/>
          <w:lang w:val="en-US" w:eastAsia="zh-CN"/>
        </w:rPr>
        <w:t>3</w:t>
      </w:r>
      <w:r>
        <w:rPr>
          <w:rFonts w:hint="eastAsia" w:ascii="仿宋" w:hAnsi="仿宋" w:eastAsia="仿宋" w:cs="仿宋"/>
          <w:b w:val="0"/>
          <w:bCs w:val="0"/>
          <w:color w:val="auto"/>
          <w:kern w:val="0"/>
          <w:sz w:val="32"/>
          <w:szCs w:val="32"/>
          <w:u w:val="none"/>
        </w:rPr>
        <w:t>.</w:t>
      </w:r>
      <w:r>
        <w:rPr>
          <w:rFonts w:hint="eastAsia" w:ascii="仿宋" w:hAnsi="仿宋" w:eastAsia="仿宋" w:cs="仿宋"/>
          <w:color w:val="auto"/>
          <w:sz w:val="32"/>
          <w:szCs w:val="32"/>
          <w:lang w:val="en-US" w:eastAsia="zh-CN"/>
        </w:rPr>
        <w:t>吸纳脱贫劳动力就业项目22万元，其中17万元用于建设基础设施项目，5万元用于鼓励开平市企业吸纳外省脱贫人口就业</w:t>
      </w:r>
      <w:r>
        <w:rPr>
          <w:rFonts w:hint="eastAsia" w:ascii="仿宋" w:hAnsi="仿宋" w:eastAsia="仿宋" w:cs="仿宋"/>
          <w:b w:val="0"/>
          <w:bCs w:val="0"/>
          <w:color w:val="auto"/>
          <w:kern w:val="0"/>
          <w:sz w:val="32"/>
          <w:szCs w:val="32"/>
          <w:u w:val="none"/>
          <w:lang w:val="en-US" w:eastAsia="zh-CN"/>
        </w:rPr>
        <w:t>。</w:t>
      </w:r>
    </w:p>
    <w:p w14:paraId="5CF0A3D5">
      <w:pPr>
        <w:pStyle w:val="2"/>
        <w:bidi w:val="0"/>
        <w:rPr>
          <w:rFonts w:hint="eastAsia" w:ascii="仿宋" w:hAnsi="仿宋" w:eastAsia="仿宋" w:cs="仿宋"/>
          <w:b w:val="0"/>
          <w:bCs w:val="0"/>
          <w:color w:val="auto"/>
          <w:u w:val="none"/>
        </w:rPr>
      </w:pPr>
      <w:r>
        <w:rPr>
          <w:rFonts w:hint="eastAsia" w:ascii="仿宋" w:hAnsi="仿宋" w:eastAsia="仿宋" w:cs="仿宋"/>
          <w:b w:val="0"/>
          <w:bCs w:val="0"/>
          <w:color w:val="auto"/>
          <w:u w:val="none"/>
        </w:rPr>
        <w:t>四、保障措施</w:t>
      </w:r>
    </w:p>
    <w:p w14:paraId="1A24310E">
      <w:pPr>
        <w:pStyle w:val="2"/>
        <w:bidi w:val="0"/>
        <w:rPr>
          <w:rFonts w:hint="eastAsia" w:ascii="仿宋" w:hAnsi="仿宋" w:eastAsia="仿宋" w:cs="仿宋"/>
          <w:sz w:val="32"/>
          <w:szCs w:val="32"/>
          <w:lang w:val="en-US" w:eastAsia="zh-CN"/>
        </w:rPr>
      </w:pPr>
      <w:r>
        <w:rPr>
          <w:rFonts w:hint="eastAsia" w:ascii="仿宋" w:hAnsi="仿宋" w:cs="仿宋"/>
          <w:sz w:val="32"/>
          <w:szCs w:val="32"/>
          <w:lang w:val="en-US" w:eastAsia="zh-CN"/>
        </w:rPr>
        <w:t>1.</w:t>
      </w:r>
      <w:r>
        <w:rPr>
          <w:rFonts w:hint="eastAsia" w:ascii="仿宋" w:hAnsi="仿宋" w:eastAsia="仿宋" w:cs="仿宋"/>
          <w:sz w:val="32"/>
          <w:szCs w:val="32"/>
          <w:lang w:val="en-US" w:eastAsia="zh-CN"/>
        </w:rPr>
        <w:t>组织领导。在各村委会设立项目建设协调小组，加强对项目实施工作的领导，确保项目顺利实施。</w:t>
      </w:r>
    </w:p>
    <w:p w14:paraId="20C9CDC9">
      <w:pPr>
        <w:pStyle w:val="2"/>
        <w:bidi w:val="0"/>
        <w:rPr>
          <w:rFonts w:hint="eastAsia" w:ascii="仿宋" w:hAnsi="仿宋" w:eastAsia="仿宋" w:cs="仿宋"/>
          <w:sz w:val="32"/>
          <w:szCs w:val="32"/>
          <w:lang w:val="en-US" w:eastAsia="zh-CN"/>
        </w:rPr>
      </w:pPr>
      <w:bookmarkStart w:id="0" w:name="_GoBack"/>
      <w:bookmarkEnd w:id="0"/>
      <w:r>
        <w:rPr>
          <w:rFonts w:hint="eastAsia" w:ascii="仿宋" w:hAnsi="仿宋" w:cs="仿宋"/>
          <w:sz w:val="32"/>
          <w:szCs w:val="32"/>
          <w:lang w:val="en-US" w:eastAsia="zh-CN"/>
        </w:rPr>
        <w:t>2.</w:t>
      </w:r>
      <w:r>
        <w:rPr>
          <w:rFonts w:hint="eastAsia" w:ascii="仿宋" w:hAnsi="仿宋" w:eastAsia="仿宋" w:cs="仿宋"/>
          <w:sz w:val="32"/>
          <w:szCs w:val="32"/>
          <w:lang w:val="en-US" w:eastAsia="zh-CN"/>
        </w:rPr>
        <w:t>落实工作责任。切实按照项目发展的责任分工，各司其责，加强联动，整合资源，合理推进。按照谁主管，谁负责的原则，切实制定建设工作实施方案，并组织落实。切实履行好相关决议，做好建设的宣传发动、组织实施和管理服务等工作。</w:t>
      </w:r>
    </w:p>
    <w:p w14:paraId="24DF46C8">
      <w:pPr>
        <w:pStyle w:val="2"/>
        <w:bidi w:val="0"/>
        <w:rPr>
          <w:rFonts w:hint="eastAsia" w:ascii="仿宋" w:hAnsi="仿宋" w:eastAsia="仿宋" w:cs="仿宋"/>
          <w:sz w:val="32"/>
          <w:szCs w:val="32"/>
          <w:lang w:val="en-US" w:eastAsia="zh-CN"/>
        </w:rPr>
      </w:pPr>
      <w:r>
        <w:rPr>
          <w:rFonts w:hint="eastAsia" w:ascii="仿宋" w:hAnsi="仿宋" w:cs="仿宋"/>
          <w:sz w:val="32"/>
          <w:szCs w:val="32"/>
          <w:lang w:val="en-US" w:eastAsia="zh-CN"/>
        </w:rPr>
        <w:t>3.</w:t>
      </w:r>
      <w:r>
        <w:rPr>
          <w:rFonts w:hint="eastAsia" w:ascii="仿宋" w:hAnsi="仿宋" w:eastAsia="仿宋" w:cs="仿宋"/>
          <w:sz w:val="32"/>
          <w:szCs w:val="32"/>
          <w:lang w:val="en-US" w:eastAsia="zh-CN"/>
        </w:rPr>
        <w:t>资金管理。资金管理措施严格按照项目主管部门和财政部门的规定，规范资金管理，保障项目资金专款专用。并按照有关规定落实报账制度，项目资金实行专账管理。规范请款手续，健全审批制度，按资金规定用途范围和要求合理安排使用。</w:t>
      </w:r>
    </w:p>
    <w:p w14:paraId="4F52B9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500E6"/>
    <w:rsid w:val="12527D3F"/>
    <w:rsid w:val="1356593D"/>
    <w:rsid w:val="17005C72"/>
    <w:rsid w:val="303B7C0D"/>
    <w:rsid w:val="352E78E4"/>
    <w:rsid w:val="58C71D17"/>
    <w:rsid w:val="71F94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val="0"/>
      <w:keepLines w:val="0"/>
      <w:spacing w:beforeLines="0" w:beforeAutospacing="0" w:afterLines="0" w:afterAutospacing="0" w:line="240" w:lineRule="auto"/>
      <w:ind w:left="0" w:leftChars="0" w:firstLine="872" w:firstLineChars="200"/>
      <w:outlineLvl w:val="1"/>
    </w:pPr>
    <w:rPr>
      <w:rFonts w:ascii="Arial" w:hAnsi="Arial" w:eastAsia="黑体" w:cstheme="minorBidi"/>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1074</Words>
  <Characters>1117</Characters>
  <Lines>0</Lines>
  <Paragraphs>0</Paragraphs>
  <TotalTime>4</TotalTime>
  <ScaleCrop>false</ScaleCrop>
  <LinksUpToDate>false</LinksUpToDate>
  <CharactersWithSpaces>1117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2025-07-30T08:27:53Z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eyJoZGlkIjoiOGIxODdhMWJkZWM0YzBjNTU2MjZlY2Y4NTUzMWJiZmQifQ==</vt:lpwstr>
  </property>
  <property fmtid="{D5CDD505-2E9C-101B-9397-08002B2CF9AE}" pid="4" name="ICV">
    <vt:lpwstr>F0292C1AA7EA44A8ACDD51ECE9F8593F_12</vt:lpwstr>
  </property>
</Properties>
</file>