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附件1：</w:t>
      </w:r>
    </w:p>
    <w:p>
      <w:pPr>
        <w:keepNext w:val="0"/>
        <w:keepLines w:val="0"/>
        <w:widowControl w:val="0"/>
        <w:suppressLineNumbers w:val="0"/>
        <w:autoSpaceDE/>
        <w:autoSpaceDN w:val="0"/>
        <w:spacing w:before="0" w:beforeAutospacing="0" w:after="0" w:afterAutospacing="0"/>
        <w:ind w:left="0" w:right="0"/>
        <w:jc w:val="center"/>
        <w:rPr>
          <w:sz w:val="32"/>
          <w:szCs w:val="32"/>
          <w:lang w:val="en-US"/>
        </w:rPr>
      </w:pPr>
      <w:r>
        <w:rPr>
          <w:rFonts w:hint="eastAsia" w:ascii="黑体" w:hAnsi="宋体" w:eastAsia="黑体" w:cs="黑体"/>
          <w:kern w:val="2"/>
          <w:sz w:val="32"/>
          <w:szCs w:val="32"/>
          <w:lang w:val="en-US" w:eastAsia="zh-CN" w:bidi="ar"/>
        </w:rPr>
        <w:t>开平市2018年政府集中采购目录及限额标</w:t>
      </w:r>
      <w:r>
        <w:rPr>
          <w:rFonts w:hint="eastAsia" w:ascii="仿宋_GB2312" w:hAnsi="Calibri" w:eastAsia="宋体" w:cs="宋体"/>
          <w:kern w:val="2"/>
          <w:sz w:val="32"/>
          <w:szCs w:val="32"/>
          <w:lang w:val="en-US" w:eastAsia="zh-CN" w:bidi="ar"/>
        </w:rPr>
        <w:t>准</w:t>
      </w:r>
    </w:p>
    <w:p>
      <w:pPr>
        <w:keepNext w:val="0"/>
        <w:keepLines w:val="0"/>
        <w:widowControl w:val="0"/>
        <w:suppressLineNumbers w:val="0"/>
        <w:autoSpaceDE/>
        <w:autoSpaceDN w:val="0"/>
        <w:spacing w:before="0" w:beforeAutospacing="0" w:after="0" w:afterAutospacing="0"/>
        <w:ind w:left="0" w:right="0"/>
        <w:jc w:val="center"/>
        <w:rPr>
          <w:lang w:val="en-US"/>
        </w:rPr>
      </w:pPr>
    </w:p>
    <w:tbl>
      <w:tblPr>
        <w:tblStyle w:val="3"/>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28"/>
        <w:gridCol w:w="341"/>
        <w:gridCol w:w="2720"/>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211" w:firstLineChars="100"/>
              <w:jc w:val="left"/>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一、政府集中采购目录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single" w:color="auto" w:sz="4" w:space="0"/>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（一）集中采购机构采购项目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品目编码</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品目名称</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备注</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仿宋_GB2312"/>
                <w:b/>
                <w:bCs w:val="0"/>
                <w:kern w:val="2"/>
                <w:sz w:val="21"/>
                <w:szCs w:val="21"/>
                <w:bdr w:val="none" w:color="auto" w:sz="0" w:space="0"/>
                <w:lang w:val="en-US" w:eastAsia="zh-CN" w:bidi="ar"/>
              </w:rPr>
              <w:t>A</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货物类</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szCs w:val="21"/>
                <w:bdr w:val="none" w:color="auto" w:sz="0" w:space="0"/>
                <w:lang w:val="en-US"/>
              </w:rPr>
            </w:pPr>
            <w:r>
              <w:rPr>
                <w:rFonts w:hint="eastAsia" w:ascii="仿宋_GB2312" w:hAnsi="Calibri" w:eastAsia="宋体" w:cs="宋体"/>
                <w:kern w:val="2"/>
                <w:sz w:val="21"/>
                <w:szCs w:val="21"/>
                <w:bdr w:val="none" w:color="auto" w:sz="0" w:space="0"/>
                <w:lang w:val="en-US" w:eastAsia="zh-CN" w:bidi="ar"/>
              </w:rPr>
              <w:t>　</w:t>
            </w:r>
          </w:p>
          <w:p>
            <w:pPr>
              <w:keepNext w:val="0"/>
              <w:keepLines w:val="0"/>
              <w:widowControl w:val="0"/>
              <w:suppressLineNumbers w:val="0"/>
              <w:autoSpaceDE/>
              <w:autoSpaceDN w:val="0"/>
              <w:spacing w:before="0" w:beforeAutospacing="0" w:after="0" w:afterAutospacing="0"/>
              <w:ind w:left="0" w:right="0"/>
              <w:jc w:val="both"/>
              <w:rPr>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通用设备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A0201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计算机设备及软件</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A02010103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服务器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A02010104</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台式计算机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图形工作站除外。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A02010105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便携式计算机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移动工作站除外。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A020102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计算机网络设备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A02010201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路由器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A02010202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交换设备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A02010601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打印设备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A0201060101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喷墨打印机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A0201060102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激光打印机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A0201060104</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针式打印机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A0201060401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液晶显示器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指台式计算机显示器。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A0201060901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扫描仪</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办公设备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复印机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投影仪</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A020203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投影幕</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A020204</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多功能一体机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A020205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照相机及器材</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A0202050102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通用照相机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指普通照相机，含器材。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A020207</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LED显示屏</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A02021001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速印机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A02021101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碎纸机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车辆</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乘用车（轿车及面包车）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A020306</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客车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A0205</w:t>
            </w:r>
          </w:p>
        </w:tc>
        <w:tc>
          <w:tcPr>
            <w:tcW w:w="27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机械设备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A02051228</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电梯</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A0206</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电气设备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A02061801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制冷电器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A0206180101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电冰箱</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A02061802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空气调节电器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A0206180203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空调机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中央空调、精密空调除外。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A0206180205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空气净化设备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A0206180299</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其他空气调节电器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A02061808</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热水器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A020808</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视频会议系统设备</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指通过传输线路及多媒体设备，将声音、影像及文件资料互传，实现即时且互动的沟通，以实现会议目的的系统设备。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A020810</w:t>
            </w:r>
            <w:r>
              <w:rPr>
                <w:rFonts w:hint="eastAsia" w:ascii="宋体" w:hAnsi="宋体" w:eastAsia="宋体" w:cs="宋体"/>
                <w:kern w:val="2"/>
                <w:sz w:val="21"/>
                <w:szCs w:val="21"/>
                <w:bdr w:val="none" w:color="auto" w:sz="0" w:space="0"/>
                <w:lang w:val="en-US" w:eastAsia="zh-CN" w:bidi="ar"/>
              </w:rPr>
              <w:tab/>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传真及数据数字通信设备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A020910</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电视设备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A02091001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普通电视设备（电视机）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A020911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视频设备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A02091102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通用摄像机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指普通摄像机，含器材。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A06</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家具用具</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含办公家具和其他办公用具。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A09</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办公消耗用品及类似物品</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A090101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复印纸</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指打印复印设备用纸。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A0902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硒鼓粉盒</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指鼓粉盒、粉盒、喷墨盒、墨水盒、色带。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B</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工程类</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58" w:hRule="atLeast"/>
        </w:trPr>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B07</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装修工程</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指与建筑物、构筑物新建、改建、扩建无关的单独的装修工程。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B08</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修缮工程</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指与建筑物、构筑物新建、改建、扩建无关的单独的修缮工程。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C</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服务类</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C04</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租赁服务（不带操作员）</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C0403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车辆及其他运输机械租赁服务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指车辆租赁。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C05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维修和保养服务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C0501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计算机设备维修和保养服务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C0502</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办公设备维修和保养服务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C0503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车辆维修和保养服务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含车辆加油。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C0507</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空调、电梯维修和保养服务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C15</w:t>
            </w:r>
          </w:p>
        </w:tc>
        <w:tc>
          <w:tcPr>
            <w:tcW w:w="27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金融服务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C1504</w:t>
            </w:r>
          </w:p>
        </w:tc>
        <w:tc>
          <w:tcPr>
            <w:tcW w:w="27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保险服务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含车辆保险。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C08</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商务服务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C0801</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法律服务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C0803</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审计服务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C0805</w:t>
            </w: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资产及其他评估服务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C081401</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印刷服务</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指单证、票据、文件、公文用纸、资料汇编、信封等印刷业务。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C1204</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27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物业管理服务</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指用于单位办公场所水电供应、设备运行、建筑物门窗保养维护、保洁、保安、绿化养护等项目。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single" w:color="auto" w:sz="4" w:space="0"/>
              <w:left w:val="nil"/>
              <w:bottom w:val="single" w:color="auto" w:sz="4" w:space="0"/>
              <w:right w:val="nil"/>
            </w:tcBorders>
            <w:shd w:val="clear"/>
            <w:vAlign w:val="top"/>
          </w:tcPr>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b/>
                <w:bCs w:val="0"/>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single" w:color="auto" w:sz="4" w:space="0"/>
              <w:left w:val="nil"/>
              <w:bottom w:val="single" w:color="auto" w:sz="4" w:space="0"/>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eastAsia="宋体" w:cs="仿宋_GB2312"/>
                <w:b/>
                <w:bCs w:val="0"/>
                <w:szCs w:val="21"/>
                <w:bdr w:val="none" w:color="auto" w:sz="0" w:space="0"/>
                <w:lang w:val="en-US"/>
              </w:rPr>
            </w:pPr>
            <w:r>
              <w:rPr>
                <w:rFonts w:hint="eastAsia" w:ascii="仿宋_GB2312" w:hAnsi="Calibri" w:eastAsia="宋体" w:cs="宋体"/>
                <w:b/>
                <w:bCs w:val="0"/>
                <w:kern w:val="2"/>
                <w:sz w:val="21"/>
                <w:szCs w:val="21"/>
                <w:bdr w:val="none" w:color="auto" w:sz="0" w:space="0"/>
                <w:lang w:val="en-US" w:eastAsia="zh-CN" w:bidi="ar"/>
              </w:rPr>
              <w:t>（二）部门集中采购项目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品目编码</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品目名称</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备注</w:t>
            </w:r>
          </w:p>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货物类</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　</w:t>
            </w:r>
          </w:p>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0"/>
                <w:sz w:val="21"/>
                <w:szCs w:val="21"/>
                <w:bdr w:val="none" w:color="auto" w:sz="0" w:space="0"/>
                <w:lang w:val="en-US" w:eastAsia="zh-CN" w:bidi="ar"/>
              </w:rPr>
              <w:t>A020108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计算机软件</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A02010801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基础软件</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包括操作系统、数据库管理系统、中间件、办公套件等。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A020199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其他计算机设备及软件</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center"/>
              <w:rPr>
                <w:rFonts w:hint="eastAsia" w:ascii="宋体" w:hAnsi="宋体" w:eastAsia="宋体" w:cs="宋体"/>
                <w:b/>
                <w:bCs w:val="0"/>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A020307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专用车辆</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A02030707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校车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A02030708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消防车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A02030709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警车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A02030719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医疗车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A02030728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清洁卫生车辆</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A0205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机械设备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A020523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制冷空调设备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0"/>
                <w:sz w:val="21"/>
                <w:szCs w:val="21"/>
                <w:bdr w:val="none" w:color="auto" w:sz="0" w:space="0"/>
                <w:lang w:val="en-US" w:eastAsia="zh-CN" w:bidi="ar"/>
              </w:rPr>
              <w:t>包括中央空调、冷库制冷设备、机房专用空调、恒温、恒湿精密空调等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广播、电视、电影设备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广播发射设备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电视发射设备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广播和电视接收设备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音频节目制作和播控设备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视频节目制作和播控设备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A020908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卫星广播电视设备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A0210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仪器仪表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自动化仪表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电工仪器仪表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光学仪器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分析仪器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试验机</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试验仪器及装置</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计算仪器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量仪</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A021009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钟表及定时仪器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A0320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医疗设备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医用电子生理参数检测仪器设备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p>
            <w:pPr>
              <w:keepNext w:val="0"/>
              <w:keepLines w:val="0"/>
              <w:widowControl w:val="0"/>
              <w:suppressLineNumbers w:val="0"/>
              <w:autoSpaceDE/>
              <w:autoSpaceDN w:val="0"/>
              <w:spacing w:before="0" w:beforeAutospacing="0" w:after="0" w:afterAutospacing="0"/>
              <w:ind w:left="0" w:right="0"/>
              <w:jc w:val="both"/>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医用超声波仪器及设备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A032006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医用激光仪器及设备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A032010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医用磁共振设备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A032011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医用X线设备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A032013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医用高能射线设备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A032014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核医学设备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A0324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环境污染防治设备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大气污染防治设备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水质污染防治设备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固体废弃物处理设备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噪声控制设备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环保监测设备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A032408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核与辐射安全设备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A0325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政法、检测专用设备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消防设备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交通管理设备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物证检验鉴定设备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安全、检查、监视、报警设备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爆炸物处置设备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技术侦察取证设备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警械设备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非杀伤性武器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防护防暴装备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A032510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出入境设备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A032511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网络监察设备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A0333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海洋仪器设备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海洋水文气象仪器设备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海洋地质地球物理仪器设备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海洋生物仪器设备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海洋化学仪器设备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海洋声光仪器设备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海洋船用船载仪器设备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海洋计量检测设备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A033310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海水淡化与综合利用设备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A0334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专用仪器仪表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农林牧渔专用仪器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地质勘探、钻采及人工地震仪器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地震专用仪器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安全用仪器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大坝观测仪器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电站热工仪表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电力数字仪表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A033408</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气象仪器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A033409</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水文仪器设备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A033410</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测绘专用仪器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A033411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天文仪器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A033412</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教学专用仪器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A0335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文艺设备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A033501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乐器</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A033503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舞台设备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A0336</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体育设备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A0337</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娱乐设备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A033705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彩票销售设备</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A04</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文物和陈列品</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图书和档案</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A0501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图书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A050101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普通图书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A050103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电子图书</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A0703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被服装具</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A07030101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制服</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A11</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医药品</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A110215</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避孕药物用具</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A110503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兽用疫苗</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A110703</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人用疫苗</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C</w:t>
            </w:r>
          </w:p>
        </w:tc>
        <w:tc>
          <w:tcPr>
            <w:tcW w:w="3059"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服务类</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C06</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会议和展览服务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C0601</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会议服务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C0602</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展览服务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C13</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公共设施管理服务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C1301</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城市规划和设计服务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C1302</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市政公共设施管理服务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C1303</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园林绿化管理服务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C16</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环境服务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 xml:space="preserve">C1602 </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水污染治理服务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C18</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
                <w:kern w:val="0"/>
                <w:szCs w:val="21"/>
                <w:bdr w:val="none" w:color="auto" w:sz="0" w:space="0"/>
                <w:lang w:val="en-US"/>
              </w:rPr>
            </w:pPr>
            <w:r>
              <w:rPr>
                <w:rFonts w:hint="eastAsia" w:ascii="宋体" w:hAnsi="宋体" w:eastAsia="宋体" w:cs="宋体"/>
                <w:b/>
                <w:kern w:val="0"/>
                <w:sz w:val="21"/>
                <w:szCs w:val="21"/>
                <w:bdr w:val="none" w:color="auto" w:sz="0" w:space="0"/>
                <w:lang w:val="en-US" w:eastAsia="zh-CN" w:bidi="ar"/>
              </w:rPr>
              <w:t>教育服务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C1806</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专业技能培训服务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75" w:hRule="atLeast"/>
        </w:trPr>
        <w:tc>
          <w:tcPr>
            <w:tcW w:w="13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C1899</w:t>
            </w:r>
          </w:p>
        </w:tc>
        <w:tc>
          <w:tcPr>
            <w:tcW w:w="305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bCs/>
                <w:kern w:val="0"/>
                <w:szCs w:val="21"/>
                <w:bdr w:val="none" w:color="auto" w:sz="0" w:space="0"/>
                <w:lang w:val="en-US"/>
              </w:rPr>
            </w:pPr>
            <w:r>
              <w:rPr>
                <w:rFonts w:hint="eastAsia" w:ascii="宋体" w:hAnsi="宋体" w:eastAsia="宋体" w:cs="宋体"/>
                <w:bCs/>
                <w:kern w:val="0"/>
                <w:sz w:val="21"/>
                <w:szCs w:val="21"/>
                <w:bdr w:val="none" w:color="auto" w:sz="0" w:space="0"/>
                <w:lang w:val="en-US" w:eastAsia="zh-CN" w:bidi="ar"/>
              </w:rPr>
              <w:t>其他教育服务</w:t>
            </w:r>
          </w:p>
        </w:tc>
        <w:tc>
          <w:tcPr>
            <w:tcW w:w="42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single" w:color="auto" w:sz="4" w:space="0"/>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注：1.本政府集中采购目录按照《广东省2017年政府采购品目分类表》对应品目列出。《广东省2017年政府采购品目分类表》根据财政部《政府采购品目分类目录》（财库〔2013〕189号）制定。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    2.本政府集中采购目录中，除我市另有补充说明外，各品目的具体内容按照财政部《政府采购品目分类目录》（财库〔2013〕189号）的对应内容解释确定。</w:t>
            </w:r>
          </w:p>
          <w:p>
            <w:pPr>
              <w:keepNext w:val="0"/>
              <w:keepLines w:val="0"/>
              <w:widowControl w:val="0"/>
              <w:suppressLineNumbers w:val="0"/>
              <w:autoSpaceDE/>
              <w:autoSpaceDN w:val="0"/>
              <w:spacing w:before="0" w:beforeAutospacing="0" w:after="0" w:afterAutospacing="0"/>
              <w:ind w:left="0" w:right="0"/>
              <w:jc w:val="left"/>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right="0"/>
              <w:jc w:val="left"/>
              <w:rPr>
                <w:rFonts w:hint="eastAsia" w:ascii="仿宋_GB2312" w:hAnsi="宋体" w:eastAsia="仿宋_GB2312" w:cs="仿宋_GB2312"/>
                <w:b/>
                <w:bCs w:val="0"/>
                <w:sz w:val="32"/>
                <w:szCs w:val="32"/>
                <w:bdr w:val="none" w:color="auto" w:sz="0" w:space="0"/>
                <w:lang w:val="en-US"/>
              </w:rPr>
            </w:pPr>
          </w:p>
          <w:p>
            <w:pPr>
              <w:keepNext w:val="0"/>
              <w:keepLines w:val="0"/>
              <w:widowControl w:val="0"/>
              <w:suppressLineNumbers w:val="0"/>
              <w:autoSpaceDE/>
              <w:autoSpaceDN w:val="0"/>
              <w:spacing w:before="0" w:beforeAutospacing="0" w:after="0" w:afterAutospacing="0"/>
              <w:ind w:left="0" w:right="0" w:firstLine="643"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b/>
                <w:bCs w:val="0"/>
                <w:kern w:val="2"/>
                <w:sz w:val="32"/>
                <w:szCs w:val="32"/>
                <w:bdr w:val="none" w:color="auto" w:sz="0" w:space="0"/>
                <w:lang w:val="en-US" w:eastAsia="zh-CN" w:bidi="ar"/>
              </w:rPr>
              <w:t>二、采购限额标准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0"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除集中采购机构采购项目和部门集中采购项目以及《关于修订&lt;开平市政府向社会力量购买服务指导目录&gt;的通知》服务目录外，单项或批量采购金额100万元</w:t>
            </w:r>
            <w:r>
              <w:rPr>
                <w:rFonts w:hint="eastAsia" w:ascii="仿宋_GB2312" w:hAnsi="宋体" w:eastAsia="仿宋_GB2312" w:cs="仿宋_GB2312"/>
                <w:bCs/>
                <w:kern w:val="2"/>
                <w:sz w:val="32"/>
                <w:szCs w:val="32"/>
                <w:bdr w:val="none" w:color="auto" w:sz="0" w:space="0"/>
                <w:lang w:val="en-US" w:eastAsia="zh-CN" w:bidi="ar"/>
              </w:rPr>
              <w:t>（含100万元）</w:t>
            </w:r>
            <w:r>
              <w:rPr>
                <w:rFonts w:hint="eastAsia" w:ascii="仿宋_GB2312" w:hAnsi="宋体" w:eastAsia="仿宋_GB2312" w:cs="仿宋_GB2312"/>
                <w:kern w:val="2"/>
                <w:sz w:val="32"/>
                <w:szCs w:val="32"/>
                <w:bdr w:val="none" w:color="auto" w:sz="0" w:space="0"/>
                <w:lang w:val="en-US" w:eastAsia="zh-CN" w:bidi="ar"/>
              </w:rPr>
              <w:t>以上的货物、工程和服务项目应执行《中华人民共和国政府采购法》有关规定，实行分散采购。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3"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b/>
                <w:bCs w:val="0"/>
                <w:kern w:val="2"/>
                <w:sz w:val="32"/>
                <w:szCs w:val="32"/>
                <w:bdr w:val="none" w:color="auto" w:sz="0" w:space="0"/>
                <w:lang w:val="en-US" w:eastAsia="zh-CN" w:bidi="ar"/>
              </w:rPr>
              <w:t>三、公开招标数额标准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政府采购货物或服务项目的公开招标数额标准为200万元。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65" w:hRule="atLeast"/>
        </w:trPr>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3"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b/>
                <w:bCs w:val="0"/>
                <w:kern w:val="2"/>
                <w:sz w:val="32"/>
                <w:szCs w:val="32"/>
                <w:bdr w:val="none" w:color="auto" w:sz="0" w:space="0"/>
                <w:lang w:val="en-US" w:eastAsia="zh-CN" w:bidi="ar"/>
              </w:rPr>
              <w:t>四、采购执行规定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（一）采购单位使用财政性资金或与财政性资金无法分割采购的非财政性资金，采购</w:t>
            </w:r>
            <w:r>
              <w:rPr>
                <w:rFonts w:hint="eastAsia" w:ascii="仿宋_GB2312" w:hAnsi="宋体" w:eastAsia="仿宋_GB2312" w:cs="仿宋_GB2312"/>
                <w:bCs/>
                <w:kern w:val="2"/>
                <w:sz w:val="32"/>
                <w:szCs w:val="32"/>
                <w:bdr w:val="none" w:color="auto" w:sz="0" w:space="0"/>
                <w:lang w:val="en-US" w:eastAsia="zh-CN" w:bidi="ar"/>
              </w:rPr>
              <w:t>本集中采购目录以及目录外达到采购限额标准的货物、服务（含政府购买服务）和工程都需编制政府采购预算和办理采购计划，无采购预算和采购计划备案的不得实施政府采购。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（二）集中采购机构采购项目必须按规定委托集中采购机构采购，部门集中采购项目和分散采购项目可以委托集中采购机构采购，也可以委托社会代理机构采购。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（三）集中采购机构项目通用类项目原则上实行批量集中采购，未实行批量集中采购前继续执行协议供货相关规定。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（四）属于部门集中采购项目的，采购起点金额标准为单项或批量采购金额50万元</w:t>
            </w:r>
            <w:r>
              <w:rPr>
                <w:rFonts w:hint="eastAsia" w:ascii="仿宋_GB2312" w:hAnsi="宋体" w:eastAsia="仿宋_GB2312" w:cs="仿宋_GB2312"/>
                <w:bCs/>
                <w:kern w:val="2"/>
                <w:sz w:val="32"/>
                <w:szCs w:val="32"/>
                <w:bdr w:val="none" w:color="auto" w:sz="0" w:space="0"/>
                <w:lang w:val="en-US" w:eastAsia="zh-CN" w:bidi="ar"/>
              </w:rPr>
              <w:t>（含50万元）</w:t>
            </w:r>
            <w:r>
              <w:rPr>
                <w:rFonts w:hint="eastAsia" w:ascii="仿宋_GB2312" w:hAnsi="宋体" w:eastAsia="仿宋_GB2312" w:cs="仿宋_GB2312"/>
                <w:kern w:val="2"/>
                <w:sz w:val="32"/>
                <w:szCs w:val="32"/>
                <w:bdr w:val="none" w:color="auto" w:sz="0" w:space="0"/>
                <w:lang w:val="en-US" w:eastAsia="zh-CN"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01" w:hRule="atLeast"/>
        </w:trPr>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b/>
                <w:bCs w:val="0"/>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（五）涉及社会公益性、保障民生的政府购买服务项目，采购单位原则上应当委托集中采购机构组织实施。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0"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六）政府采购工程项目采用招标方式采购的，适用《中华人民共和国招标投标法》及其实施条例；采用其他方式采购的，适用《中华人民共和国政府采购法》及其实施条例。政府采购工程项目招标规模标准按国家和省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七）对因严重自然灾害和其他不可抗力事件所实施的紧急采购，与涉及国家安全和秘密的采购，不适用政府采购法。但涉密采购项目应执行《关于规范我省政府涉密采购工作的通知》（粤密局[2010]46号）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3" w:firstLineChars="200"/>
              <w:jc w:val="left"/>
              <w:rPr>
                <w:rFonts w:hint="eastAsia" w:ascii="仿宋_GB2312" w:hAnsi="宋体" w:eastAsia="仿宋_GB2312" w:cs="仿宋_GB2312"/>
                <w:b/>
                <w:bCs w:val="0"/>
                <w:kern w:val="2"/>
                <w:sz w:val="32"/>
                <w:szCs w:val="32"/>
                <w:bdr w:val="none" w:color="auto" w:sz="0" w:space="0"/>
                <w:lang w:val="en-US" w:eastAsia="zh-CN" w:bidi="ar"/>
              </w:rPr>
            </w:pPr>
          </w:p>
          <w:p>
            <w:pPr>
              <w:keepNext w:val="0"/>
              <w:keepLines w:val="0"/>
              <w:widowControl w:val="0"/>
              <w:suppressLineNumbers w:val="0"/>
              <w:autoSpaceDE/>
              <w:autoSpaceDN w:val="0"/>
              <w:spacing w:before="0" w:beforeAutospacing="0" w:after="0" w:afterAutospacing="0"/>
              <w:ind w:left="0" w:right="0" w:firstLine="643" w:firstLineChars="200"/>
              <w:jc w:val="left"/>
              <w:rPr>
                <w:rFonts w:hint="eastAsia" w:ascii="仿宋_GB2312" w:hAnsi="宋体" w:eastAsia="仿宋_GB2312" w:cs="仿宋_GB2312"/>
                <w:sz w:val="32"/>
                <w:szCs w:val="32"/>
                <w:bdr w:val="none" w:color="auto" w:sz="0" w:space="0"/>
                <w:lang w:val="en-US"/>
              </w:rPr>
            </w:pPr>
            <w:bookmarkStart w:id="0" w:name="_GoBack"/>
            <w:bookmarkEnd w:id="0"/>
            <w:r>
              <w:rPr>
                <w:rFonts w:hint="eastAsia" w:ascii="仿宋_GB2312" w:hAnsi="宋体" w:eastAsia="仿宋_GB2312" w:cs="仿宋_GB2312"/>
                <w:b/>
                <w:bCs w:val="0"/>
                <w:kern w:val="2"/>
                <w:sz w:val="32"/>
                <w:szCs w:val="32"/>
                <w:bdr w:val="none" w:color="auto" w:sz="0" w:space="0"/>
                <w:lang w:val="en-US" w:eastAsia="zh-CN" w:bidi="ar"/>
              </w:rPr>
              <w:t>五、其他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    （一）在执行过程中，本政府集中采购目录及限额标准需要修改、补充的，由市财政局报经市政府批准同意后另行发文。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648" w:type="dxa"/>
            <w:gridSpan w:val="4"/>
            <w:tcBorders>
              <w:top w:val="nil"/>
              <w:left w:val="nil"/>
              <w:bottom w:val="nil"/>
              <w:right w:val="nil"/>
            </w:tcBorders>
            <w:shd w:val="clear"/>
            <w:vAlign w:val="top"/>
          </w:tcPr>
          <w:p>
            <w:pPr>
              <w:keepNext w:val="0"/>
              <w:keepLines w:val="0"/>
              <w:widowControl w:val="0"/>
              <w:suppressLineNumbers w:val="0"/>
              <w:autoSpaceDE/>
              <w:autoSpaceDN w:val="0"/>
              <w:spacing w:before="0" w:beforeAutospacing="0" w:after="0" w:afterAutospacing="0"/>
              <w:ind w:left="0" w:right="0" w:firstLine="640" w:firstLineChars="200"/>
              <w:jc w:val="left"/>
              <w:rPr>
                <w:rFonts w:hint="eastAsia" w:ascii="仿宋_GB2312" w:hAnsi="宋体" w:eastAsia="仿宋_GB2312" w:cs="仿宋_GB2312"/>
                <w:sz w:val="32"/>
                <w:szCs w:val="32"/>
                <w:bdr w:val="none" w:color="auto" w:sz="0" w:space="0"/>
                <w:lang w:val="en-US"/>
              </w:rPr>
            </w:pPr>
            <w:r>
              <w:rPr>
                <w:rFonts w:hint="eastAsia" w:ascii="仿宋_GB2312" w:hAnsi="宋体" w:eastAsia="仿宋_GB2312" w:cs="仿宋_GB2312"/>
                <w:kern w:val="2"/>
                <w:sz w:val="32"/>
                <w:szCs w:val="32"/>
                <w:bdr w:val="none" w:color="auto" w:sz="0" w:space="0"/>
                <w:lang w:val="en-US" w:eastAsia="zh-CN" w:bidi="ar"/>
              </w:rPr>
              <w:t xml:space="preserve">（二）本政府集中采购目录及限额标准自发文之日起施行，《关于印发&lt;开平市2017年政府集中采购目录及限额标准&gt;的通知》（开财采购[2016]54号）同时废止，以本政府集中采购目录及限额标准为准。                                                                                                                                                                                                                                                                                                                                                                                                                                                                                                                                                                                                                       </w:t>
            </w:r>
          </w:p>
        </w:tc>
      </w:tr>
    </w:tbl>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A00002EF" w:usb1="420020EB" w:usb2="00000000" w:usb3="00000000" w:csb0="2000009F"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6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2018-07-25T03:44:38Z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