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2CB">
      <w:pPr>
        <w:pStyle w:val="4"/>
        <w:shd w:val="clear" w:color="auto" w:fill="FFFFFF"/>
        <w:spacing w:before="0" w:beforeAutospacing="0" w:after="0" w:afterAutospacing="0"/>
        <w:jc w:val="center"/>
        <w:rPr>
          <w:rStyle w:val="8"/>
          <w:rFonts w:hint="eastAsia" w:ascii="Times New Roman" w:hAnsi="Times New Roman" w:cs="Times New Roman"/>
          <w:sz w:val="32"/>
          <w:szCs w:val="32"/>
        </w:rPr>
      </w:pPr>
      <w:r>
        <w:rPr>
          <w:rStyle w:val="8"/>
          <w:rFonts w:hint="eastAsia" w:ascii="Times New Roman" w:hAnsi="Times New Roman" w:cs="Times New Roman"/>
          <w:sz w:val="32"/>
          <w:szCs w:val="32"/>
        </w:rPr>
        <w:t>开平市幕村片区冲澄路与幕沙路交叉口控制性详细规划</w:t>
      </w:r>
    </w:p>
    <w:p w14:paraId="73B5C4B8">
      <w:pPr>
        <w:pStyle w:val="4"/>
        <w:shd w:val="clear" w:color="auto" w:fill="FFFFFF"/>
        <w:spacing w:before="0" w:beforeAutospacing="0" w:after="0" w:afterAutospacing="0"/>
        <w:jc w:val="center"/>
        <w:rPr>
          <w:rStyle w:val="8"/>
          <w:sz w:val="28"/>
          <w:szCs w:val="28"/>
        </w:rPr>
      </w:pPr>
      <w:r>
        <w:rPr>
          <w:rStyle w:val="8"/>
          <w:rFonts w:hint="eastAsia"/>
          <w:sz w:val="32"/>
          <w:szCs w:val="32"/>
        </w:rPr>
        <w:t>（方案）公示简介</w:t>
      </w:r>
    </w:p>
    <w:p w14:paraId="3331D2E7">
      <w:pPr>
        <w:pStyle w:val="4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一、规划范围</w:t>
      </w:r>
    </w:p>
    <w:p w14:paraId="7FE21CA1">
      <w:pPr>
        <w:pStyle w:val="4"/>
        <w:shd w:val="clear" w:color="auto" w:fill="FFFFFF"/>
        <w:snapToGrid w:val="0"/>
        <w:spacing w:beforeAutospacing="0" w:afterAutospacing="0"/>
        <w:ind w:firstLine="480" w:firstLineChars="200"/>
      </w:pPr>
      <w:r>
        <w:rPr>
          <w:rFonts w:hint="eastAsia"/>
        </w:rPr>
        <w:t>规划区位于开平市中心城区中部，规划范围西侧为新城路，东侧为幕沙路，北侧为冲澄路，南侧紧邻澄江小学，总用地面积约</w:t>
      </w:r>
      <w:r>
        <w:rPr>
          <w:rFonts w:hint="eastAsia"/>
          <w:lang w:val="en-US" w:eastAsia="zh-CN"/>
        </w:rPr>
        <w:t>17.43</w:t>
      </w:r>
      <w:r>
        <w:rPr>
          <w:rFonts w:hint="eastAsia"/>
        </w:rPr>
        <w:t>公顷。</w:t>
      </w:r>
    </w:p>
    <w:p w14:paraId="2C6801D5">
      <w:pPr>
        <w:pStyle w:val="4"/>
        <w:shd w:val="clear" w:color="auto" w:fill="FFFFFF"/>
        <w:spacing w:before="0" w:beforeAutospacing="0" w:after="0" w:afterAutospacing="0"/>
        <w:rPr>
          <w:rStyle w:val="8"/>
          <w:rFonts w:ascii="Times New Roman" w:hAnsi="Times New Roman" w:cs="Times New Roman"/>
          <w:sz w:val="28"/>
          <w:szCs w:val="28"/>
        </w:rPr>
      </w:pPr>
      <w:r>
        <w:rPr>
          <w:rStyle w:val="8"/>
          <w:rFonts w:hint="eastAsia" w:ascii="Times New Roman" w:hAnsi="Times New Roman" w:cs="Times New Roman"/>
          <w:sz w:val="28"/>
          <w:szCs w:val="28"/>
        </w:rPr>
        <w:t>二、功能定位</w:t>
      </w:r>
    </w:p>
    <w:p w14:paraId="74E2DBC8">
      <w:pPr>
        <w:pStyle w:val="4"/>
        <w:shd w:val="clear" w:color="auto" w:fill="FFFFFF"/>
        <w:snapToGrid w:val="0"/>
        <w:spacing w:beforeAutospacing="0" w:afterAutospacing="0"/>
        <w:ind w:firstLine="480" w:firstLineChars="200"/>
      </w:pPr>
      <w:r>
        <w:rPr>
          <w:rFonts w:hint="eastAsia"/>
        </w:rPr>
        <w:t>通过现状分析、上层次规划的衔接和发展意愿落实等，确定规划区功能定位为：</w:t>
      </w:r>
      <w:r>
        <w:rPr>
          <w:rFonts w:hint="eastAsia"/>
          <w:lang w:eastAsia="zh-CN"/>
        </w:rPr>
        <w:t>活力商贸节点</w:t>
      </w:r>
      <w:r>
        <w:rPr>
          <w:rFonts w:hint="eastAsia"/>
        </w:rPr>
        <w:t>。</w:t>
      </w:r>
    </w:p>
    <w:p w14:paraId="41360330">
      <w:pPr>
        <w:pStyle w:val="4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sz w:val="28"/>
          <w:szCs w:val="28"/>
        </w:rPr>
      </w:pPr>
      <w:r>
        <w:rPr>
          <w:rStyle w:val="8"/>
          <w:rFonts w:hint="eastAsia"/>
          <w:sz w:val="28"/>
          <w:szCs w:val="28"/>
        </w:rPr>
        <w:t>三、规划方案</w:t>
      </w:r>
    </w:p>
    <w:p w14:paraId="20796EA3">
      <w:pPr>
        <w:pStyle w:val="4"/>
        <w:spacing w:before="0" w:beforeAutospacing="0" w:after="0" w:afterAutospacing="0"/>
        <w:rPr>
          <w:rStyle w:val="8"/>
          <w:b w:val="0"/>
          <w:bCs w:val="0"/>
        </w:rPr>
      </w:pPr>
      <w:r>
        <w:rPr>
          <w:rStyle w:val="8"/>
          <w:rFonts w:hint="eastAsia" w:cs="Times New Roman" w:asciiTheme="minorEastAsia" w:hAnsiTheme="minorEastAsia" w:eastAsiaTheme="minorEastAsia"/>
        </w:rPr>
        <w:t>1、规模预测</w:t>
      </w:r>
    </w:p>
    <w:p w14:paraId="633506A4">
      <w:pPr>
        <w:pStyle w:val="4"/>
        <w:shd w:val="clear" w:color="auto" w:fill="FFFFFF"/>
        <w:snapToGrid w:val="0"/>
        <w:spacing w:beforeAutospacing="0" w:afterAutospacing="0"/>
        <w:ind w:firstLine="480" w:firstLineChars="200"/>
      </w:pPr>
      <w:r>
        <w:rPr>
          <w:rFonts w:hint="eastAsia"/>
        </w:rPr>
        <w:t>人口规模：采用综合人均用地法和住宅面积推算法，根据两种方法预测规划地段人口并取两者平均值，综合预测规划地段人口规模约为</w:t>
      </w:r>
      <w:r>
        <w:rPr>
          <w:rFonts w:hint="eastAsia"/>
          <w:lang w:val="en-US" w:eastAsia="zh-CN"/>
        </w:rPr>
        <w:t>1550</w:t>
      </w:r>
      <w:r>
        <w:rPr>
          <w:rFonts w:hint="eastAsia"/>
        </w:rPr>
        <w:t>人。</w:t>
      </w:r>
    </w:p>
    <w:p w14:paraId="171E6135">
      <w:pPr>
        <w:pStyle w:val="4"/>
        <w:shd w:val="clear" w:color="auto" w:fill="FFFFFF"/>
        <w:spacing w:before="0" w:beforeAutospacing="0" w:after="0" w:afterAutospacing="0"/>
        <w:jc w:val="both"/>
        <w:rPr>
          <w:rStyle w:val="8"/>
          <w:rFonts w:cs="Times New Roman" w:asciiTheme="minorEastAsia" w:hAnsiTheme="minorEastAsia" w:eastAsiaTheme="minorEastAsia"/>
        </w:rPr>
      </w:pPr>
      <w:r>
        <w:rPr>
          <w:rStyle w:val="8"/>
          <w:rFonts w:hint="eastAsia" w:cs="Times New Roman" w:asciiTheme="minorEastAsia" w:hAnsiTheme="minorEastAsia" w:eastAsiaTheme="minorEastAsia"/>
        </w:rPr>
        <w:t>2</w:t>
      </w:r>
      <w:r>
        <w:rPr>
          <w:rStyle w:val="8"/>
          <w:rFonts w:cs="Times New Roman" w:asciiTheme="minorEastAsia" w:hAnsiTheme="minorEastAsia" w:eastAsiaTheme="minorEastAsia"/>
        </w:rPr>
        <w:t>、用地规划</w:t>
      </w:r>
    </w:p>
    <w:p w14:paraId="4C705B31">
      <w:pPr>
        <w:pStyle w:val="4"/>
        <w:shd w:val="clear" w:color="auto" w:fill="FFFFFF"/>
        <w:snapToGrid w:val="0"/>
        <w:spacing w:beforeAutospacing="0" w:afterAutospacing="0"/>
        <w:ind w:firstLine="480" w:firstLineChars="200"/>
      </w:pPr>
      <w:r>
        <w:rPr>
          <w:rFonts w:hint="eastAsia"/>
        </w:rPr>
        <w:t>用地规模：规划居住用地约为</w:t>
      </w:r>
      <w:r>
        <w:rPr>
          <w:rFonts w:hint="eastAsia"/>
          <w:lang w:val="en-US" w:eastAsia="zh-CN"/>
        </w:rPr>
        <w:t>4.36</w:t>
      </w:r>
      <w:r>
        <w:rPr>
          <w:rFonts w:hint="eastAsia"/>
        </w:rPr>
        <w:t>公顷，占总用地的</w:t>
      </w:r>
      <w:r>
        <w:rPr>
          <w:rFonts w:hint="eastAsia"/>
          <w:lang w:val="en-US" w:eastAsia="zh-CN"/>
        </w:rPr>
        <w:t>25.01</w:t>
      </w:r>
      <w:r>
        <w:rPr>
          <w:rFonts w:hint="eastAsia"/>
        </w:rPr>
        <w:t>％；</w:t>
      </w:r>
      <w:r>
        <w:rPr>
          <w:rFonts w:hint="eastAsia"/>
          <w:lang w:val="en-US" w:eastAsia="zh-CN"/>
        </w:rPr>
        <w:t>公共管理与公共服务用地</w:t>
      </w:r>
      <w:r>
        <w:rPr>
          <w:rFonts w:hint="eastAsia"/>
        </w:rPr>
        <w:t>约为</w:t>
      </w:r>
      <w:r>
        <w:rPr>
          <w:rFonts w:hint="eastAsia"/>
          <w:lang w:val="en-US" w:eastAsia="zh-CN"/>
        </w:rPr>
        <w:t>0.28</w:t>
      </w:r>
      <w:r>
        <w:rPr>
          <w:rFonts w:hint="eastAsia"/>
        </w:rPr>
        <w:t>公顷，占总用地的</w:t>
      </w:r>
      <w:r>
        <w:rPr>
          <w:rFonts w:hint="eastAsia"/>
          <w:lang w:val="en-US" w:eastAsia="zh-CN"/>
        </w:rPr>
        <w:t>1.61%；</w:t>
      </w:r>
      <w:r>
        <w:rPr>
          <w:rFonts w:hint="eastAsia"/>
        </w:rPr>
        <w:t>商业服务业用地约为</w:t>
      </w:r>
      <w:r>
        <w:rPr>
          <w:rFonts w:hint="eastAsia"/>
          <w:lang w:val="en-US" w:eastAsia="zh-CN"/>
        </w:rPr>
        <w:t>7.85</w:t>
      </w:r>
      <w:r>
        <w:rPr>
          <w:rFonts w:hint="eastAsia"/>
        </w:rPr>
        <w:t>公顷，占总用地的</w:t>
      </w:r>
      <w:r>
        <w:rPr>
          <w:rFonts w:hint="eastAsia"/>
          <w:lang w:val="en-US" w:eastAsia="zh-CN"/>
        </w:rPr>
        <w:t>45.04</w:t>
      </w:r>
      <w:r>
        <w:rPr>
          <w:rFonts w:hint="eastAsia"/>
        </w:rPr>
        <w:t>%；交通运输用地约为</w:t>
      </w:r>
      <w:r>
        <w:rPr>
          <w:rFonts w:hint="eastAsia"/>
          <w:lang w:val="en-US" w:eastAsia="zh-CN"/>
        </w:rPr>
        <w:t>4.94</w:t>
      </w:r>
      <w:r>
        <w:rPr>
          <w:rFonts w:hint="eastAsia"/>
        </w:rPr>
        <w:t>公顷，占总用地的</w:t>
      </w:r>
      <w:r>
        <w:rPr>
          <w:rFonts w:hint="eastAsia"/>
          <w:lang w:val="en-US" w:eastAsia="zh-CN"/>
        </w:rPr>
        <w:t>28.34</w:t>
      </w:r>
      <w:r>
        <w:rPr>
          <w:rFonts w:hint="eastAsia"/>
        </w:rPr>
        <w:t>%；</w:t>
      </w:r>
    </w:p>
    <w:p w14:paraId="6F0C555B">
      <w:pPr>
        <w:pStyle w:val="4"/>
        <w:spacing w:before="0" w:beforeAutospacing="0" w:after="0" w:afterAutospacing="0"/>
        <w:rPr>
          <w:rStyle w:val="8"/>
          <w:rFonts w:cs="Times New Roman" w:asciiTheme="minorEastAsia" w:hAnsiTheme="minorEastAsia" w:eastAsiaTheme="minorEastAsia"/>
        </w:rPr>
      </w:pPr>
      <w:r>
        <w:rPr>
          <w:rStyle w:val="8"/>
          <w:rFonts w:hint="eastAsia" w:cs="Times New Roman" w:asciiTheme="minorEastAsia" w:hAnsiTheme="minorEastAsia" w:eastAsiaTheme="minorEastAsia"/>
        </w:rPr>
        <w:t>3、公共服务设施规划</w:t>
      </w:r>
    </w:p>
    <w:p w14:paraId="44E94115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</w:pPr>
      <w:r>
        <w:rPr>
          <w:rFonts w:hint="eastAsia"/>
        </w:rPr>
        <w:t>行政办公设施：规划区</w:t>
      </w:r>
      <w:r>
        <w:rPr>
          <w:rFonts w:hint="eastAsia"/>
          <w:lang w:eastAsia="zh-CN"/>
        </w:rPr>
        <w:t>西侧</w:t>
      </w:r>
      <w:r>
        <w:rPr>
          <w:rFonts w:hint="eastAsia"/>
        </w:rPr>
        <w:t>有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处行政办公机关，共占地</w:t>
      </w:r>
      <w:r>
        <w:rPr>
          <w:rFonts w:hint="eastAsia"/>
          <w:lang w:val="en-US" w:eastAsia="zh-CN"/>
        </w:rPr>
        <w:t>0.28</w:t>
      </w:r>
      <w:r>
        <w:rPr>
          <w:rFonts w:hint="eastAsia"/>
        </w:rPr>
        <w:t>公顷。</w:t>
      </w:r>
    </w:p>
    <w:p w14:paraId="4956B2B3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hint="eastAsia"/>
        </w:rPr>
      </w:pPr>
      <w:r>
        <w:rPr>
          <w:rFonts w:hint="eastAsia"/>
        </w:rPr>
        <w:t>教育设施：规划区</w:t>
      </w:r>
      <w:r>
        <w:rPr>
          <w:rFonts w:hint="eastAsia"/>
          <w:lang w:val="en-US" w:eastAsia="zh-CN"/>
        </w:rPr>
        <w:t>西侧</w:t>
      </w:r>
      <w:r>
        <w:rPr>
          <w:rFonts w:hint="eastAsia"/>
        </w:rPr>
        <w:t>为现状</w:t>
      </w:r>
      <w:r>
        <w:rPr>
          <w:rFonts w:hint="eastAsia"/>
          <w:lang w:eastAsia="zh-CN"/>
        </w:rPr>
        <w:t>结合商业设施布局的民办幼儿园</w:t>
      </w:r>
      <w:r>
        <w:rPr>
          <w:rFonts w:hint="eastAsia"/>
        </w:rPr>
        <w:t>。</w:t>
      </w:r>
    </w:p>
    <w:p w14:paraId="1153AA2B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</w:pPr>
      <w:r>
        <w:rPr>
          <w:rFonts w:hint="eastAsia"/>
        </w:rPr>
        <w:t>商业设施：规划区</w:t>
      </w:r>
      <w:r>
        <w:rPr>
          <w:rFonts w:hint="eastAsia"/>
          <w:lang w:val="en-US" w:eastAsia="zh-CN"/>
        </w:rPr>
        <w:t>北</w:t>
      </w:r>
      <w:r>
        <w:rPr>
          <w:rFonts w:hint="eastAsia"/>
        </w:rPr>
        <w:t>侧</w:t>
      </w:r>
      <w:r>
        <w:rPr>
          <w:rFonts w:hint="eastAsia"/>
          <w:lang w:eastAsia="zh-CN"/>
        </w:rPr>
        <w:t>国道</w:t>
      </w:r>
      <w:r>
        <w:rPr>
          <w:rFonts w:hint="eastAsia"/>
          <w:lang w:val="en-US" w:eastAsia="zh-CN"/>
        </w:rPr>
        <w:t>G325沿线</w:t>
      </w:r>
      <w:r>
        <w:rPr>
          <w:rFonts w:hint="eastAsia"/>
        </w:rPr>
        <w:t>规划</w:t>
      </w:r>
      <w:r>
        <w:rPr>
          <w:rFonts w:hint="eastAsia"/>
          <w:lang w:val="en-US" w:eastAsia="zh-CN"/>
        </w:rPr>
        <w:t>多处</w:t>
      </w:r>
      <w:r>
        <w:rPr>
          <w:rFonts w:hint="eastAsia"/>
        </w:rPr>
        <w:t>商业设施，</w:t>
      </w:r>
      <w:r>
        <w:rPr>
          <w:rFonts w:hint="eastAsia"/>
          <w:lang w:val="en-US" w:eastAsia="zh-CN"/>
        </w:rPr>
        <w:t>同时保留原有的商业设施，</w:t>
      </w:r>
      <w:r>
        <w:rPr>
          <w:rFonts w:hint="eastAsia"/>
          <w:lang w:eastAsia="zh-CN"/>
        </w:rPr>
        <w:t>总占地面积约</w:t>
      </w:r>
      <w:r>
        <w:rPr>
          <w:rFonts w:hint="eastAsia"/>
          <w:lang w:val="en-US" w:eastAsia="zh-CN"/>
        </w:rPr>
        <w:t>7.85</w:t>
      </w:r>
      <w:r>
        <w:rPr>
          <w:rFonts w:hint="eastAsia"/>
        </w:rPr>
        <w:t>公顷。</w:t>
      </w:r>
    </w:p>
    <w:p w14:paraId="6EF11557">
      <w:pPr>
        <w:pStyle w:val="4"/>
        <w:shd w:val="clear" w:color="auto" w:fill="FFFFFF"/>
        <w:spacing w:before="0" w:beforeAutospacing="0" w:after="0" w:afterAutospacing="0"/>
        <w:ind w:firstLine="480" w:firstLineChars="200"/>
        <w:jc w:val="both"/>
      </w:pPr>
      <w:r>
        <w:rPr>
          <w:rFonts w:hint="eastAsia"/>
        </w:rPr>
        <w:t>其他设施：规划区位于开平市中心城区，周边医疗、教育和商业等各类服务配套设施齐全，服务半径均可覆盖规划区。</w:t>
      </w:r>
    </w:p>
    <w:p w14:paraId="7EC80B8B">
      <w:pPr>
        <w:pStyle w:val="4"/>
        <w:spacing w:before="0" w:beforeAutospacing="0" w:after="0" w:afterAutospacing="0"/>
        <w:rPr>
          <w:rStyle w:val="8"/>
          <w:rFonts w:cs="Times New Roman" w:asciiTheme="minorEastAsia" w:hAnsiTheme="minorEastAsia" w:eastAsiaTheme="minorEastAsia"/>
        </w:rPr>
      </w:pPr>
      <w:r>
        <w:rPr>
          <w:rStyle w:val="8"/>
          <w:rFonts w:hint="eastAsia" w:cs="Times New Roman" w:asciiTheme="minorEastAsia" w:hAnsiTheme="minorEastAsia" w:eastAsiaTheme="minorEastAsia"/>
        </w:rPr>
        <w:t>4、道路交通系统规划</w:t>
      </w:r>
    </w:p>
    <w:p w14:paraId="6E0C0BF7">
      <w:pPr>
        <w:pStyle w:val="4"/>
        <w:shd w:val="clear" w:color="auto" w:fill="FFFFFF"/>
        <w:snapToGrid w:val="0"/>
        <w:spacing w:beforeAutospacing="0" w:afterAutospacing="0"/>
        <w:ind w:firstLine="480" w:firstLineChars="200"/>
      </w:pPr>
      <w:r>
        <w:rPr>
          <w:rFonts w:hint="eastAsia"/>
        </w:rPr>
        <w:t>本次规划主要划分为主干路、次干路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支路三</w:t>
      </w:r>
      <w:r>
        <w:rPr>
          <w:rFonts w:hint="eastAsia"/>
        </w:rPr>
        <w:t>个等级，</w:t>
      </w:r>
      <w:r>
        <w:rPr>
          <w:rFonts w:hint="eastAsia"/>
          <w:lang w:val="en-US" w:eastAsia="zh-CN"/>
        </w:rPr>
        <w:t>冲澄路（国道325）、</w:t>
      </w:r>
      <w:r>
        <w:rPr>
          <w:rFonts w:hint="eastAsia"/>
        </w:rPr>
        <w:t>为城市主干路，道路红线宽度为</w:t>
      </w:r>
      <w:r>
        <w:rPr>
          <w:rFonts w:hint="eastAsia"/>
          <w:lang w:val="en-US" w:eastAsia="zh-CN"/>
        </w:rPr>
        <w:t>76</w:t>
      </w:r>
      <w:r>
        <w:rPr>
          <w:rFonts w:hint="eastAsia"/>
        </w:rPr>
        <w:t>米；</w:t>
      </w:r>
      <w:r>
        <w:rPr>
          <w:rFonts w:hint="eastAsia"/>
          <w:lang w:val="en-US" w:eastAsia="zh-CN"/>
        </w:rPr>
        <w:t>新城路、幕沙</w:t>
      </w:r>
      <w:r>
        <w:rPr>
          <w:rFonts w:hint="eastAsia"/>
        </w:rPr>
        <w:t>路为次干路，道路红线宽度</w:t>
      </w:r>
      <w:r>
        <w:rPr>
          <w:rFonts w:hint="eastAsia"/>
          <w:lang w:eastAsia="zh-CN"/>
        </w:rPr>
        <w:t>分别为</w:t>
      </w:r>
      <w:r>
        <w:rPr>
          <w:rFonts w:hint="eastAsia"/>
          <w:lang w:val="en-US" w:eastAsia="zh-CN"/>
        </w:rPr>
        <w:t>30米和20米</w:t>
      </w:r>
      <w:r>
        <w:rPr>
          <w:rFonts w:hint="eastAsia"/>
        </w:rPr>
        <w:t>，作为主干路的补充，起到串联周边地块的功能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其余道路为支路，</w:t>
      </w:r>
      <w:r>
        <w:rPr>
          <w:rFonts w:hint="eastAsia"/>
        </w:rPr>
        <w:t>道路红线宽度为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起到</w:t>
      </w:r>
      <w:r>
        <w:rPr>
          <w:rFonts w:hint="eastAsia"/>
          <w:lang w:eastAsia="zh-CN"/>
        </w:rPr>
        <w:t>串联</w:t>
      </w:r>
      <w:r>
        <w:rPr>
          <w:rFonts w:hint="eastAsia"/>
          <w:lang w:val="en-US" w:eastAsia="zh-CN"/>
        </w:rPr>
        <w:t>规划区内部交通联系的功能，内部路多为现状断头路，起到串联地块出入口与市政道路的功能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DMwYjljMmY1MGQyOGEwNjFmZDFhMzEzMDliM2YifQ=="/>
    <w:docVar w:name="KSO_WPS_MARK_KEY" w:val="f4ce71a6-0058-49ef-82d7-3e14b5651640"/>
  </w:docVars>
  <w:rsids>
    <w:rsidRoot w:val="00590BBA"/>
    <w:rsid w:val="000063F7"/>
    <w:rsid w:val="00007492"/>
    <w:rsid w:val="00021FF0"/>
    <w:rsid w:val="00036989"/>
    <w:rsid w:val="00037A49"/>
    <w:rsid w:val="000705D3"/>
    <w:rsid w:val="000759A8"/>
    <w:rsid w:val="000A3E48"/>
    <w:rsid w:val="000C6477"/>
    <w:rsid w:val="000E5FA5"/>
    <w:rsid w:val="001058A7"/>
    <w:rsid w:val="00117A6B"/>
    <w:rsid w:val="00117D35"/>
    <w:rsid w:val="001321AE"/>
    <w:rsid w:val="001457A6"/>
    <w:rsid w:val="00180031"/>
    <w:rsid w:val="00185B01"/>
    <w:rsid w:val="001A4437"/>
    <w:rsid w:val="001A68F7"/>
    <w:rsid w:val="001C1E8C"/>
    <w:rsid w:val="001C29EC"/>
    <w:rsid w:val="001D14A0"/>
    <w:rsid w:val="001E0A34"/>
    <w:rsid w:val="001E20F2"/>
    <w:rsid w:val="001F41D4"/>
    <w:rsid w:val="001F6CCD"/>
    <w:rsid w:val="00217E5F"/>
    <w:rsid w:val="002213D6"/>
    <w:rsid w:val="002515E3"/>
    <w:rsid w:val="002540CB"/>
    <w:rsid w:val="00281F37"/>
    <w:rsid w:val="002825CF"/>
    <w:rsid w:val="00293045"/>
    <w:rsid w:val="002A60F3"/>
    <w:rsid w:val="002B4C4A"/>
    <w:rsid w:val="002B6892"/>
    <w:rsid w:val="002C3FEA"/>
    <w:rsid w:val="002D7191"/>
    <w:rsid w:val="002E186E"/>
    <w:rsid w:val="002F5D16"/>
    <w:rsid w:val="00305306"/>
    <w:rsid w:val="00305647"/>
    <w:rsid w:val="00312841"/>
    <w:rsid w:val="0031696D"/>
    <w:rsid w:val="003300A9"/>
    <w:rsid w:val="003A09F0"/>
    <w:rsid w:val="003B7945"/>
    <w:rsid w:val="003D08CD"/>
    <w:rsid w:val="004046DE"/>
    <w:rsid w:val="00447661"/>
    <w:rsid w:val="0045153F"/>
    <w:rsid w:val="00454AE7"/>
    <w:rsid w:val="00462331"/>
    <w:rsid w:val="0047541A"/>
    <w:rsid w:val="00480876"/>
    <w:rsid w:val="00482198"/>
    <w:rsid w:val="00485194"/>
    <w:rsid w:val="004876E1"/>
    <w:rsid w:val="00491A99"/>
    <w:rsid w:val="004A2469"/>
    <w:rsid w:val="004A7EB8"/>
    <w:rsid w:val="004B6620"/>
    <w:rsid w:val="004C10A9"/>
    <w:rsid w:val="004E5E9A"/>
    <w:rsid w:val="004E73E2"/>
    <w:rsid w:val="005021B4"/>
    <w:rsid w:val="00511FF8"/>
    <w:rsid w:val="00540338"/>
    <w:rsid w:val="00555721"/>
    <w:rsid w:val="00577F56"/>
    <w:rsid w:val="00582C31"/>
    <w:rsid w:val="00590BBA"/>
    <w:rsid w:val="00592C85"/>
    <w:rsid w:val="005A5B74"/>
    <w:rsid w:val="005B04DD"/>
    <w:rsid w:val="005B2247"/>
    <w:rsid w:val="005B2417"/>
    <w:rsid w:val="005B27E8"/>
    <w:rsid w:val="005D4A33"/>
    <w:rsid w:val="0060507B"/>
    <w:rsid w:val="00645D5E"/>
    <w:rsid w:val="00661E40"/>
    <w:rsid w:val="0067641A"/>
    <w:rsid w:val="00676823"/>
    <w:rsid w:val="00680EA0"/>
    <w:rsid w:val="0069579A"/>
    <w:rsid w:val="006C1552"/>
    <w:rsid w:val="006E0E25"/>
    <w:rsid w:val="006F4179"/>
    <w:rsid w:val="006F7B33"/>
    <w:rsid w:val="0070217C"/>
    <w:rsid w:val="007024AA"/>
    <w:rsid w:val="00737006"/>
    <w:rsid w:val="007370FF"/>
    <w:rsid w:val="0075162E"/>
    <w:rsid w:val="00762160"/>
    <w:rsid w:val="007824E0"/>
    <w:rsid w:val="00787A6B"/>
    <w:rsid w:val="007B011E"/>
    <w:rsid w:val="007B2307"/>
    <w:rsid w:val="007C59BB"/>
    <w:rsid w:val="007C73AF"/>
    <w:rsid w:val="007D22EA"/>
    <w:rsid w:val="007E7C90"/>
    <w:rsid w:val="007F7DCD"/>
    <w:rsid w:val="00801DD0"/>
    <w:rsid w:val="008152F8"/>
    <w:rsid w:val="00817518"/>
    <w:rsid w:val="008266D4"/>
    <w:rsid w:val="00830ACE"/>
    <w:rsid w:val="0084440D"/>
    <w:rsid w:val="00856D91"/>
    <w:rsid w:val="00860DE9"/>
    <w:rsid w:val="00862424"/>
    <w:rsid w:val="008831A9"/>
    <w:rsid w:val="008A73BE"/>
    <w:rsid w:val="008B433C"/>
    <w:rsid w:val="008B7AFE"/>
    <w:rsid w:val="008E4C0F"/>
    <w:rsid w:val="008E5331"/>
    <w:rsid w:val="009009F8"/>
    <w:rsid w:val="009232FA"/>
    <w:rsid w:val="009345AE"/>
    <w:rsid w:val="00934901"/>
    <w:rsid w:val="00941092"/>
    <w:rsid w:val="00967C84"/>
    <w:rsid w:val="00981EF4"/>
    <w:rsid w:val="009B2350"/>
    <w:rsid w:val="009C62C6"/>
    <w:rsid w:val="009D1183"/>
    <w:rsid w:val="009E6FFA"/>
    <w:rsid w:val="009F6926"/>
    <w:rsid w:val="00A12143"/>
    <w:rsid w:val="00A21DA7"/>
    <w:rsid w:val="00A27E8A"/>
    <w:rsid w:val="00A41939"/>
    <w:rsid w:val="00A4443E"/>
    <w:rsid w:val="00A636F8"/>
    <w:rsid w:val="00A8288E"/>
    <w:rsid w:val="00A91E04"/>
    <w:rsid w:val="00AA0059"/>
    <w:rsid w:val="00AA2F90"/>
    <w:rsid w:val="00AC55AF"/>
    <w:rsid w:val="00AE6D35"/>
    <w:rsid w:val="00AF609A"/>
    <w:rsid w:val="00B0667C"/>
    <w:rsid w:val="00B23599"/>
    <w:rsid w:val="00B52EF9"/>
    <w:rsid w:val="00B5733D"/>
    <w:rsid w:val="00B63D10"/>
    <w:rsid w:val="00B7081B"/>
    <w:rsid w:val="00B70D8C"/>
    <w:rsid w:val="00B75FB9"/>
    <w:rsid w:val="00B86724"/>
    <w:rsid w:val="00BD0917"/>
    <w:rsid w:val="00C0276D"/>
    <w:rsid w:val="00C42351"/>
    <w:rsid w:val="00C43B28"/>
    <w:rsid w:val="00C454E8"/>
    <w:rsid w:val="00C8002E"/>
    <w:rsid w:val="00C85C41"/>
    <w:rsid w:val="00C931D1"/>
    <w:rsid w:val="00C95E91"/>
    <w:rsid w:val="00CA2C88"/>
    <w:rsid w:val="00CB468B"/>
    <w:rsid w:val="00CC1559"/>
    <w:rsid w:val="00CC7A7F"/>
    <w:rsid w:val="00CE4561"/>
    <w:rsid w:val="00CE7E6A"/>
    <w:rsid w:val="00CF35D3"/>
    <w:rsid w:val="00D30D5B"/>
    <w:rsid w:val="00D34BC1"/>
    <w:rsid w:val="00D377C8"/>
    <w:rsid w:val="00D428EB"/>
    <w:rsid w:val="00D43D09"/>
    <w:rsid w:val="00D57B07"/>
    <w:rsid w:val="00D64AFC"/>
    <w:rsid w:val="00D6707F"/>
    <w:rsid w:val="00D84F7D"/>
    <w:rsid w:val="00DA03C6"/>
    <w:rsid w:val="00DB06F9"/>
    <w:rsid w:val="00DB0B32"/>
    <w:rsid w:val="00DB5701"/>
    <w:rsid w:val="00DD1145"/>
    <w:rsid w:val="00DD1DD9"/>
    <w:rsid w:val="00DE7382"/>
    <w:rsid w:val="00DF09E7"/>
    <w:rsid w:val="00E61763"/>
    <w:rsid w:val="00E96400"/>
    <w:rsid w:val="00EA1150"/>
    <w:rsid w:val="00EA5EDF"/>
    <w:rsid w:val="00EE1C99"/>
    <w:rsid w:val="00EE77A4"/>
    <w:rsid w:val="00EF7991"/>
    <w:rsid w:val="00F1270F"/>
    <w:rsid w:val="00F17799"/>
    <w:rsid w:val="00F37E12"/>
    <w:rsid w:val="00F55078"/>
    <w:rsid w:val="00F60958"/>
    <w:rsid w:val="00F60A16"/>
    <w:rsid w:val="00F64A75"/>
    <w:rsid w:val="00F652DA"/>
    <w:rsid w:val="00F77821"/>
    <w:rsid w:val="00FC0424"/>
    <w:rsid w:val="00FC2145"/>
    <w:rsid w:val="00FC42BB"/>
    <w:rsid w:val="00FD1648"/>
    <w:rsid w:val="01C1717D"/>
    <w:rsid w:val="02030263"/>
    <w:rsid w:val="058E0F4E"/>
    <w:rsid w:val="0B0A45CF"/>
    <w:rsid w:val="0C4F530A"/>
    <w:rsid w:val="0D622E39"/>
    <w:rsid w:val="0E965691"/>
    <w:rsid w:val="10EC2E7B"/>
    <w:rsid w:val="114F7FEB"/>
    <w:rsid w:val="13BB3E42"/>
    <w:rsid w:val="17E354C7"/>
    <w:rsid w:val="17F3026C"/>
    <w:rsid w:val="19DA2399"/>
    <w:rsid w:val="1BE162D5"/>
    <w:rsid w:val="1CAA7D0E"/>
    <w:rsid w:val="1D896FFF"/>
    <w:rsid w:val="1DA6352A"/>
    <w:rsid w:val="1E7040F7"/>
    <w:rsid w:val="1F9352ED"/>
    <w:rsid w:val="1FF22A5E"/>
    <w:rsid w:val="23411E36"/>
    <w:rsid w:val="240777BA"/>
    <w:rsid w:val="263B61F0"/>
    <w:rsid w:val="26CA7035"/>
    <w:rsid w:val="271C25B8"/>
    <w:rsid w:val="28254389"/>
    <w:rsid w:val="2BBD0C00"/>
    <w:rsid w:val="2C513A3F"/>
    <w:rsid w:val="2CA671FF"/>
    <w:rsid w:val="2CD74FB6"/>
    <w:rsid w:val="2ED07348"/>
    <w:rsid w:val="2FED5F93"/>
    <w:rsid w:val="30733DB3"/>
    <w:rsid w:val="314F2D5E"/>
    <w:rsid w:val="3166100A"/>
    <w:rsid w:val="31735BA9"/>
    <w:rsid w:val="3252231D"/>
    <w:rsid w:val="328D5B72"/>
    <w:rsid w:val="32C14DF4"/>
    <w:rsid w:val="33973AEA"/>
    <w:rsid w:val="33FB0E60"/>
    <w:rsid w:val="340301BE"/>
    <w:rsid w:val="35B768E3"/>
    <w:rsid w:val="362E2ACD"/>
    <w:rsid w:val="3718122C"/>
    <w:rsid w:val="39342AB3"/>
    <w:rsid w:val="39B657E8"/>
    <w:rsid w:val="3C4D443E"/>
    <w:rsid w:val="3E170230"/>
    <w:rsid w:val="3E847A96"/>
    <w:rsid w:val="3F5E1F0E"/>
    <w:rsid w:val="3F92684D"/>
    <w:rsid w:val="42B75CBB"/>
    <w:rsid w:val="43022295"/>
    <w:rsid w:val="43C418D9"/>
    <w:rsid w:val="44C87895"/>
    <w:rsid w:val="4630493A"/>
    <w:rsid w:val="46B11D72"/>
    <w:rsid w:val="49CD7D3C"/>
    <w:rsid w:val="49D656F8"/>
    <w:rsid w:val="4A6B09AE"/>
    <w:rsid w:val="4A6F3CB4"/>
    <w:rsid w:val="4C6B2115"/>
    <w:rsid w:val="5097059F"/>
    <w:rsid w:val="528F3D18"/>
    <w:rsid w:val="536E3F07"/>
    <w:rsid w:val="548C6C80"/>
    <w:rsid w:val="55054F72"/>
    <w:rsid w:val="56434F6C"/>
    <w:rsid w:val="5829165C"/>
    <w:rsid w:val="596152C1"/>
    <w:rsid w:val="5AFC09D3"/>
    <w:rsid w:val="5B666BE3"/>
    <w:rsid w:val="5DF848C8"/>
    <w:rsid w:val="5F341B65"/>
    <w:rsid w:val="645572EF"/>
    <w:rsid w:val="657E4159"/>
    <w:rsid w:val="67074A64"/>
    <w:rsid w:val="67B527CF"/>
    <w:rsid w:val="6A2C3370"/>
    <w:rsid w:val="6B453125"/>
    <w:rsid w:val="6CDA5336"/>
    <w:rsid w:val="6DCD7F9E"/>
    <w:rsid w:val="6DEB31F4"/>
    <w:rsid w:val="6F723F18"/>
    <w:rsid w:val="70F74BF3"/>
    <w:rsid w:val="734C0482"/>
    <w:rsid w:val="75E90AD3"/>
    <w:rsid w:val="77051C1A"/>
    <w:rsid w:val="78273003"/>
    <w:rsid w:val="78C148FE"/>
    <w:rsid w:val="79320E48"/>
    <w:rsid w:val="7BB649DE"/>
    <w:rsid w:val="7C125430"/>
    <w:rsid w:val="7DB20B7F"/>
    <w:rsid w:val="7FA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table" w:customStyle="1" w:styleId="12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5145-91D9-4B2B-B68B-035DF2454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653</Words>
  <Characters>707</Characters>
  <Lines>4</Lines>
  <Paragraphs>1</Paragraphs>
  <TotalTime>21</TotalTime>
  <ScaleCrop>false</ScaleCrop>
  <LinksUpToDate>false</LinksUpToDate>
  <CharactersWithSpaces>707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2021-10-22T09:33:00Z</dcterms:created>
  <dc:creator>mayn</dc:creator>
  <cp:lastModifiedBy>Michelle</cp:lastModifiedBy>
  <dcterms:modified xsi:type="dcterms:W3CDTF">2025-06-19T10:50:11Z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FEFEDDA655DF46CB9A991407C62D8B1D_13</vt:lpwstr>
  </property>
  <property fmtid="{D5CDD505-2E9C-101B-9397-08002B2CF9AE}" pid="4" name="KSOTemplateDocerSaveRecord">
    <vt:lpwstr>eyJoZGlkIjoiYTgyZGM5YjQ2YzkxYjMxMWZjNGYxYjlmY2U3MDZlOTAiLCJ1c2VySWQiOiI0MDU1MjQyNjkifQ==</vt:lpwstr>
  </property>
</Properties>
</file>