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671F3">
      <w:pPr>
        <w:spacing w:before="100" w:after="100" w:line="360" w:lineRule="auto"/>
        <w:jc w:val="both"/>
        <w:rPr>
          <w:rFonts w:ascii="宋体" w:hAnsi="宋体" w:eastAsia="宋体"/>
          <w:b/>
          <w:sz w:val="56"/>
          <w:szCs w:val="56"/>
          <w:highlight w:val="none"/>
        </w:rPr>
      </w:pPr>
      <w:bookmarkStart w:id="0" w:name="_Toc458262589"/>
    </w:p>
    <w:p w14:paraId="184EEB11">
      <w:pPr>
        <w:spacing w:before="100" w:after="100" w:line="360" w:lineRule="auto"/>
        <w:jc w:val="center"/>
        <w:rPr>
          <w:rFonts w:hint="eastAsia" w:ascii="宋体" w:hAnsi="宋体" w:eastAsia="宋体"/>
          <w:b/>
          <w:sz w:val="56"/>
          <w:szCs w:val="56"/>
          <w:highlight w:val="none"/>
        </w:rPr>
      </w:pPr>
      <w:r>
        <w:rPr>
          <w:rFonts w:hint="eastAsia" w:ascii="宋体" w:hAnsi="宋体" w:eastAsia="宋体"/>
          <w:b/>
          <w:sz w:val="56"/>
          <w:szCs w:val="56"/>
          <w:highlight w:val="none"/>
        </w:rPr>
        <w:t>开平市中心医院药剂大楼容灾机房</w:t>
      </w:r>
    </w:p>
    <w:p w14:paraId="4DE1237C">
      <w:pPr>
        <w:spacing w:before="100" w:after="100" w:line="360" w:lineRule="auto"/>
        <w:jc w:val="center"/>
        <w:rPr>
          <w:rFonts w:hint="default" w:ascii="宋体" w:hAnsi="宋体" w:eastAsia="宋体"/>
          <w:b/>
          <w:sz w:val="52"/>
          <w:szCs w:val="52"/>
          <w:highlight w:val="none"/>
          <w:lang w:val="en-US" w:eastAsia="zh-CN"/>
        </w:rPr>
      </w:pPr>
      <w:r>
        <w:rPr>
          <w:rFonts w:hint="eastAsia" w:ascii="宋体" w:hAnsi="宋体" w:eastAsia="宋体"/>
          <w:b/>
          <w:sz w:val="56"/>
          <w:szCs w:val="56"/>
          <w:highlight w:val="none"/>
        </w:rPr>
        <w:t>电力输入电缆采购项目</w:t>
      </w:r>
    </w:p>
    <w:p w14:paraId="0346934C">
      <w:pPr>
        <w:spacing w:before="100" w:after="100" w:line="360" w:lineRule="auto"/>
        <w:jc w:val="center"/>
        <w:rPr>
          <w:rFonts w:ascii="宋体" w:hAnsi="宋体" w:eastAsia="宋体"/>
          <w:b/>
          <w:sz w:val="52"/>
          <w:szCs w:val="52"/>
          <w:highlight w:val="none"/>
        </w:rPr>
      </w:pPr>
    </w:p>
    <w:p w14:paraId="1BC3878A">
      <w:pPr>
        <w:spacing w:before="100" w:after="100" w:line="360" w:lineRule="auto"/>
        <w:jc w:val="center"/>
        <w:rPr>
          <w:rFonts w:ascii="宋体" w:hAnsi="宋体" w:eastAsia="宋体"/>
          <w:b/>
          <w:sz w:val="52"/>
          <w:szCs w:val="52"/>
          <w:highlight w:val="none"/>
        </w:rPr>
      </w:pPr>
    </w:p>
    <w:p w14:paraId="62BCA197">
      <w:pPr>
        <w:spacing w:line="360" w:lineRule="auto"/>
        <w:jc w:val="center"/>
        <w:outlineLvl w:val="0"/>
        <w:rPr>
          <w:rFonts w:ascii="宋体" w:hAnsi="宋体" w:eastAsia="宋体"/>
          <w:b/>
          <w:sz w:val="52"/>
          <w:szCs w:val="52"/>
          <w:highlight w:val="none"/>
        </w:rPr>
      </w:pPr>
      <w:r>
        <w:rPr>
          <w:rFonts w:hint="eastAsia" w:ascii="宋体" w:hAnsi="宋体" w:eastAsia="宋体"/>
          <w:b/>
          <w:sz w:val="52"/>
          <w:szCs w:val="52"/>
          <w:highlight w:val="none"/>
          <w:lang w:val="en-US" w:eastAsia="zh-CN"/>
        </w:rPr>
        <w:t>遴</w:t>
      </w:r>
      <w:r>
        <w:rPr>
          <w:rFonts w:hint="eastAsia" w:ascii="宋体" w:hAnsi="宋体" w:eastAsia="宋体"/>
          <w:b/>
          <w:sz w:val="52"/>
          <w:szCs w:val="52"/>
          <w:highlight w:val="none"/>
        </w:rPr>
        <w:t xml:space="preserve"> </w:t>
      </w:r>
      <w:r>
        <w:rPr>
          <w:rFonts w:hint="eastAsia" w:ascii="宋体" w:hAnsi="宋体" w:eastAsia="宋体"/>
          <w:b/>
          <w:sz w:val="52"/>
          <w:szCs w:val="52"/>
          <w:highlight w:val="none"/>
          <w:lang w:val="en-US" w:eastAsia="zh-CN"/>
        </w:rPr>
        <w:t>选</w:t>
      </w:r>
      <w:r>
        <w:rPr>
          <w:rFonts w:ascii="宋体" w:hAnsi="宋体" w:eastAsia="宋体"/>
          <w:b/>
          <w:sz w:val="52"/>
          <w:szCs w:val="52"/>
          <w:highlight w:val="none"/>
        </w:rPr>
        <w:t xml:space="preserve"> 文 件</w:t>
      </w:r>
    </w:p>
    <w:p w14:paraId="72AB372E">
      <w:pPr>
        <w:spacing w:line="360" w:lineRule="auto"/>
        <w:jc w:val="center"/>
        <w:rPr>
          <w:rFonts w:ascii="宋体" w:hAnsi="宋体" w:eastAsia="宋体"/>
          <w:b/>
          <w:sz w:val="36"/>
          <w:szCs w:val="36"/>
          <w:highlight w:val="none"/>
        </w:rPr>
      </w:pPr>
    </w:p>
    <w:p w14:paraId="29017078">
      <w:pPr>
        <w:spacing w:line="360" w:lineRule="auto"/>
        <w:jc w:val="center"/>
        <w:rPr>
          <w:rFonts w:ascii="宋体" w:hAnsi="宋体" w:eastAsia="宋体"/>
          <w:b/>
          <w:sz w:val="36"/>
          <w:szCs w:val="36"/>
          <w:highlight w:val="none"/>
        </w:rPr>
      </w:pPr>
    </w:p>
    <w:p w14:paraId="6960BB10">
      <w:pPr>
        <w:spacing w:line="360" w:lineRule="auto"/>
        <w:jc w:val="center"/>
        <w:rPr>
          <w:rFonts w:ascii="宋体" w:hAnsi="宋体" w:eastAsia="宋体"/>
          <w:b/>
          <w:sz w:val="36"/>
          <w:szCs w:val="36"/>
          <w:highlight w:val="none"/>
        </w:rPr>
      </w:pPr>
    </w:p>
    <w:p w14:paraId="042FAE74">
      <w:pPr>
        <w:spacing w:line="360" w:lineRule="auto"/>
        <w:rPr>
          <w:rFonts w:ascii="宋体" w:hAnsi="宋体" w:eastAsia="宋体"/>
          <w:b/>
          <w:sz w:val="36"/>
          <w:szCs w:val="36"/>
          <w:highlight w:val="none"/>
        </w:rPr>
      </w:pPr>
    </w:p>
    <w:p w14:paraId="3AB1D79C">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b/>
          <w:sz w:val="32"/>
          <w:highlight w:val="none"/>
        </w:rPr>
      </w:pPr>
      <w:bookmarkStart w:id="1" w:name="_Hlk169100851"/>
    </w:p>
    <w:p w14:paraId="594C8AC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b/>
          <w:sz w:val="32"/>
          <w:highlight w:val="none"/>
        </w:rPr>
      </w:pPr>
      <w:r>
        <w:rPr>
          <w:rFonts w:hint="eastAsia" w:ascii="宋体" w:hAnsi="宋体" w:eastAsia="宋体"/>
          <w:b/>
          <w:sz w:val="32"/>
          <w:highlight w:val="none"/>
        </w:rPr>
        <w:t>开平市中心医院</w:t>
      </w:r>
    </w:p>
    <w:bookmarkEnd w:id="1"/>
    <w:p w14:paraId="0353301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32"/>
          <w:szCs w:val="32"/>
          <w:highlight w:val="none"/>
          <w:lang w:val="en-US" w:eastAsia="zh-CN"/>
        </w:rPr>
        <w:sectPr>
          <w:headerReference r:id="rId4" w:type="first"/>
          <w:headerReference r:id="rId3" w:type="default"/>
          <w:footerReference r:id="rId5" w:type="default"/>
          <w:pgSz w:w="11906" w:h="16838"/>
          <w:pgMar w:top="1440" w:right="1106" w:bottom="1440" w:left="1259" w:header="851" w:footer="992" w:gutter="0"/>
          <w:pgNumType w:start="2"/>
          <w:cols w:space="720" w:num="1"/>
          <w:titlePg/>
          <w:docGrid w:type="lines" w:linePitch="312" w:charSpace="0"/>
        </w:sectPr>
      </w:pPr>
      <w:r>
        <w:rPr>
          <w:rFonts w:hint="eastAsia" w:ascii="宋体" w:hAnsi="宋体" w:eastAsia="宋体" w:cs="宋体"/>
          <w:b/>
          <w:sz w:val="32"/>
          <w:szCs w:val="32"/>
          <w:highlight w:val="none"/>
        </w:rPr>
        <w:t>二〇二</w:t>
      </w:r>
      <w:r>
        <w:rPr>
          <w:rFonts w:hint="eastAsia" w:ascii="宋体" w:hAnsi="宋体" w:eastAsia="宋体" w:cs="宋体"/>
          <w:b/>
          <w:sz w:val="32"/>
          <w:szCs w:val="32"/>
          <w:highlight w:val="none"/>
          <w:lang w:eastAsia="zh-CN"/>
        </w:rPr>
        <w:t>五</w:t>
      </w:r>
      <w:r>
        <w:rPr>
          <w:rFonts w:hint="eastAsia" w:ascii="宋体" w:hAnsi="宋体" w:eastAsia="宋体" w:cs="宋体"/>
          <w:b/>
          <w:sz w:val="32"/>
          <w:szCs w:val="32"/>
          <w:highlight w:val="none"/>
        </w:rPr>
        <w:t>年</w:t>
      </w:r>
      <w:r>
        <w:rPr>
          <w:rFonts w:hint="eastAsia" w:ascii="宋体" w:hAnsi="宋体" w:eastAsia="宋体" w:cs="宋体"/>
          <w:b/>
          <w:sz w:val="32"/>
          <w:szCs w:val="32"/>
          <w:highlight w:val="none"/>
          <w:lang w:val="en-US" w:eastAsia="zh-CN"/>
        </w:rPr>
        <w:t>十一月</w:t>
      </w:r>
    </w:p>
    <w:p w14:paraId="01C83A05">
      <w:pPr>
        <w:pStyle w:val="30"/>
        <w:spacing w:line="360" w:lineRule="auto"/>
        <w:ind w:left="300" w:right="300"/>
        <w:jc w:val="center"/>
        <w:outlineLvl w:val="0"/>
        <w:rPr>
          <w:rFonts w:ascii="宋体"/>
          <w:sz w:val="44"/>
          <w:szCs w:val="44"/>
          <w:highlight w:val="none"/>
        </w:rPr>
      </w:pPr>
      <w:r>
        <w:rPr>
          <w:rFonts w:ascii="宋体"/>
          <w:b/>
          <w:sz w:val="44"/>
          <w:szCs w:val="44"/>
          <w:highlight w:val="none"/>
        </w:rPr>
        <w:t>目    录</w:t>
      </w:r>
    </w:p>
    <w:p w14:paraId="3A8D196A">
      <w:pPr>
        <w:pStyle w:val="30"/>
        <w:keepNext w:val="0"/>
        <w:keepLines w:val="0"/>
        <w:pageBreakBefore w:val="0"/>
        <w:widowControl w:val="0"/>
        <w:tabs>
          <w:tab w:val="right" w:leader="dot" w:pos="7938"/>
          <w:tab w:val="clear" w:pos="8505"/>
        </w:tabs>
        <w:kinsoku/>
        <w:wordWrap/>
        <w:overflowPunct/>
        <w:topLinePunct w:val="0"/>
        <w:autoSpaceDE/>
        <w:autoSpaceDN/>
        <w:bidi w:val="0"/>
        <w:adjustRightInd/>
        <w:snapToGrid w:val="0"/>
        <w:spacing w:line="360" w:lineRule="auto"/>
        <w:ind w:right="0" w:rightChars="0"/>
        <w:textAlignment w:val="auto"/>
        <w:rPr>
          <w:rFonts w:ascii="宋体"/>
          <w:bCs w:val="0"/>
          <w:sz w:val="24"/>
          <w:szCs w:val="24"/>
          <w:highlight w:val="none"/>
        </w:rPr>
      </w:pPr>
    </w:p>
    <w:p w14:paraId="1FDB8596">
      <w:pPr>
        <w:pStyle w:val="30"/>
        <w:keepNext w:val="0"/>
        <w:keepLines w:val="0"/>
        <w:pageBreakBefore w:val="0"/>
        <w:widowControl w:val="0"/>
        <w:tabs>
          <w:tab w:val="right" w:leader="dot" w:pos="7938"/>
          <w:tab w:val="clear" w:pos="8505"/>
        </w:tabs>
        <w:kinsoku/>
        <w:wordWrap/>
        <w:overflowPunct/>
        <w:topLinePunct w:val="0"/>
        <w:autoSpaceDE/>
        <w:autoSpaceDN/>
        <w:bidi w:val="0"/>
        <w:adjustRightInd/>
        <w:snapToGrid w:val="0"/>
        <w:spacing w:line="480" w:lineRule="auto"/>
        <w:ind w:right="0" w:rightChars="0"/>
        <w:textAlignment w:val="auto"/>
        <w:rPr>
          <w:rFonts w:ascii="宋体" w:cstheme="minorBidi"/>
          <w:bCs w:val="0"/>
          <w:sz w:val="24"/>
          <w:szCs w:val="24"/>
          <w:highlight w:val="none"/>
          <w14:ligatures w14:val="standardContextual"/>
        </w:rPr>
      </w:pPr>
      <w:r>
        <w:rPr>
          <w:rFonts w:ascii="宋体"/>
          <w:bCs w:val="0"/>
          <w:sz w:val="24"/>
          <w:szCs w:val="24"/>
          <w:highlight w:val="none"/>
        </w:rPr>
        <w:fldChar w:fldCharType="begin"/>
      </w:r>
      <w:r>
        <w:rPr>
          <w:rFonts w:ascii="宋体"/>
          <w:bCs w:val="0"/>
          <w:sz w:val="24"/>
          <w:szCs w:val="24"/>
          <w:highlight w:val="none"/>
        </w:rPr>
        <w:instrText xml:space="preserve"> TOC \o "1-2" \h \z \u </w:instrText>
      </w:r>
      <w:r>
        <w:rPr>
          <w:rFonts w:ascii="宋体"/>
          <w:bCs w:val="0"/>
          <w:sz w:val="24"/>
          <w:szCs w:val="24"/>
          <w:highlight w:val="none"/>
        </w:rPr>
        <w:fldChar w:fldCharType="separate"/>
      </w:r>
      <w:r>
        <w:rPr>
          <w:highlight w:val="none"/>
        </w:rPr>
        <w:fldChar w:fldCharType="begin"/>
      </w:r>
      <w:r>
        <w:rPr>
          <w:highlight w:val="none"/>
        </w:rPr>
        <w:instrText xml:space="preserve"> HYPERLINK \l "_Toc169861802" </w:instrText>
      </w:r>
      <w:r>
        <w:rPr>
          <w:highlight w:val="none"/>
        </w:rPr>
        <w:fldChar w:fldCharType="separate"/>
      </w:r>
      <w:r>
        <w:rPr>
          <w:rStyle w:val="48"/>
          <w:rFonts w:ascii="宋体"/>
          <w:sz w:val="24"/>
          <w:szCs w:val="24"/>
          <w:highlight w:val="none"/>
        </w:rPr>
        <w:t xml:space="preserve">第一部分 </w:t>
      </w:r>
      <w:r>
        <w:rPr>
          <w:rStyle w:val="48"/>
          <w:rFonts w:hint="eastAsia" w:ascii="宋体"/>
          <w:sz w:val="24"/>
          <w:szCs w:val="24"/>
          <w:highlight w:val="none"/>
          <w:lang w:eastAsia="zh-CN"/>
        </w:rPr>
        <w:t>遴选</w:t>
      </w:r>
      <w:r>
        <w:rPr>
          <w:rStyle w:val="48"/>
          <w:rFonts w:ascii="宋体"/>
          <w:sz w:val="24"/>
          <w:szCs w:val="24"/>
          <w:highlight w:val="none"/>
        </w:rPr>
        <w:t>邀请函</w:t>
      </w:r>
      <w:r>
        <w:rPr>
          <w:rFonts w:ascii="宋体"/>
          <w:sz w:val="24"/>
          <w:szCs w:val="24"/>
          <w:highlight w:val="none"/>
        </w:rPr>
        <w:tab/>
      </w:r>
      <w:r>
        <w:rPr>
          <w:rFonts w:hint="eastAsia" w:ascii="宋体"/>
          <w:sz w:val="24"/>
          <w:szCs w:val="24"/>
          <w:highlight w:val="none"/>
          <w:lang w:val="en-US" w:eastAsia="zh-CN"/>
        </w:rPr>
        <w:t>4</w:t>
      </w:r>
      <w:r>
        <w:rPr>
          <w:rFonts w:ascii="宋体"/>
          <w:sz w:val="24"/>
          <w:szCs w:val="24"/>
          <w:highlight w:val="none"/>
        </w:rPr>
        <w:fldChar w:fldCharType="end"/>
      </w:r>
    </w:p>
    <w:p w14:paraId="2673AF3D">
      <w:pPr>
        <w:pStyle w:val="30"/>
        <w:keepNext w:val="0"/>
        <w:keepLines w:val="0"/>
        <w:pageBreakBefore w:val="0"/>
        <w:widowControl w:val="0"/>
        <w:tabs>
          <w:tab w:val="right" w:leader="dot" w:pos="7938"/>
          <w:tab w:val="clear" w:pos="8505"/>
        </w:tabs>
        <w:kinsoku/>
        <w:wordWrap/>
        <w:overflowPunct/>
        <w:topLinePunct w:val="0"/>
        <w:autoSpaceDE/>
        <w:autoSpaceDN/>
        <w:bidi w:val="0"/>
        <w:adjustRightInd/>
        <w:snapToGrid w:val="0"/>
        <w:spacing w:line="480" w:lineRule="auto"/>
        <w:ind w:right="0" w:rightChars="0"/>
        <w:textAlignment w:val="auto"/>
        <w:rPr>
          <w:rFonts w:ascii="宋体" w:cstheme="minorBidi"/>
          <w:sz w:val="24"/>
          <w:szCs w:val="24"/>
          <w:highlight w:val="none"/>
          <w14:ligatures w14:val="standardContextual"/>
        </w:rPr>
      </w:pPr>
      <w:r>
        <w:rPr>
          <w:highlight w:val="none"/>
        </w:rPr>
        <w:fldChar w:fldCharType="begin"/>
      </w:r>
      <w:r>
        <w:rPr>
          <w:highlight w:val="none"/>
        </w:rPr>
        <w:instrText xml:space="preserve"> HYPERLINK \l "_Toc169861803" </w:instrText>
      </w:r>
      <w:r>
        <w:rPr>
          <w:highlight w:val="none"/>
        </w:rPr>
        <w:fldChar w:fldCharType="separate"/>
      </w:r>
      <w:r>
        <w:rPr>
          <w:rStyle w:val="48"/>
          <w:rFonts w:ascii="宋体"/>
          <w:sz w:val="24"/>
          <w:szCs w:val="24"/>
          <w:highlight w:val="none"/>
        </w:rPr>
        <w:t>第二部分 采购需求</w:t>
      </w:r>
      <w:r>
        <w:rPr>
          <w:rFonts w:ascii="宋体"/>
          <w:sz w:val="24"/>
          <w:szCs w:val="24"/>
          <w:highlight w:val="none"/>
        </w:rPr>
        <w:tab/>
      </w:r>
      <w:r>
        <w:rPr>
          <w:rFonts w:hint="eastAsia" w:ascii="宋体"/>
          <w:sz w:val="24"/>
          <w:szCs w:val="24"/>
          <w:highlight w:val="none"/>
          <w:lang w:val="en-US" w:eastAsia="zh-CN"/>
        </w:rPr>
        <w:t>8</w:t>
      </w:r>
      <w:r>
        <w:rPr>
          <w:rFonts w:ascii="宋体"/>
          <w:sz w:val="24"/>
          <w:szCs w:val="24"/>
          <w:highlight w:val="none"/>
        </w:rPr>
        <w:fldChar w:fldCharType="end"/>
      </w:r>
    </w:p>
    <w:p w14:paraId="405E9E8B">
      <w:pPr>
        <w:pStyle w:val="30"/>
        <w:keepNext w:val="0"/>
        <w:keepLines w:val="0"/>
        <w:pageBreakBefore w:val="0"/>
        <w:widowControl w:val="0"/>
        <w:tabs>
          <w:tab w:val="right" w:leader="dot" w:pos="7938"/>
          <w:tab w:val="clear" w:pos="8505"/>
        </w:tabs>
        <w:kinsoku/>
        <w:wordWrap/>
        <w:overflowPunct/>
        <w:topLinePunct w:val="0"/>
        <w:autoSpaceDE/>
        <w:autoSpaceDN/>
        <w:bidi w:val="0"/>
        <w:adjustRightInd/>
        <w:snapToGrid w:val="0"/>
        <w:spacing w:line="480" w:lineRule="auto"/>
        <w:ind w:right="0" w:rightChars="0"/>
        <w:textAlignment w:val="auto"/>
        <w:rPr>
          <w:rFonts w:ascii="宋体" w:cstheme="minorBidi"/>
          <w:sz w:val="24"/>
          <w:szCs w:val="24"/>
          <w:highlight w:val="none"/>
          <w14:ligatures w14:val="standardContextual"/>
        </w:rPr>
      </w:pPr>
      <w:r>
        <w:rPr>
          <w:highlight w:val="none"/>
        </w:rPr>
        <w:fldChar w:fldCharType="begin"/>
      </w:r>
      <w:r>
        <w:rPr>
          <w:highlight w:val="none"/>
        </w:rPr>
        <w:instrText xml:space="preserve"> HYPERLINK \l "_Toc169861813" </w:instrText>
      </w:r>
      <w:r>
        <w:rPr>
          <w:highlight w:val="none"/>
        </w:rPr>
        <w:fldChar w:fldCharType="separate"/>
      </w:r>
      <w:r>
        <w:rPr>
          <w:rStyle w:val="48"/>
          <w:rFonts w:ascii="宋体"/>
          <w:sz w:val="24"/>
          <w:szCs w:val="24"/>
          <w:highlight w:val="none"/>
        </w:rPr>
        <w:t>第三部分 供应商须知</w:t>
      </w:r>
      <w:r>
        <w:rPr>
          <w:rFonts w:ascii="宋体"/>
          <w:sz w:val="24"/>
          <w:szCs w:val="24"/>
          <w:highlight w:val="none"/>
        </w:rPr>
        <w:tab/>
      </w:r>
      <w:r>
        <w:rPr>
          <w:rFonts w:hint="eastAsia" w:ascii="宋体"/>
          <w:sz w:val="24"/>
          <w:szCs w:val="24"/>
          <w:highlight w:val="none"/>
          <w:lang w:val="en-US" w:eastAsia="zh-CN"/>
        </w:rPr>
        <w:t xml:space="preserve">  1</w:t>
      </w:r>
      <w:r>
        <w:rPr>
          <w:rFonts w:ascii="宋体"/>
          <w:sz w:val="24"/>
          <w:szCs w:val="24"/>
          <w:highlight w:val="none"/>
        </w:rPr>
        <w:fldChar w:fldCharType="end"/>
      </w:r>
      <w:r>
        <w:rPr>
          <w:rFonts w:hint="eastAsia" w:ascii="宋体"/>
          <w:sz w:val="24"/>
          <w:szCs w:val="24"/>
          <w:highlight w:val="none"/>
          <w:lang w:val="en-US" w:eastAsia="zh-CN"/>
        </w:rPr>
        <w:t>1</w:t>
      </w:r>
    </w:p>
    <w:p w14:paraId="535FE202">
      <w:pPr>
        <w:pStyle w:val="30"/>
        <w:keepNext w:val="0"/>
        <w:keepLines w:val="0"/>
        <w:pageBreakBefore w:val="0"/>
        <w:widowControl w:val="0"/>
        <w:tabs>
          <w:tab w:val="right" w:leader="dot" w:pos="7938"/>
          <w:tab w:val="clear" w:pos="8505"/>
        </w:tabs>
        <w:kinsoku/>
        <w:wordWrap/>
        <w:overflowPunct/>
        <w:topLinePunct w:val="0"/>
        <w:autoSpaceDE/>
        <w:autoSpaceDN/>
        <w:bidi w:val="0"/>
        <w:adjustRightInd/>
        <w:snapToGrid w:val="0"/>
        <w:spacing w:line="480" w:lineRule="auto"/>
        <w:ind w:right="0" w:rightChars="0"/>
        <w:textAlignment w:val="auto"/>
        <w:rPr>
          <w:rFonts w:ascii="宋体" w:cstheme="minorBidi"/>
          <w:bCs w:val="0"/>
          <w:sz w:val="24"/>
          <w:szCs w:val="24"/>
          <w:highlight w:val="none"/>
          <w14:ligatures w14:val="standardContextual"/>
        </w:rPr>
      </w:pPr>
      <w:r>
        <w:rPr>
          <w:highlight w:val="none"/>
        </w:rPr>
        <w:fldChar w:fldCharType="begin"/>
      </w:r>
      <w:r>
        <w:rPr>
          <w:highlight w:val="none"/>
        </w:rPr>
        <w:instrText xml:space="preserve"> HYPERLINK \l "_Toc169861823" </w:instrText>
      </w:r>
      <w:r>
        <w:rPr>
          <w:highlight w:val="none"/>
        </w:rPr>
        <w:fldChar w:fldCharType="separate"/>
      </w:r>
      <w:r>
        <w:rPr>
          <w:rStyle w:val="48"/>
          <w:rFonts w:ascii="宋体"/>
          <w:sz w:val="24"/>
          <w:szCs w:val="24"/>
          <w:highlight w:val="none"/>
        </w:rPr>
        <w:t>第四部分 评审办法</w:t>
      </w:r>
      <w:r>
        <w:rPr>
          <w:rFonts w:ascii="宋体"/>
          <w:sz w:val="24"/>
          <w:szCs w:val="24"/>
          <w:highlight w:val="none"/>
        </w:rPr>
        <w:tab/>
      </w:r>
      <w:r>
        <w:rPr>
          <w:rFonts w:ascii="宋体"/>
          <w:sz w:val="24"/>
          <w:szCs w:val="24"/>
          <w:highlight w:val="none"/>
        </w:rPr>
        <w:fldChar w:fldCharType="begin"/>
      </w:r>
      <w:r>
        <w:rPr>
          <w:rFonts w:ascii="宋体"/>
          <w:sz w:val="24"/>
          <w:szCs w:val="24"/>
          <w:highlight w:val="none"/>
        </w:rPr>
        <w:instrText xml:space="preserve"> PAGEREF _Toc169861823 \h </w:instrText>
      </w:r>
      <w:r>
        <w:rPr>
          <w:rFonts w:ascii="宋体"/>
          <w:sz w:val="24"/>
          <w:szCs w:val="24"/>
          <w:highlight w:val="none"/>
        </w:rPr>
        <w:fldChar w:fldCharType="separate"/>
      </w:r>
      <w:r>
        <w:rPr>
          <w:rFonts w:ascii="宋体"/>
          <w:sz w:val="24"/>
          <w:szCs w:val="24"/>
          <w:highlight w:val="none"/>
        </w:rPr>
        <w:t>1</w:t>
      </w:r>
      <w:r>
        <w:rPr>
          <w:rFonts w:hint="eastAsia" w:ascii="宋体"/>
          <w:sz w:val="24"/>
          <w:szCs w:val="24"/>
          <w:highlight w:val="none"/>
          <w:lang w:val="en-US" w:eastAsia="zh-CN"/>
        </w:rPr>
        <w:t>7</w:t>
      </w:r>
      <w:r>
        <w:rPr>
          <w:rFonts w:ascii="宋体"/>
          <w:sz w:val="24"/>
          <w:szCs w:val="24"/>
          <w:highlight w:val="none"/>
        </w:rPr>
        <w:fldChar w:fldCharType="end"/>
      </w:r>
      <w:r>
        <w:rPr>
          <w:rFonts w:ascii="宋体"/>
          <w:sz w:val="24"/>
          <w:szCs w:val="24"/>
          <w:highlight w:val="none"/>
        </w:rPr>
        <w:fldChar w:fldCharType="end"/>
      </w:r>
    </w:p>
    <w:p w14:paraId="79727DEF">
      <w:pPr>
        <w:pStyle w:val="30"/>
        <w:keepNext w:val="0"/>
        <w:keepLines w:val="0"/>
        <w:pageBreakBefore w:val="0"/>
        <w:widowControl w:val="0"/>
        <w:tabs>
          <w:tab w:val="right" w:leader="dot" w:pos="7938"/>
          <w:tab w:val="clear" w:pos="8505"/>
        </w:tabs>
        <w:kinsoku/>
        <w:wordWrap/>
        <w:overflowPunct/>
        <w:topLinePunct w:val="0"/>
        <w:autoSpaceDE/>
        <w:autoSpaceDN/>
        <w:bidi w:val="0"/>
        <w:adjustRightInd/>
        <w:snapToGrid w:val="0"/>
        <w:spacing w:line="480" w:lineRule="auto"/>
        <w:ind w:right="0" w:rightChars="0"/>
        <w:textAlignment w:val="auto"/>
        <w:rPr>
          <w:rFonts w:hint="eastAsia" w:ascii="宋体" w:eastAsia="宋体" w:cstheme="minorBidi"/>
          <w:bCs w:val="0"/>
          <w:sz w:val="24"/>
          <w:szCs w:val="24"/>
          <w:highlight w:val="none"/>
          <w:lang w:val="en-US" w:eastAsia="zh-CN"/>
          <w14:ligatures w14:val="standardContextual"/>
        </w:rPr>
      </w:pPr>
      <w:r>
        <w:rPr>
          <w:highlight w:val="none"/>
        </w:rPr>
        <w:fldChar w:fldCharType="begin"/>
      </w:r>
      <w:r>
        <w:rPr>
          <w:highlight w:val="none"/>
        </w:rPr>
        <w:instrText xml:space="preserve"> HYPERLINK \l "_Toc169861824" </w:instrText>
      </w:r>
      <w:r>
        <w:rPr>
          <w:highlight w:val="none"/>
        </w:rPr>
        <w:fldChar w:fldCharType="separate"/>
      </w:r>
      <w:r>
        <w:rPr>
          <w:rStyle w:val="48"/>
          <w:rFonts w:ascii="宋体"/>
          <w:sz w:val="24"/>
          <w:szCs w:val="24"/>
          <w:highlight w:val="none"/>
        </w:rPr>
        <w:t>第五部分 合同书格式</w:t>
      </w:r>
      <w:r>
        <w:rPr>
          <w:rFonts w:ascii="宋体"/>
          <w:sz w:val="24"/>
          <w:szCs w:val="24"/>
          <w:highlight w:val="none"/>
        </w:rPr>
        <w:tab/>
      </w:r>
      <w:r>
        <w:rPr>
          <w:rFonts w:hint="eastAsia" w:ascii="宋体"/>
          <w:sz w:val="24"/>
          <w:szCs w:val="24"/>
          <w:highlight w:val="none"/>
          <w:lang w:val="en-US" w:eastAsia="zh-CN"/>
        </w:rPr>
        <w:t>1</w:t>
      </w:r>
      <w:r>
        <w:rPr>
          <w:rFonts w:ascii="宋体"/>
          <w:sz w:val="24"/>
          <w:szCs w:val="24"/>
          <w:highlight w:val="none"/>
        </w:rPr>
        <w:fldChar w:fldCharType="end"/>
      </w:r>
      <w:r>
        <w:rPr>
          <w:rFonts w:hint="eastAsia" w:ascii="宋体"/>
          <w:sz w:val="24"/>
          <w:szCs w:val="24"/>
          <w:highlight w:val="none"/>
          <w:lang w:val="en-US" w:eastAsia="zh-CN"/>
        </w:rPr>
        <w:t>9</w:t>
      </w:r>
    </w:p>
    <w:p w14:paraId="5015A6E6">
      <w:pPr>
        <w:pStyle w:val="30"/>
        <w:keepNext w:val="0"/>
        <w:keepLines w:val="0"/>
        <w:pageBreakBefore w:val="0"/>
        <w:widowControl w:val="0"/>
        <w:tabs>
          <w:tab w:val="right" w:leader="dot" w:pos="7938"/>
          <w:tab w:val="clear" w:pos="8505"/>
        </w:tabs>
        <w:kinsoku/>
        <w:wordWrap/>
        <w:overflowPunct/>
        <w:topLinePunct w:val="0"/>
        <w:autoSpaceDE/>
        <w:autoSpaceDN/>
        <w:bidi w:val="0"/>
        <w:adjustRightInd/>
        <w:snapToGrid w:val="0"/>
        <w:spacing w:line="480" w:lineRule="auto"/>
        <w:ind w:right="0" w:rightChars="0"/>
        <w:textAlignment w:val="auto"/>
        <w:rPr>
          <w:highlight w:val="none"/>
        </w:rPr>
      </w:pPr>
      <w:r>
        <w:rPr>
          <w:highlight w:val="none"/>
        </w:rPr>
        <w:fldChar w:fldCharType="begin"/>
      </w:r>
      <w:r>
        <w:rPr>
          <w:highlight w:val="none"/>
        </w:rPr>
        <w:instrText xml:space="preserve"> HYPERLINK \l "_Toc169861825" </w:instrText>
      </w:r>
      <w:r>
        <w:rPr>
          <w:highlight w:val="none"/>
        </w:rPr>
        <w:fldChar w:fldCharType="separate"/>
      </w:r>
      <w:r>
        <w:rPr>
          <w:rStyle w:val="48"/>
          <w:rFonts w:ascii="宋体"/>
          <w:sz w:val="24"/>
          <w:szCs w:val="24"/>
          <w:highlight w:val="none"/>
        </w:rPr>
        <w:t>第六部分 响应文件格式</w:t>
      </w:r>
      <w:r>
        <w:rPr>
          <w:rFonts w:ascii="宋体"/>
          <w:sz w:val="24"/>
          <w:szCs w:val="24"/>
          <w:highlight w:val="none"/>
        </w:rPr>
        <w:tab/>
      </w:r>
      <w:r>
        <w:rPr>
          <w:rFonts w:ascii="宋体"/>
          <w:sz w:val="24"/>
          <w:szCs w:val="24"/>
          <w:highlight w:val="none"/>
        </w:rPr>
        <w:fldChar w:fldCharType="begin"/>
      </w:r>
      <w:r>
        <w:rPr>
          <w:rFonts w:ascii="宋体"/>
          <w:sz w:val="24"/>
          <w:szCs w:val="24"/>
          <w:highlight w:val="none"/>
        </w:rPr>
        <w:instrText xml:space="preserve"> PAGEREF _Toc169861825 \h </w:instrText>
      </w:r>
      <w:r>
        <w:rPr>
          <w:rFonts w:ascii="宋体"/>
          <w:sz w:val="24"/>
          <w:szCs w:val="24"/>
          <w:highlight w:val="none"/>
        </w:rPr>
        <w:fldChar w:fldCharType="separate"/>
      </w:r>
      <w:r>
        <w:rPr>
          <w:rFonts w:hint="eastAsia" w:ascii="宋体"/>
          <w:sz w:val="24"/>
          <w:szCs w:val="24"/>
          <w:highlight w:val="none"/>
          <w:lang w:val="en-US" w:eastAsia="zh-CN"/>
        </w:rPr>
        <w:t>23</w:t>
      </w:r>
      <w:r>
        <w:rPr>
          <w:rFonts w:ascii="宋体"/>
          <w:sz w:val="24"/>
          <w:szCs w:val="24"/>
          <w:highlight w:val="none"/>
        </w:rPr>
        <w:fldChar w:fldCharType="end"/>
      </w:r>
      <w:r>
        <w:rPr>
          <w:rFonts w:ascii="宋体"/>
          <w:sz w:val="24"/>
          <w:szCs w:val="24"/>
          <w:highlight w:val="none"/>
        </w:rPr>
        <w:fldChar w:fldCharType="end"/>
      </w:r>
      <w:r>
        <w:rPr>
          <w:rFonts w:ascii="宋体" w:hAnsi="宋体" w:eastAsia="宋体"/>
          <w:b/>
          <w:sz w:val="24"/>
          <w:szCs w:val="24"/>
          <w:highlight w:val="none"/>
        </w:rPr>
        <w:fldChar w:fldCharType="end"/>
      </w:r>
      <w:bookmarkStart w:id="2" w:name="_Toc51756448"/>
      <w:bookmarkStart w:id="3" w:name="_Toc52021495"/>
      <w:bookmarkStart w:id="4" w:name="_Toc52027882"/>
      <w:bookmarkStart w:id="5" w:name="_Toc56352965"/>
      <w:bookmarkStart w:id="6" w:name="_Toc51939413"/>
      <w:bookmarkStart w:id="7" w:name="_Toc476976153"/>
      <w:bookmarkStart w:id="8" w:name="_Toc486671525"/>
      <w:bookmarkStart w:id="9" w:name="_Toc467236720"/>
      <w:r>
        <w:rPr>
          <w:highlight w:val="none"/>
        </w:rPr>
        <w:br w:type="page"/>
      </w:r>
    </w:p>
    <w:p w14:paraId="41452421">
      <w:pPr>
        <w:pStyle w:val="3"/>
        <w:keepNext w:val="0"/>
        <w:keepLines w:val="0"/>
        <w:snapToGrid w:val="0"/>
        <w:spacing w:before="0" w:after="0" w:line="360" w:lineRule="auto"/>
        <w:ind w:firstLine="426" w:firstLineChars="118"/>
        <w:jc w:val="center"/>
        <w:rPr>
          <w:rFonts w:ascii="Times New Roman"/>
          <w:sz w:val="36"/>
          <w:szCs w:val="28"/>
          <w:highlight w:val="none"/>
        </w:rPr>
      </w:pPr>
      <w:bookmarkStart w:id="10" w:name="_Toc169861802"/>
      <w:r>
        <w:rPr>
          <w:rFonts w:ascii="Times New Roman"/>
          <w:sz w:val="36"/>
          <w:szCs w:val="28"/>
          <w:highlight w:val="none"/>
        </w:rPr>
        <w:t>第一部分</w:t>
      </w:r>
      <w:bookmarkEnd w:id="2"/>
      <w:bookmarkEnd w:id="3"/>
      <w:bookmarkEnd w:id="4"/>
      <w:bookmarkEnd w:id="5"/>
      <w:bookmarkEnd w:id="6"/>
      <w:r>
        <w:rPr>
          <w:rFonts w:ascii="Times New Roman"/>
          <w:sz w:val="36"/>
          <w:szCs w:val="28"/>
          <w:highlight w:val="none"/>
        </w:rPr>
        <w:t xml:space="preserve">  </w:t>
      </w:r>
      <w:r>
        <w:rPr>
          <w:rFonts w:hint="eastAsia" w:ascii="Times New Roman"/>
          <w:sz w:val="36"/>
          <w:szCs w:val="28"/>
          <w:highlight w:val="none"/>
          <w:lang w:eastAsia="zh-CN"/>
        </w:rPr>
        <w:t>遴选</w:t>
      </w:r>
      <w:r>
        <w:rPr>
          <w:rFonts w:ascii="Times New Roman"/>
          <w:sz w:val="36"/>
          <w:szCs w:val="28"/>
          <w:highlight w:val="none"/>
        </w:rPr>
        <w:t>邀请函</w:t>
      </w:r>
      <w:bookmarkEnd w:id="0"/>
      <w:bookmarkEnd w:id="7"/>
      <w:bookmarkEnd w:id="8"/>
      <w:bookmarkEnd w:id="9"/>
      <w:bookmarkEnd w:id="10"/>
    </w:p>
    <w:p w14:paraId="387AE826">
      <w:pPr>
        <w:spacing w:line="360" w:lineRule="auto"/>
        <w:ind w:firstLine="480" w:firstLineChars="200"/>
        <w:rPr>
          <w:rFonts w:hint="eastAsia" w:ascii="宋体" w:hAnsi="宋体" w:eastAsia="宋体" w:cs="宋体"/>
          <w:sz w:val="24"/>
          <w:szCs w:val="24"/>
          <w:highlight w:val="none"/>
        </w:rPr>
      </w:pPr>
      <w:bookmarkStart w:id="11" w:name="_Hlk169100961"/>
      <w:r>
        <w:rPr>
          <w:rFonts w:hint="eastAsia" w:ascii="宋体" w:hAnsi="宋体" w:eastAsia="宋体" w:cs="宋体"/>
          <w:bCs/>
          <w:sz w:val="24"/>
          <w:szCs w:val="24"/>
          <w:highlight w:val="none"/>
        </w:rPr>
        <w:t>就</w:t>
      </w:r>
      <w:r>
        <w:rPr>
          <w:rFonts w:hint="eastAsia" w:ascii="宋体" w:hAnsi="宋体" w:eastAsia="宋体" w:cs="宋体"/>
          <w:b/>
          <w:bCs/>
          <w:sz w:val="24"/>
          <w:szCs w:val="24"/>
          <w:highlight w:val="none"/>
          <w:u w:val="none"/>
          <w:lang w:eastAsia="zh-CN"/>
        </w:rPr>
        <w:t>开平市中心医院药剂大楼容灾机房电力输入电缆采购项目</w:t>
      </w:r>
      <w:r>
        <w:rPr>
          <w:rFonts w:hint="eastAsia" w:ascii="宋体" w:hAnsi="宋体" w:eastAsia="宋体" w:cs="宋体"/>
          <w:bCs/>
          <w:sz w:val="24"/>
          <w:szCs w:val="24"/>
          <w:highlight w:val="none"/>
        </w:rPr>
        <w:t>进行</w:t>
      </w:r>
      <w:r>
        <w:rPr>
          <w:rFonts w:hint="eastAsia" w:ascii="宋体" w:hAnsi="宋体" w:eastAsia="宋体" w:cs="宋体"/>
          <w:b/>
          <w:bCs w:val="0"/>
          <w:sz w:val="24"/>
          <w:szCs w:val="24"/>
          <w:highlight w:val="none"/>
          <w:lang w:val="en-US" w:eastAsia="zh-CN"/>
        </w:rPr>
        <w:t>院内</w:t>
      </w:r>
      <w:r>
        <w:rPr>
          <w:rFonts w:hint="eastAsia" w:ascii="宋体" w:hAnsi="宋体" w:eastAsia="宋体" w:cs="宋体"/>
          <w:b/>
          <w:sz w:val="24"/>
          <w:szCs w:val="24"/>
          <w:highlight w:val="none"/>
          <w:lang w:eastAsia="zh-CN"/>
        </w:rPr>
        <w:t>遴选</w:t>
      </w:r>
      <w:r>
        <w:rPr>
          <w:rFonts w:hint="eastAsia" w:ascii="宋体" w:hAnsi="宋体" w:eastAsia="宋体" w:cs="宋体"/>
          <w:bCs/>
          <w:sz w:val="24"/>
          <w:szCs w:val="24"/>
          <w:highlight w:val="none"/>
        </w:rPr>
        <w:t>采购。现邀请有相应服务能</w:t>
      </w:r>
      <w:r>
        <w:rPr>
          <w:rFonts w:hint="eastAsia" w:ascii="宋体" w:hAnsi="宋体" w:eastAsia="宋体" w:cs="宋体"/>
          <w:sz w:val="24"/>
          <w:szCs w:val="24"/>
          <w:highlight w:val="none"/>
        </w:rPr>
        <w:t>力的企业，就下列相关服务提交密封响应文件。</w:t>
      </w:r>
    </w:p>
    <w:bookmarkEnd w:id="11"/>
    <w:p w14:paraId="7DD30214">
      <w:pPr>
        <w:pStyle w:val="6"/>
        <w:pageBreakBefore w:val="0"/>
        <w:kinsoku/>
        <w:wordWrap/>
        <w:overflowPunct/>
        <w:topLinePunct w:val="0"/>
        <w:autoSpaceDE/>
        <w:autoSpaceDN/>
        <w:bidi w:val="0"/>
        <w:snapToGrid/>
        <w:spacing w:before="0" w:beforeLines="0" w:after="0" w:afterLines="0" w:line="360" w:lineRule="auto"/>
        <w:ind w:left="0" w:firstLine="482" w:firstLineChars="200"/>
        <w:rPr>
          <w:rFonts w:hint="eastAsia" w:ascii="宋体" w:hAnsi="宋体" w:eastAsia="宋体" w:cs="宋体"/>
          <w:b/>
          <w:bCs/>
          <w:sz w:val="24"/>
          <w:szCs w:val="24"/>
          <w:highlight w:val="none"/>
        </w:rPr>
      </w:pPr>
      <w:bookmarkStart w:id="12" w:name="_Toc294013653"/>
      <w:bookmarkStart w:id="13" w:name="_Toc367082515"/>
      <w:bookmarkStart w:id="14" w:name="_Toc202872942"/>
      <w:bookmarkStart w:id="15" w:name="_Toc315688531"/>
      <w:bookmarkStart w:id="16" w:name="_Toc52027884"/>
      <w:bookmarkStart w:id="17" w:name="_Toc52021497"/>
      <w:bookmarkStart w:id="18" w:name="_Toc51756450"/>
      <w:bookmarkStart w:id="19" w:name="_Toc51939415"/>
      <w:bookmarkStart w:id="20" w:name="_Toc56352967"/>
      <w:bookmarkStart w:id="21" w:name="_Toc486671526"/>
      <w:bookmarkStart w:id="22" w:name="_Toc458262591"/>
      <w:bookmarkStart w:id="23" w:name="_Toc476976154"/>
      <w:bookmarkStart w:id="24" w:name="_Toc467236722"/>
      <w:r>
        <w:rPr>
          <w:rFonts w:hint="eastAsia" w:ascii="宋体" w:hAnsi="宋体" w:eastAsia="宋体" w:cs="宋体"/>
          <w:b/>
          <w:bCs/>
          <w:sz w:val="24"/>
          <w:szCs w:val="24"/>
          <w:highlight w:val="none"/>
        </w:rPr>
        <w:t>1．项目概况</w:t>
      </w:r>
      <w:bookmarkEnd w:id="12"/>
      <w:bookmarkEnd w:id="13"/>
      <w:bookmarkEnd w:id="14"/>
      <w:bookmarkEnd w:id="15"/>
    </w:p>
    <w:p w14:paraId="03B81E71">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highlight w:val="none"/>
          <w:lang w:eastAsia="zh-CN"/>
        </w:rPr>
      </w:pPr>
      <w:bookmarkStart w:id="25" w:name="_Toc315688532"/>
      <w:bookmarkStart w:id="26" w:name="_Toc367082516"/>
      <w:bookmarkStart w:id="27" w:name="_Toc202872943"/>
      <w:bookmarkStart w:id="28" w:name="_Toc294013654"/>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项目名称：</w:t>
      </w:r>
      <w:r>
        <w:rPr>
          <w:rFonts w:hint="eastAsia" w:ascii="宋体" w:hAnsi="宋体" w:eastAsia="宋体" w:cs="宋体"/>
          <w:bCs/>
          <w:sz w:val="24"/>
          <w:szCs w:val="24"/>
          <w:highlight w:val="none"/>
          <w:lang w:eastAsia="zh-CN"/>
        </w:rPr>
        <w:t>开平市中心医院药剂大楼容灾机房电力输入电缆采购项目</w:t>
      </w:r>
    </w:p>
    <w:p w14:paraId="4015E977">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2采购总预算：</w:t>
      </w:r>
      <w:r>
        <w:rPr>
          <w:rFonts w:hint="eastAsia" w:ascii="宋体" w:hAnsi="宋体" w:eastAsia="宋体" w:cs="宋体"/>
          <w:sz w:val="24"/>
          <w:szCs w:val="24"/>
          <w:highlight w:val="none"/>
          <w:lang w:val="en-US" w:eastAsia="zh-CN"/>
        </w:rPr>
        <w:t>129285</w:t>
      </w:r>
      <w:r>
        <w:rPr>
          <w:rFonts w:hint="eastAsia" w:ascii="宋体" w:hAnsi="宋体" w:eastAsia="宋体" w:cs="宋体"/>
          <w:bCs/>
          <w:sz w:val="24"/>
          <w:szCs w:val="24"/>
          <w:highlight w:val="none"/>
        </w:rPr>
        <w:t>.00元</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供应商报价不得超过此金额</w:t>
      </w:r>
      <w:r>
        <w:rPr>
          <w:rFonts w:hint="eastAsia" w:ascii="宋体" w:hAnsi="宋体" w:eastAsia="宋体" w:cs="宋体"/>
          <w:bCs/>
          <w:sz w:val="24"/>
          <w:szCs w:val="24"/>
          <w:highlight w:val="none"/>
          <w:lang w:eastAsia="zh-CN"/>
        </w:rPr>
        <w:t>）</w:t>
      </w:r>
    </w:p>
    <w:p w14:paraId="671DA59D">
      <w:pPr>
        <w:pageBreakBefore w:val="0"/>
        <w:kinsoku/>
        <w:wordWrap/>
        <w:overflowPunct/>
        <w:topLinePunct w:val="0"/>
        <w:autoSpaceDE/>
        <w:autoSpaceDN/>
        <w:bidi w:val="0"/>
        <w:snapToGrid/>
        <w:spacing w:line="360" w:lineRule="auto"/>
        <w:ind w:left="0" w:firstLine="480" w:firstLineChars="200"/>
        <w:rPr>
          <w:rFonts w:hint="default"/>
          <w:highlight w:val="none"/>
          <w:lang w:val="en-US" w:eastAsia="zh-CN"/>
        </w:rPr>
      </w:pPr>
      <w:r>
        <w:rPr>
          <w:rFonts w:hint="eastAsia" w:ascii="宋体" w:hAnsi="宋体" w:eastAsia="宋体" w:cs="宋体"/>
          <w:b w:val="0"/>
          <w:bCs/>
          <w:sz w:val="24"/>
          <w:szCs w:val="24"/>
          <w:highlight w:val="none"/>
          <w:lang w:val="en-US" w:eastAsia="zh-CN"/>
        </w:rPr>
        <w:t>1.3</w:t>
      </w:r>
      <w:r>
        <w:rPr>
          <w:rFonts w:hint="eastAsia" w:ascii="宋体" w:hAnsi="宋体" w:eastAsia="宋体" w:cs="宋体"/>
          <w:sz w:val="24"/>
          <w:szCs w:val="24"/>
          <w:highlight w:val="none"/>
        </w:rPr>
        <w:t>报价方式</w:t>
      </w:r>
      <w:r>
        <w:rPr>
          <w:rFonts w:hint="eastAsia" w:ascii="宋体" w:hAnsi="宋体" w:eastAsia="宋体" w:cs="宋体"/>
          <w:b w:val="0"/>
          <w:bCs/>
          <w:sz w:val="24"/>
          <w:szCs w:val="24"/>
          <w:highlight w:val="none"/>
          <w:lang w:val="en-US" w:eastAsia="zh-CN"/>
        </w:rPr>
        <w:t>：总报价应</w:t>
      </w:r>
      <w:r>
        <w:rPr>
          <w:rFonts w:hint="eastAsia" w:ascii="宋体" w:hAnsi="宋体" w:eastAsia="宋体" w:cs="宋体"/>
          <w:sz w:val="24"/>
          <w:szCs w:val="24"/>
          <w:highlight w:val="none"/>
          <w:lang w:val="en-US" w:eastAsia="zh-CN"/>
        </w:rPr>
        <w:t>含电缆产品费、施工费、辅材费、卸车费、运输费、税金等成本项目所需的一切费用，</w:t>
      </w:r>
      <w:r>
        <w:rPr>
          <w:rFonts w:hint="eastAsia" w:ascii="宋体" w:hAnsi="宋体" w:eastAsia="宋体" w:cs="宋体"/>
          <w:b w:val="0"/>
          <w:bCs w:val="0"/>
          <w:sz w:val="24"/>
          <w:szCs w:val="24"/>
          <w:highlight w:val="none"/>
          <w:lang w:val="en-US" w:eastAsia="zh-CN"/>
        </w:rPr>
        <w:t>报价不得超过项目预算</w:t>
      </w:r>
      <w:r>
        <w:rPr>
          <w:rFonts w:hint="eastAsia" w:ascii="宋体" w:hAnsi="宋体" w:eastAsia="宋体" w:cs="宋体"/>
          <w:b w:val="0"/>
          <w:bCs w:val="0"/>
          <w:sz w:val="24"/>
          <w:szCs w:val="24"/>
          <w:highlight w:val="none"/>
        </w:rPr>
        <w:t>，否则作无效</w:t>
      </w:r>
      <w:r>
        <w:rPr>
          <w:rFonts w:hint="eastAsia" w:ascii="宋体" w:hAnsi="宋体" w:eastAsia="宋体" w:cs="宋体"/>
          <w:b w:val="0"/>
          <w:bCs w:val="0"/>
          <w:sz w:val="24"/>
          <w:szCs w:val="24"/>
          <w:highlight w:val="none"/>
          <w:lang w:eastAsia="zh-CN"/>
        </w:rPr>
        <w:t>响应</w:t>
      </w:r>
      <w:r>
        <w:rPr>
          <w:rFonts w:hint="eastAsia" w:ascii="宋体" w:hAnsi="宋体" w:eastAsia="宋体" w:cs="宋体"/>
          <w:b w:val="0"/>
          <w:bCs w:val="0"/>
          <w:sz w:val="24"/>
          <w:szCs w:val="24"/>
          <w:highlight w:val="none"/>
        </w:rPr>
        <w:t>处理。</w:t>
      </w:r>
      <w:r>
        <w:rPr>
          <w:rFonts w:hint="eastAsia" w:ascii="宋体" w:hAnsi="宋体" w:eastAsia="宋体" w:cs="宋体"/>
          <w:sz w:val="24"/>
          <w:szCs w:val="24"/>
          <w:highlight w:val="none"/>
          <w:lang w:val="en-US" w:eastAsia="zh-CN"/>
        </w:rPr>
        <w:t>。</w:t>
      </w:r>
    </w:p>
    <w:p w14:paraId="1EC492CF">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1.4项目内容及需求情况</w:t>
      </w:r>
    </w:p>
    <w:tbl>
      <w:tblPr>
        <w:tblStyle w:val="42"/>
        <w:tblW w:w="500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64"/>
        <w:gridCol w:w="2307"/>
        <w:gridCol w:w="1181"/>
        <w:gridCol w:w="1845"/>
        <w:gridCol w:w="1651"/>
      </w:tblGrid>
      <w:tr w14:paraId="4FD84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64" w:hRule="atLeast"/>
          <w:jc w:val="center"/>
        </w:trPr>
        <w:tc>
          <w:tcPr>
            <w:tcW w:w="1564" w:type="dxa"/>
            <w:vAlign w:val="center"/>
          </w:tcPr>
          <w:p w14:paraId="72CB8A6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采购标的</w:t>
            </w:r>
          </w:p>
        </w:tc>
        <w:tc>
          <w:tcPr>
            <w:tcW w:w="2307" w:type="dxa"/>
            <w:shd w:val="clear" w:color="auto" w:fill="auto"/>
            <w:vAlign w:val="center"/>
          </w:tcPr>
          <w:p w14:paraId="4DEB53F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采购内容</w:t>
            </w:r>
          </w:p>
        </w:tc>
        <w:tc>
          <w:tcPr>
            <w:tcW w:w="1181" w:type="dxa"/>
            <w:vAlign w:val="center"/>
          </w:tcPr>
          <w:p w14:paraId="0AFA32C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p w14:paraId="73369A3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（单位）</w:t>
            </w:r>
          </w:p>
        </w:tc>
        <w:tc>
          <w:tcPr>
            <w:tcW w:w="1845" w:type="dxa"/>
            <w:vAlign w:val="center"/>
          </w:tcPr>
          <w:p w14:paraId="1D29D50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规格型号</w:t>
            </w:r>
          </w:p>
        </w:tc>
        <w:tc>
          <w:tcPr>
            <w:tcW w:w="1651" w:type="dxa"/>
            <w:vAlign w:val="center"/>
          </w:tcPr>
          <w:p w14:paraId="3FF4AD0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技术要求</w:t>
            </w:r>
          </w:p>
        </w:tc>
      </w:tr>
      <w:tr w14:paraId="04ACB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74" w:hRule="atLeast"/>
          <w:jc w:val="center"/>
        </w:trPr>
        <w:tc>
          <w:tcPr>
            <w:tcW w:w="1564" w:type="dxa"/>
            <w:vAlign w:val="center"/>
          </w:tcPr>
          <w:p w14:paraId="1B32A1B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开平市中心医院药剂大楼容灾机房电力输入电缆采购项目</w:t>
            </w:r>
          </w:p>
        </w:tc>
        <w:tc>
          <w:tcPr>
            <w:tcW w:w="2307" w:type="dxa"/>
            <w:shd w:val="clear" w:color="auto" w:fill="auto"/>
            <w:vAlign w:val="center"/>
          </w:tcPr>
          <w:p w14:paraId="7373519B">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供应商需负责电力电缆的供应、运输、敷设安装及接线调试等全部工作，确保系统通电运行正常，并符合医院容灾机房的电力安全标准。</w:t>
            </w:r>
          </w:p>
        </w:tc>
        <w:tc>
          <w:tcPr>
            <w:tcW w:w="1181" w:type="dxa"/>
            <w:vAlign w:val="center"/>
          </w:tcPr>
          <w:p w14:paraId="0836CF6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米</w:t>
            </w:r>
            <w:r>
              <w:rPr>
                <w:rFonts w:hint="eastAsia" w:ascii="宋体" w:hAnsi="宋体" w:eastAsia="宋体" w:cs="宋体"/>
                <w:sz w:val="24"/>
                <w:szCs w:val="24"/>
                <w:highlight w:val="none"/>
              </w:rPr>
              <w:t>)</w:t>
            </w:r>
          </w:p>
        </w:tc>
        <w:tc>
          <w:tcPr>
            <w:tcW w:w="1845" w:type="dxa"/>
            <w:vAlign w:val="center"/>
          </w:tcPr>
          <w:p w14:paraId="605560DA">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WDZCN-YJY23</w:t>
            </w:r>
          </w:p>
          <w:p w14:paraId="20FAE3C4">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1KV 4x120+1x70</w:t>
            </w:r>
          </w:p>
        </w:tc>
        <w:tc>
          <w:tcPr>
            <w:tcW w:w="1651" w:type="dxa"/>
            <w:vAlign w:val="center"/>
          </w:tcPr>
          <w:p w14:paraId="5D21663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电缆必须符合国家现行相关质量标准，确保为全新、未使用过的合格产品。</w:t>
            </w:r>
          </w:p>
        </w:tc>
      </w:tr>
    </w:tbl>
    <w:p w14:paraId="13DB89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p>
    <w:p w14:paraId="69C987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本</w:t>
      </w:r>
      <w:r>
        <w:rPr>
          <w:rFonts w:hint="eastAsia" w:ascii="宋体" w:hAnsi="宋体" w:eastAsia="宋体" w:cs="宋体"/>
          <w:sz w:val="24"/>
          <w:szCs w:val="24"/>
          <w:highlight w:val="none"/>
          <w:lang w:val="en-US" w:eastAsia="zh-CN"/>
        </w:rPr>
        <w:t>项目</w:t>
      </w:r>
      <w:r>
        <w:rPr>
          <w:rFonts w:hint="default" w:ascii="宋体" w:hAnsi="宋体" w:eastAsia="宋体" w:cs="宋体"/>
          <w:b/>
          <w:bCs/>
          <w:sz w:val="24"/>
          <w:szCs w:val="24"/>
          <w:highlight w:val="none"/>
          <w:u w:val="single"/>
          <w:lang w:val="en-US" w:eastAsia="zh-CN"/>
        </w:rPr>
        <w:t>不接受</w:t>
      </w:r>
      <w:r>
        <w:rPr>
          <w:rFonts w:hint="default" w:ascii="宋体" w:hAnsi="宋体" w:eastAsia="宋体" w:cs="宋体"/>
          <w:sz w:val="24"/>
          <w:szCs w:val="24"/>
          <w:highlight w:val="none"/>
          <w:lang w:val="en-US" w:eastAsia="zh-CN"/>
        </w:rPr>
        <w:t>联合体投标。</w:t>
      </w:r>
    </w:p>
    <w:p w14:paraId="5302447F">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1.5交货地点：采购人指定地点（以合同为准）。</w:t>
      </w:r>
    </w:p>
    <w:p w14:paraId="17F74D14">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highlight w:val="none"/>
          <w:lang w:val="en-US" w:eastAsia="zh-CN"/>
        </w:rPr>
      </w:pPr>
      <w:r>
        <w:rPr>
          <w:rFonts w:hint="eastAsia" w:ascii="宋体" w:hAnsi="宋体" w:eastAsia="宋体" w:cs="宋体"/>
          <w:sz w:val="24"/>
          <w:szCs w:val="24"/>
          <w:highlight w:val="none"/>
          <w:lang w:val="en-US" w:eastAsia="zh-CN"/>
        </w:rPr>
        <w:t>1.6交货期：合同签订生效后14个自然日内完成交货及安装调试。</w:t>
      </w:r>
    </w:p>
    <w:p w14:paraId="2161FF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1.7履约</w:t>
      </w:r>
      <w:r>
        <w:rPr>
          <w:rFonts w:hint="default" w:ascii="宋体" w:hAnsi="宋体" w:eastAsia="宋体" w:cs="宋体"/>
          <w:sz w:val="24"/>
          <w:szCs w:val="24"/>
          <w:highlight w:val="none"/>
          <w:lang w:val="en-US" w:eastAsia="zh-CN"/>
        </w:rPr>
        <w:t>期限：自合同签订生效之日起至合同所约定的全部义务履行完毕之日止。</w:t>
      </w:r>
    </w:p>
    <w:p w14:paraId="3650A594">
      <w:pPr>
        <w:pStyle w:val="6"/>
        <w:pageBreakBefore w:val="0"/>
        <w:numPr>
          <w:ilvl w:val="0"/>
          <w:numId w:val="0"/>
        </w:numPr>
        <w:kinsoku/>
        <w:wordWrap/>
        <w:overflowPunct/>
        <w:topLinePunct w:val="0"/>
        <w:autoSpaceDE/>
        <w:autoSpaceDN/>
        <w:bidi w:val="0"/>
        <w:snapToGrid/>
        <w:spacing w:before="0" w:beforeLines="0" w:after="0" w:afterLines="0" w:line="360" w:lineRule="auto"/>
        <w:ind w:left="0"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2．供应商资格要求</w:t>
      </w:r>
      <w:bookmarkEnd w:id="25"/>
      <w:bookmarkEnd w:id="26"/>
      <w:bookmarkEnd w:id="27"/>
      <w:bookmarkEnd w:id="28"/>
    </w:p>
    <w:p w14:paraId="63FC9C6C">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highlight w:val="none"/>
          <w:lang w:eastAsia="zh-CN"/>
        </w:rPr>
      </w:pPr>
      <w:bookmarkStart w:id="29" w:name="_Toc315688533"/>
      <w:bookmarkStart w:id="30" w:name="_Toc202872944"/>
      <w:bookmarkStart w:id="31" w:name="_Toc367082517"/>
      <w:bookmarkStart w:id="32" w:name="_Toc294013655"/>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供应商</w:t>
      </w:r>
      <w:r>
        <w:rPr>
          <w:rFonts w:hint="eastAsia" w:ascii="宋体" w:hAnsi="宋体" w:eastAsia="宋体" w:cs="宋体"/>
          <w:bCs/>
          <w:sz w:val="24"/>
          <w:szCs w:val="24"/>
          <w:highlight w:val="none"/>
        </w:rPr>
        <w:t>必须</w:t>
      </w:r>
      <w:r>
        <w:rPr>
          <w:rFonts w:hint="eastAsia" w:ascii="宋体" w:hAnsi="宋体" w:eastAsia="宋体" w:cs="宋体"/>
          <w:i w:val="0"/>
          <w:iCs w:val="0"/>
          <w:caps w:val="0"/>
          <w:color w:val="222222"/>
          <w:spacing w:val="0"/>
          <w:sz w:val="24"/>
          <w:szCs w:val="24"/>
          <w:highlight w:val="none"/>
          <w:shd w:val="clear" w:fill="FFFFFF"/>
        </w:rPr>
        <w:t>具备《中华人民共和国政府采购法》第二十二条规定的条件</w:t>
      </w:r>
      <w:r>
        <w:rPr>
          <w:rFonts w:hint="eastAsia" w:ascii="宋体" w:hAnsi="宋体" w:eastAsia="宋体" w:cs="宋体"/>
          <w:bCs/>
          <w:sz w:val="24"/>
          <w:szCs w:val="24"/>
          <w:highlight w:val="none"/>
        </w:rPr>
        <w:t>，并按照相关规定递交资格证明文件</w:t>
      </w:r>
      <w:r>
        <w:rPr>
          <w:rFonts w:hint="eastAsia" w:ascii="宋体" w:hAnsi="宋体" w:eastAsia="宋体" w:cs="宋体"/>
          <w:bCs/>
          <w:sz w:val="24"/>
          <w:szCs w:val="24"/>
          <w:highlight w:val="none"/>
          <w:lang w:eastAsia="zh-CN"/>
        </w:rPr>
        <w:t>：</w:t>
      </w:r>
    </w:p>
    <w:p w14:paraId="4FE34EF8">
      <w:pPr>
        <w:spacing w:line="360" w:lineRule="auto"/>
        <w:ind w:firstLine="480" w:firstLineChars="200"/>
        <w:rPr>
          <w:rFonts w:hint="eastAsia" w:ascii="宋体" w:hAnsi="宋体" w:eastAsia="宋体" w:cs="宋体"/>
          <w:i w:val="0"/>
          <w:iCs w:val="0"/>
          <w:caps w:val="0"/>
          <w:color w:val="222222"/>
          <w:spacing w:val="0"/>
          <w:sz w:val="24"/>
          <w:szCs w:val="24"/>
          <w:highlight w:val="none"/>
          <w:shd w:val="clear" w:fill="FFFFFF"/>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lang w:eastAsia="zh-CN"/>
        </w:rPr>
        <w:t>）</w:t>
      </w:r>
      <w:r>
        <w:rPr>
          <w:rFonts w:hint="eastAsia" w:ascii="宋体" w:hAnsi="宋体" w:eastAsia="宋体" w:cs="宋体"/>
          <w:i w:val="0"/>
          <w:iCs w:val="0"/>
          <w:caps w:val="0"/>
          <w:color w:val="222222"/>
          <w:spacing w:val="0"/>
          <w:sz w:val="24"/>
          <w:szCs w:val="24"/>
          <w:highlight w:val="none"/>
          <w:shd w:val="clear" w:fill="FFFFFF"/>
        </w:rPr>
        <w:t>具有独立承担民事责任的能力：在中华人民共和国境内注册的法人或其他组织或自然人，响应时提交有效的营业执照（或事业法人登记证</w:t>
      </w:r>
      <w:r>
        <w:rPr>
          <w:rFonts w:hint="eastAsia" w:ascii="宋体" w:hAnsi="宋体" w:eastAsia="宋体" w:cs="宋体"/>
          <w:i w:val="0"/>
          <w:iCs w:val="0"/>
          <w:caps w:val="0"/>
          <w:color w:val="222222"/>
          <w:spacing w:val="0"/>
          <w:sz w:val="24"/>
          <w:szCs w:val="24"/>
          <w:highlight w:val="none"/>
          <w:shd w:val="clear" w:fill="FFFFFF"/>
          <w:lang w:val="en-US" w:eastAsia="zh-CN"/>
        </w:rPr>
        <w:t>/</w:t>
      </w:r>
      <w:r>
        <w:rPr>
          <w:rFonts w:hint="eastAsia" w:ascii="宋体" w:hAnsi="宋体" w:eastAsia="宋体" w:cs="宋体"/>
          <w:i w:val="0"/>
          <w:iCs w:val="0"/>
          <w:caps w:val="0"/>
          <w:color w:val="222222"/>
          <w:spacing w:val="0"/>
          <w:sz w:val="24"/>
          <w:szCs w:val="24"/>
          <w:highlight w:val="none"/>
          <w:shd w:val="clear" w:fill="FFFFFF"/>
        </w:rPr>
        <w:t>身份证等相关证明） 副本复印件。</w:t>
      </w:r>
    </w:p>
    <w:p w14:paraId="0A84637E">
      <w:pPr>
        <w:spacing w:line="360" w:lineRule="auto"/>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（2）</w:t>
      </w:r>
      <w:r>
        <w:rPr>
          <w:rFonts w:hint="eastAsia" w:ascii="宋体" w:hAnsi="宋体" w:eastAsia="宋体" w:cs="宋体"/>
          <w:i w:val="0"/>
          <w:iCs w:val="0"/>
          <w:caps w:val="0"/>
          <w:color w:val="222222"/>
          <w:spacing w:val="0"/>
          <w:sz w:val="24"/>
          <w:szCs w:val="24"/>
          <w:highlight w:val="none"/>
          <w:shd w:val="clear" w:fill="FFFFFF"/>
        </w:rPr>
        <w:t>有依法缴纳税收和社会保障资金的良好记录：</w:t>
      </w:r>
      <w:r>
        <w:rPr>
          <w:rFonts w:hint="eastAsia" w:ascii="宋体" w:hAnsi="宋体" w:eastAsia="宋体"/>
          <w:sz w:val="24"/>
          <w:szCs w:val="21"/>
          <w:highlight w:val="none"/>
        </w:rPr>
        <w:t>提供</w:t>
      </w:r>
      <w:r>
        <w:rPr>
          <w:rFonts w:hint="eastAsia" w:ascii="宋体" w:hAnsi="宋体" w:eastAsia="宋体"/>
          <w:sz w:val="24"/>
          <w:szCs w:val="21"/>
          <w:highlight w:val="none"/>
          <w:lang w:val="en-US" w:eastAsia="zh-CN"/>
        </w:rPr>
        <w:t>响应</w:t>
      </w:r>
      <w:r>
        <w:rPr>
          <w:rFonts w:hint="eastAsia" w:ascii="宋体" w:hAnsi="宋体" w:eastAsia="宋体"/>
          <w:sz w:val="24"/>
          <w:szCs w:val="21"/>
          <w:highlight w:val="none"/>
        </w:rPr>
        <w:t>文件截止</w:t>
      </w:r>
      <w:r>
        <w:rPr>
          <w:rFonts w:hint="eastAsia" w:ascii="宋体" w:hAnsi="宋体" w:eastAsia="宋体"/>
          <w:sz w:val="24"/>
          <w:szCs w:val="21"/>
          <w:highlight w:val="none"/>
          <w:lang w:val="en-US" w:eastAsia="zh-CN"/>
        </w:rPr>
        <w:t>日</w:t>
      </w:r>
      <w:r>
        <w:rPr>
          <w:rFonts w:hint="eastAsia" w:ascii="宋体" w:hAnsi="宋体" w:eastAsia="宋体"/>
          <w:sz w:val="24"/>
          <w:szCs w:val="21"/>
          <w:highlight w:val="none"/>
        </w:rPr>
        <w:t>前6个月内任意1个月依法缴纳税收和社会保障资金的相关材料</w:t>
      </w:r>
      <w:r>
        <w:rPr>
          <w:rFonts w:hint="eastAsia" w:ascii="宋体" w:hAnsi="宋体" w:eastAsia="宋体"/>
          <w:sz w:val="24"/>
          <w:szCs w:val="21"/>
          <w:highlight w:val="none"/>
          <w:lang w:val="en-US" w:eastAsia="zh-CN"/>
        </w:rPr>
        <w:t>。</w:t>
      </w:r>
      <w:r>
        <w:rPr>
          <w:rFonts w:hint="eastAsia" w:ascii="宋体" w:hAnsi="宋体" w:eastAsia="宋体"/>
          <w:sz w:val="24"/>
          <w:szCs w:val="21"/>
          <w:highlight w:val="none"/>
        </w:rPr>
        <w:t>如依法免税或不需要缴纳社会保障资金的，提供相应证明材料</w:t>
      </w:r>
      <w:r>
        <w:rPr>
          <w:rFonts w:hint="eastAsia" w:ascii="宋体" w:hAnsi="宋体" w:eastAsia="宋体"/>
          <w:sz w:val="24"/>
          <w:szCs w:val="21"/>
          <w:highlight w:val="none"/>
          <w:lang w:eastAsia="zh-CN"/>
        </w:rPr>
        <w:t>，</w:t>
      </w:r>
    </w:p>
    <w:p w14:paraId="48D097FB">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具有良好的商业信誉和健全的财务会计制度：提供2024年度财务状况报告或2025年1月至今任意1个月的财务报表或银行出具的资信证明复印件。</w:t>
      </w:r>
    </w:p>
    <w:p w14:paraId="290C5030">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w:t>
      </w:r>
      <w:r>
        <w:rPr>
          <w:rFonts w:hint="eastAsia" w:ascii="宋体" w:hAnsi="宋体" w:eastAsia="宋体" w:cs="宋体"/>
          <w:i w:val="0"/>
          <w:iCs w:val="0"/>
          <w:caps w:val="0"/>
          <w:color w:val="222222"/>
          <w:spacing w:val="0"/>
          <w:sz w:val="24"/>
          <w:szCs w:val="24"/>
          <w:highlight w:val="none"/>
          <w:shd w:val="clear" w:fill="FFFFFF"/>
        </w:rPr>
        <w:t>参加采购活动前3年内，在经营活动中没有重大违法记录：参照</w:t>
      </w:r>
      <w:r>
        <w:rPr>
          <w:rFonts w:hint="eastAsia" w:ascii="宋体" w:hAnsi="宋体" w:eastAsia="宋体" w:cs="宋体"/>
          <w:i w:val="0"/>
          <w:iCs w:val="0"/>
          <w:caps w:val="0"/>
          <w:color w:val="222222"/>
          <w:spacing w:val="0"/>
          <w:sz w:val="24"/>
          <w:szCs w:val="24"/>
          <w:highlight w:val="none"/>
          <w:shd w:val="clear" w:fill="FFFFFF"/>
          <w:lang w:val="en-US" w:eastAsia="zh-CN"/>
        </w:rPr>
        <w:t>遴选</w:t>
      </w:r>
      <w:r>
        <w:rPr>
          <w:rFonts w:hint="eastAsia" w:ascii="宋体" w:hAnsi="宋体" w:eastAsia="宋体" w:cs="宋体"/>
          <w:i w:val="0"/>
          <w:iCs w:val="0"/>
          <w:caps w:val="0"/>
          <w:color w:val="222222"/>
          <w:spacing w:val="0"/>
          <w:sz w:val="24"/>
          <w:szCs w:val="24"/>
          <w:highlight w:val="none"/>
          <w:shd w:val="clear" w:fill="FFFFFF"/>
          <w:lang w:eastAsia="zh-CN"/>
        </w:rPr>
        <w:t>响应</w:t>
      </w:r>
      <w:r>
        <w:rPr>
          <w:rFonts w:hint="eastAsia" w:ascii="宋体" w:hAnsi="宋体" w:eastAsia="宋体" w:cs="宋体"/>
          <w:i w:val="0"/>
          <w:iCs w:val="0"/>
          <w:caps w:val="0"/>
          <w:color w:val="222222"/>
          <w:spacing w:val="0"/>
          <w:sz w:val="24"/>
          <w:szCs w:val="24"/>
          <w:highlight w:val="none"/>
          <w:shd w:val="clear" w:fill="FFFFFF"/>
          <w:lang w:val="en-US" w:eastAsia="zh-CN"/>
        </w:rPr>
        <w:t>承诺</w:t>
      </w:r>
      <w:r>
        <w:rPr>
          <w:rFonts w:hint="eastAsia" w:ascii="宋体" w:hAnsi="宋体" w:eastAsia="宋体" w:cs="宋体"/>
          <w:i w:val="0"/>
          <w:iCs w:val="0"/>
          <w:caps w:val="0"/>
          <w:color w:val="222222"/>
          <w:spacing w:val="0"/>
          <w:sz w:val="24"/>
          <w:szCs w:val="24"/>
          <w:highlight w:val="none"/>
          <w:shd w:val="clear" w:fill="FFFFFF"/>
        </w:rPr>
        <w:t>函格式内容。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eastAsia="宋体" w:cs="宋体"/>
          <w:i w:val="0"/>
          <w:iCs w:val="0"/>
          <w:caps w:val="0"/>
          <w:color w:val="222222"/>
          <w:spacing w:val="0"/>
          <w:sz w:val="24"/>
          <w:szCs w:val="24"/>
          <w:highlight w:val="none"/>
          <w:shd w:val="clear" w:fill="FFFFFF"/>
          <w:lang w:eastAsia="zh-CN"/>
        </w:rPr>
        <w:t>。</w:t>
      </w:r>
    </w:p>
    <w:p w14:paraId="3D5C41E9">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2.2特定资格要求：</w:t>
      </w:r>
    </w:p>
    <w:p w14:paraId="48DB5A93">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lang w:val="en-US" w:eastAsia="zh-CN"/>
        </w:rPr>
        <w:t>（1）供应商</w:t>
      </w:r>
      <w:r>
        <w:rPr>
          <w:rFonts w:hint="eastAsia" w:ascii="宋体" w:hAnsi="宋体" w:eastAsia="宋体" w:cs="宋体"/>
          <w:bCs/>
          <w:sz w:val="24"/>
          <w:szCs w:val="24"/>
          <w:highlight w:val="none"/>
        </w:rPr>
        <w:t>应在“国家企业信用信息公示系统”（http://www.gsxt.gov.cn）网站中查询企业信用信息，不得存在被吊销营业执照或被吊销（撤销、注销、收缴）相应资质（许可、认证）类证书，列入严重违法失信企业名单并在处罚期限内，或存在其它影响遴选响应及履约能力的情形；在“信用中国”（http://www.creditchina.gov.cn）网站中查询“失信被执行人”、“重大税收违法案件当事人名单”、“政府采购不良行为记录”，中国政府采购网（www.ccgp.gov.cn）网站中查询“政府采购严重违法失信行为记录名单”，不得存在被列为失信被执行人的情形，并将查询结果网页打印并加盖公章</w:t>
      </w:r>
      <w:r>
        <w:rPr>
          <w:rFonts w:hint="eastAsia" w:ascii="宋体" w:hAnsi="宋体" w:eastAsia="宋体" w:cs="宋体"/>
          <w:bCs/>
          <w:sz w:val="24"/>
          <w:szCs w:val="24"/>
          <w:highlight w:val="none"/>
          <w:lang w:eastAsia="zh-CN"/>
        </w:rPr>
        <w:t>。</w:t>
      </w:r>
    </w:p>
    <w:p w14:paraId="0D54BB8D">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w:t>
      </w:r>
      <w:r>
        <w:rPr>
          <w:rFonts w:hint="eastAsia" w:ascii="宋体" w:hAnsi="宋体" w:eastAsia="宋体" w:cs="宋体"/>
          <w:kern w:val="0"/>
          <w:sz w:val="24"/>
          <w:szCs w:val="24"/>
          <w:highlight w:val="none"/>
          <w:lang w:val="en-US" w:eastAsia="zh-CN"/>
        </w:rPr>
        <w:t>本项目专门面向中小企业遴选。</w:t>
      </w:r>
    </w:p>
    <w:p w14:paraId="77978E8A">
      <w:pPr>
        <w:pageBreakBefore w:val="0"/>
        <w:widowControl/>
        <w:kinsoku/>
        <w:wordWrap/>
        <w:overflowPunct/>
        <w:topLinePunct w:val="0"/>
        <w:autoSpaceDE/>
        <w:autoSpaceDN/>
        <w:bidi w:val="0"/>
        <w:snapToGrid/>
        <w:spacing w:line="360" w:lineRule="auto"/>
        <w:ind w:left="0"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2.3其他要求：</w:t>
      </w:r>
    </w:p>
    <w:p w14:paraId="11F4B73A">
      <w:pPr>
        <w:pageBreakBefore w:val="0"/>
        <w:widowControl/>
        <w:kinsoku/>
        <w:wordWrap/>
        <w:overflowPunct/>
        <w:topLinePunct w:val="0"/>
        <w:autoSpaceDE/>
        <w:autoSpaceDN/>
        <w:bidi w:val="0"/>
        <w:snapToGrid/>
        <w:spacing w:line="360" w:lineRule="auto"/>
        <w:ind w:left="0"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本次遴选不接受联合体遴选响应。</w:t>
      </w:r>
    </w:p>
    <w:p w14:paraId="0B0955EC">
      <w:pPr>
        <w:pageBreakBefore w:val="0"/>
        <w:widowControl/>
        <w:kinsoku/>
        <w:wordWrap/>
        <w:overflowPunct/>
        <w:topLinePunct w:val="0"/>
        <w:autoSpaceDE/>
        <w:autoSpaceDN/>
        <w:bidi w:val="0"/>
        <w:snapToGrid/>
        <w:spacing w:line="360" w:lineRule="auto"/>
        <w:ind w:left="0" w:firstLine="480" w:firstLineChars="200"/>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本次遴选未得到遴选人允许，不得转包、分包，否则取消</w:t>
      </w:r>
      <w:r>
        <w:rPr>
          <w:rFonts w:hint="eastAsia" w:ascii="宋体" w:hAnsi="宋体" w:eastAsia="宋体" w:cs="宋体"/>
          <w:kern w:val="0"/>
          <w:sz w:val="24"/>
          <w:szCs w:val="24"/>
          <w:highlight w:val="none"/>
        </w:rPr>
        <w:t>其响应、成交资格，并赔偿遴选人全部损失。</w:t>
      </w:r>
    </w:p>
    <w:p w14:paraId="1AFAFB95">
      <w:pPr>
        <w:pStyle w:val="6"/>
        <w:pageBreakBefore w:val="0"/>
        <w:kinsoku/>
        <w:wordWrap/>
        <w:overflowPunct/>
        <w:topLinePunct w:val="0"/>
        <w:autoSpaceDE/>
        <w:autoSpaceDN/>
        <w:bidi w:val="0"/>
        <w:snapToGrid/>
        <w:spacing w:before="0" w:beforeLines="0" w:after="0" w:afterLines="0" w:line="360" w:lineRule="auto"/>
        <w:ind w:left="0"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w:t>
      </w:r>
      <w:bookmarkEnd w:id="29"/>
      <w:bookmarkEnd w:id="30"/>
      <w:bookmarkEnd w:id="31"/>
      <w:bookmarkEnd w:id="32"/>
      <w:r>
        <w:rPr>
          <w:rFonts w:hint="eastAsia" w:ascii="宋体" w:hAnsi="宋体" w:eastAsia="宋体" w:cs="宋体"/>
          <w:b/>
          <w:bCs/>
          <w:sz w:val="24"/>
          <w:szCs w:val="24"/>
          <w:highlight w:val="none"/>
        </w:rPr>
        <w:t>遴选响应资料</w:t>
      </w:r>
    </w:p>
    <w:p w14:paraId="3E3BA526">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w:t>
      </w:r>
      <w:r>
        <w:rPr>
          <w:rFonts w:hint="eastAsia" w:ascii="宋体" w:hAnsi="宋体" w:eastAsia="宋体" w:cs="宋体"/>
          <w:sz w:val="24"/>
          <w:szCs w:val="24"/>
          <w:highlight w:val="none"/>
          <w:lang w:val="en-US" w:eastAsia="zh-CN"/>
        </w:rPr>
        <w:t>附件1</w:t>
      </w:r>
      <w:r>
        <w:rPr>
          <w:rFonts w:hint="eastAsia" w:ascii="宋体" w:hAnsi="宋体" w:eastAsia="宋体" w:cs="宋体"/>
          <w:sz w:val="24"/>
          <w:szCs w:val="24"/>
          <w:highlight w:val="none"/>
        </w:rPr>
        <w:t>开平市中心医院</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项目报名表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一式两份</w:t>
      </w:r>
      <w:r>
        <w:rPr>
          <w:rFonts w:hint="eastAsia" w:ascii="宋体" w:hAnsi="宋体" w:eastAsia="宋体" w:cs="宋体"/>
          <w:sz w:val="24"/>
          <w:szCs w:val="24"/>
          <w:highlight w:val="none"/>
          <w:lang w:eastAsia="zh-CN"/>
        </w:rPr>
        <w:t>），</w:t>
      </w:r>
      <w:r>
        <w:rPr>
          <w:rFonts w:hint="eastAsia" w:ascii="宋体" w:hAnsi="宋体" w:eastAsia="宋体" w:cs="宋体"/>
          <w:b w:val="0"/>
          <w:bCs w:val="0"/>
          <w:sz w:val="24"/>
          <w:szCs w:val="24"/>
          <w:highlight w:val="none"/>
        </w:rPr>
        <w:t>报名时提交采购</w:t>
      </w:r>
      <w:r>
        <w:rPr>
          <w:rFonts w:hint="eastAsia" w:ascii="宋体" w:hAnsi="宋体" w:eastAsia="宋体" w:cs="宋体"/>
          <w:b w:val="0"/>
          <w:bCs w:val="0"/>
          <w:sz w:val="24"/>
          <w:szCs w:val="24"/>
          <w:highlight w:val="none"/>
          <w:lang w:val="en-US" w:eastAsia="zh-CN"/>
        </w:rPr>
        <w:t>人</w:t>
      </w:r>
      <w:r>
        <w:rPr>
          <w:rFonts w:hint="eastAsia" w:ascii="宋体" w:hAnsi="宋体" w:eastAsia="宋体" w:cs="宋体"/>
          <w:b w:val="0"/>
          <w:bCs w:val="0"/>
          <w:sz w:val="24"/>
          <w:szCs w:val="24"/>
          <w:highlight w:val="none"/>
        </w:rPr>
        <w:t>审核</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无需与遴选文件一齐密封</w:t>
      </w:r>
      <w:r>
        <w:rPr>
          <w:rFonts w:hint="eastAsia" w:ascii="宋体" w:hAnsi="宋体" w:eastAsia="宋体" w:cs="宋体"/>
          <w:b w:val="0"/>
          <w:bCs w:val="0"/>
          <w:sz w:val="24"/>
          <w:szCs w:val="24"/>
          <w:highlight w:val="none"/>
        </w:rPr>
        <w:t>；</w:t>
      </w:r>
    </w:p>
    <w:p w14:paraId="575E6938">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3.2遴选响应文件（</w:t>
      </w:r>
      <w:r>
        <w:rPr>
          <w:rFonts w:hint="eastAsia" w:ascii="宋体" w:hAnsi="宋体" w:eastAsia="宋体" w:cs="宋体"/>
          <w:b/>
          <w:sz w:val="24"/>
          <w:szCs w:val="24"/>
          <w:highlight w:val="none"/>
        </w:rPr>
        <w:t>一正</w:t>
      </w:r>
      <w:r>
        <w:rPr>
          <w:rFonts w:hint="eastAsia" w:ascii="宋体" w:hAnsi="宋体" w:eastAsia="宋体" w:cs="宋体"/>
          <w:b/>
          <w:sz w:val="24"/>
          <w:szCs w:val="24"/>
          <w:highlight w:val="none"/>
          <w:lang w:val="en-US" w:eastAsia="zh-CN"/>
        </w:rPr>
        <w:t>两</w:t>
      </w:r>
      <w:r>
        <w:rPr>
          <w:rFonts w:hint="eastAsia" w:ascii="宋体" w:hAnsi="宋体" w:eastAsia="宋体" w:cs="宋体"/>
          <w:b/>
          <w:sz w:val="24"/>
          <w:szCs w:val="24"/>
          <w:highlight w:val="none"/>
        </w:rPr>
        <w:t>副</w:t>
      </w:r>
      <w:r>
        <w:rPr>
          <w:rFonts w:hint="eastAsia" w:ascii="宋体" w:hAnsi="宋体" w:eastAsia="宋体" w:cs="宋体"/>
          <w:sz w:val="24"/>
          <w:szCs w:val="24"/>
          <w:highlight w:val="none"/>
        </w:rPr>
        <w:t>）</w:t>
      </w:r>
      <w:r>
        <w:rPr>
          <w:rFonts w:hint="eastAsia" w:ascii="宋体" w:hAnsi="宋体" w:eastAsia="宋体" w:cs="宋体"/>
          <w:b/>
          <w:sz w:val="24"/>
          <w:szCs w:val="24"/>
          <w:highlight w:val="none"/>
        </w:rPr>
        <w:t>,</w:t>
      </w:r>
      <w:r>
        <w:rPr>
          <w:rFonts w:hint="eastAsia" w:ascii="宋体" w:hAnsi="宋体" w:eastAsia="宋体" w:cs="宋体"/>
          <w:sz w:val="24"/>
          <w:szCs w:val="24"/>
          <w:highlight w:val="none"/>
        </w:rPr>
        <w:t xml:space="preserve"> 正本单独密封，所有副本可一起密封，所有密封封皮上注明产品名称及</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名称，并加盖骑缝章</w:t>
      </w:r>
      <w:r>
        <w:rPr>
          <w:rFonts w:hint="eastAsia" w:ascii="宋体" w:hAnsi="宋体" w:eastAsia="宋体" w:cs="宋体"/>
          <w:sz w:val="24"/>
          <w:szCs w:val="24"/>
          <w:highlight w:val="none"/>
          <w:lang w:eastAsia="zh-CN"/>
        </w:rPr>
        <w:t>。</w:t>
      </w:r>
    </w:p>
    <w:p w14:paraId="39EAA6E0">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 xml:space="preserve"> 以上资料准备完整的供应商方可参加，遴选响应文件和报名表获取方式：本院网站下载。</w:t>
      </w:r>
    </w:p>
    <w:p w14:paraId="4EF3259E">
      <w:pPr>
        <w:pStyle w:val="2"/>
        <w:pageBreakBefore w:val="0"/>
        <w:kinsoku/>
        <w:wordWrap/>
        <w:overflowPunct/>
        <w:topLinePunct w:val="0"/>
        <w:autoSpaceDE/>
        <w:autoSpaceDN/>
        <w:bidi w:val="0"/>
        <w:snapToGrid/>
        <w:spacing w:after="0" w:afterLines="0" w:line="360" w:lineRule="auto"/>
        <w:ind w:left="0"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4.资料</w:t>
      </w:r>
      <w:r>
        <w:rPr>
          <w:rFonts w:hint="eastAsia" w:ascii="宋体" w:hAnsi="宋体" w:eastAsia="宋体" w:cs="宋体"/>
          <w:b/>
          <w:sz w:val="24"/>
          <w:szCs w:val="24"/>
          <w:highlight w:val="none"/>
          <w:lang w:val="en-US" w:eastAsia="zh-CN"/>
        </w:rPr>
        <w:t>递交</w:t>
      </w:r>
      <w:r>
        <w:rPr>
          <w:rFonts w:hint="eastAsia" w:ascii="宋体" w:hAnsi="宋体" w:eastAsia="宋体" w:cs="宋体"/>
          <w:b/>
          <w:sz w:val="24"/>
          <w:szCs w:val="24"/>
          <w:highlight w:val="none"/>
        </w:rPr>
        <w:t>方式</w:t>
      </w:r>
      <w:r>
        <w:rPr>
          <w:rFonts w:hint="eastAsia" w:ascii="宋体" w:hAnsi="宋体" w:eastAsia="宋体" w:cs="宋体"/>
          <w:b/>
          <w:sz w:val="24"/>
          <w:szCs w:val="24"/>
          <w:highlight w:val="none"/>
          <w:lang w:eastAsia="zh-CN"/>
        </w:rPr>
        <w:t>、</w:t>
      </w:r>
      <w:r>
        <w:rPr>
          <w:rFonts w:hint="eastAsia" w:ascii="宋体" w:hAnsi="宋体" w:eastAsia="宋体" w:cs="宋体"/>
          <w:b/>
          <w:bCs/>
          <w:sz w:val="24"/>
          <w:szCs w:val="24"/>
          <w:highlight w:val="none"/>
        </w:rPr>
        <w:t>时间、地点、</w:t>
      </w:r>
      <w:r>
        <w:rPr>
          <w:rFonts w:hint="eastAsia" w:ascii="宋体" w:hAnsi="宋体" w:eastAsia="宋体" w:cs="宋体"/>
          <w:b/>
          <w:sz w:val="24"/>
          <w:szCs w:val="24"/>
          <w:highlight w:val="none"/>
        </w:rPr>
        <w:t>报价</w:t>
      </w:r>
      <w:r>
        <w:rPr>
          <w:rFonts w:hint="eastAsia" w:ascii="宋体" w:hAnsi="宋体" w:eastAsia="宋体" w:cs="宋体"/>
          <w:b/>
          <w:bCs/>
          <w:sz w:val="24"/>
          <w:szCs w:val="24"/>
          <w:highlight w:val="none"/>
        </w:rPr>
        <w:t>及</w:t>
      </w:r>
      <w:r>
        <w:rPr>
          <w:rFonts w:hint="eastAsia" w:ascii="宋体" w:hAnsi="宋体" w:eastAsia="宋体" w:cs="宋体"/>
          <w:b/>
          <w:color w:val="000000"/>
          <w:sz w:val="24"/>
          <w:szCs w:val="24"/>
          <w:highlight w:val="none"/>
        </w:rPr>
        <w:t>评审办法</w:t>
      </w:r>
      <w:r>
        <w:rPr>
          <w:rFonts w:hint="eastAsia" w:ascii="宋体" w:hAnsi="宋体" w:eastAsia="宋体" w:cs="宋体"/>
          <w:b/>
          <w:bCs/>
          <w:sz w:val="24"/>
          <w:szCs w:val="24"/>
          <w:highlight w:val="none"/>
        </w:rPr>
        <w:t>：</w:t>
      </w:r>
    </w:p>
    <w:p w14:paraId="78F1F346">
      <w:pPr>
        <w:pStyle w:val="2"/>
        <w:pageBreakBefore w:val="0"/>
        <w:kinsoku/>
        <w:wordWrap/>
        <w:overflowPunct/>
        <w:topLinePunct w:val="0"/>
        <w:autoSpaceDE/>
        <w:autoSpaceDN/>
        <w:bidi w:val="0"/>
        <w:snapToGrid/>
        <w:spacing w:after="0" w:afterLines="0" w:line="360" w:lineRule="auto"/>
        <w:ind w:left="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4.1</w:t>
      </w:r>
      <w:r>
        <w:rPr>
          <w:rFonts w:hint="eastAsia" w:ascii="宋体" w:hAnsi="宋体" w:eastAsia="宋体" w:cs="宋体"/>
          <w:sz w:val="24"/>
          <w:szCs w:val="24"/>
          <w:highlight w:val="none"/>
          <w:lang w:val="en-US" w:eastAsia="zh-CN"/>
        </w:rPr>
        <w:t>响应文件递交方式：现场提交或邮寄（遴选文件与报名资料一齐提交即可）</w:t>
      </w:r>
    </w:p>
    <w:p w14:paraId="5C423B16">
      <w:pPr>
        <w:pStyle w:val="2"/>
        <w:pageBreakBefore w:val="0"/>
        <w:kinsoku/>
        <w:wordWrap/>
        <w:overflowPunct/>
        <w:topLinePunct w:val="0"/>
        <w:autoSpaceDE/>
        <w:autoSpaceDN/>
        <w:bidi w:val="0"/>
        <w:snapToGrid/>
        <w:spacing w:after="0" w:afterLines="0"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4.2</w:t>
      </w:r>
      <w:r>
        <w:rPr>
          <w:rFonts w:hint="eastAsia" w:ascii="宋体" w:hAnsi="宋体" w:eastAsia="宋体" w:cs="宋体"/>
          <w:sz w:val="24"/>
          <w:szCs w:val="24"/>
          <w:highlight w:val="none"/>
        </w:rPr>
        <w:t>时间:20</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日-202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日</w:t>
      </w:r>
    </w:p>
    <w:p w14:paraId="2E6E8325">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（工作日上午8：30——11:30，下午2:00——5:30）</w:t>
      </w:r>
    </w:p>
    <w:p w14:paraId="4D39F2EE">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地点：广东省开平市长沙街道办事处三江A7区，开平市中心医院张襯</w:t>
      </w:r>
      <w:r>
        <w:rPr>
          <w:rFonts w:hint="eastAsia" w:ascii="宋体" w:hAnsi="宋体" w:eastAsia="宋体" w:cs="宋体"/>
          <w:sz w:val="24"/>
          <w:szCs w:val="24"/>
          <w:highlight w:val="none"/>
          <w:lang w:val="en-US" w:eastAsia="zh-CN"/>
        </w:rPr>
        <w:t>大</w:t>
      </w:r>
      <w:r>
        <w:rPr>
          <w:rFonts w:hint="eastAsia" w:ascii="宋体" w:hAnsi="宋体" w:eastAsia="宋体" w:cs="宋体"/>
          <w:sz w:val="24"/>
          <w:szCs w:val="24"/>
          <w:highlight w:val="none"/>
        </w:rPr>
        <w:t>楼</w:t>
      </w:r>
      <w:r>
        <w:rPr>
          <w:rFonts w:hint="eastAsia" w:ascii="宋体" w:hAnsi="宋体" w:eastAsia="宋体" w:cs="宋体"/>
          <w:sz w:val="24"/>
          <w:szCs w:val="24"/>
          <w:highlight w:val="none"/>
          <w:lang w:val="en-US" w:eastAsia="zh-CN"/>
        </w:rPr>
        <w:t>六楼</w:t>
      </w:r>
      <w:r>
        <w:rPr>
          <w:rFonts w:hint="eastAsia" w:ascii="宋体" w:hAnsi="宋体" w:eastAsia="宋体" w:cs="宋体"/>
          <w:sz w:val="24"/>
          <w:szCs w:val="24"/>
          <w:highlight w:val="none"/>
        </w:rPr>
        <w:t>后勤股</w:t>
      </w:r>
    </w:p>
    <w:p w14:paraId="0A47BD8A">
      <w:pPr>
        <w:pStyle w:val="2"/>
        <w:pageBreakBefore w:val="0"/>
        <w:kinsoku/>
        <w:wordWrap/>
        <w:overflowPunct/>
        <w:topLinePunct w:val="0"/>
        <w:autoSpaceDE/>
        <w:autoSpaceDN/>
        <w:bidi w:val="0"/>
        <w:snapToGrid/>
        <w:spacing w:after="0" w:afterLines="0"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（邮寄收件人：</w:t>
      </w:r>
      <w:r>
        <w:rPr>
          <w:rFonts w:hint="eastAsia" w:ascii="宋体" w:hAnsi="宋体" w:eastAsia="宋体" w:cs="宋体"/>
          <w:color w:val="000000"/>
          <w:sz w:val="24"/>
          <w:szCs w:val="24"/>
          <w:highlight w:val="none"/>
        </w:rPr>
        <w:t>龚小姐，电话：</w:t>
      </w:r>
      <w:r>
        <w:rPr>
          <w:rFonts w:hint="eastAsia" w:ascii="宋体" w:hAnsi="宋体" w:eastAsia="宋体" w:cs="宋体"/>
          <w:color w:val="000000"/>
          <w:sz w:val="24"/>
          <w:szCs w:val="24"/>
          <w:highlight w:val="none"/>
          <w:lang w:val="en-US" w:eastAsia="zh-CN"/>
        </w:rPr>
        <w:t>0750-2371848</w:t>
      </w:r>
      <w:r>
        <w:rPr>
          <w:rFonts w:hint="eastAsia" w:ascii="宋体" w:hAnsi="宋体" w:eastAsia="宋体" w:cs="宋体"/>
          <w:sz w:val="24"/>
          <w:szCs w:val="24"/>
          <w:highlight w:val="none"/>
        </w:rPr>
        <w:t>）</w:t>
      </w:r>
    </w:p>
    <w:p w14:paraId="40D2467B">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4</w:t>
      </w:r>
      <w:r>
        <w:rPr>
          <w:rFonts w:hint="eastAsia" w:ascii="宋体" w:hAnsi="宋体" w:eastAsia="宋体" w:cs="宋体"/>
          <w:color w:val="000000"/>
          <w:sz w:val="24"/>
          <w:szCs w:val="24"/>
          <w:highlight w:val="none"/>
        </w:rPr>
        <w:t>评审办法：</w:t>
      </w:r>
      <w:r>
        <w:rPr>
          <w:rFonts w:hint="eastAsia" w:ascii="宋体" w:hAnsi="宋体" w:eastAsia="宋体" w:cs="宋体"/>
          <w:color w:val="000000"/>
          <w:sz w:val="24"/>
          <w:szCs w:val="24"/>
          <w:highlight w:val="none"/>
          <w:lang w:eastAsia="zh-CN"/>
        </w:rPr>
        <w:t>最低价中标法</w:t>
      </w:r>
    </w:p>
    <w:p w14:paraId="782740E9">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遴选结果：</w:t>
      </w:r>
      <w:r>
        <w:rPr>
          <w:rFonts w:hint="eastAsia" w:ascii="宋体" w:hAnsi="宋体" w:eastAsia="宋体" w:cs="宋体"/>
          <w:sz w:val="24"/>
          <w:szCs w:val="24"/>
          <w:highlight w:val="none"/>
        </w:rPr>
        <w:t>开平市中心医院官网公示</w:t>
      </w:r>
    </w:p>
    <w:p w14:paraId="104B9E65">
      <w:pPr>
        <w:pStyle w:val="227"/>
        <w:pageBreakBefore w:val="0"/>
        <w:kinsoku/>
        <w:wordWrap/>
        <w:overflowPunct/>
        <w:topLinePunct w:val="0"/>
        <w:autoSpaceDE/>
        <w:autoSpaceDN/>
        <w:bidi w:val="0"/>
        <w:snapToGrid/>
        <w:spacing w:line="360" w:lineRule="auto"/>
        <w:ind w:left="0"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5.本次遴选相关事宜联系：</w:t>
      </w:r>
    </w:p>
    <w:p w14:paraId="4E4504B6">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龚小姐，电话：</w:t>
      </w:r>
      <w:r>
        <w:rPr>
          <w:rFonts w:hint="eastAsia" w:ascii="宋体" w:hAnsi="宋体" w:eastAsia="宋体" w:cs="宋体"/>
          <w:color w:val="000000"/>
          <w:sz w:val="24"/>
          <w:szCs w:val="24"/>
          <w:highlight w:val="none"/>
          <w:lang w:val="en-US" w:eastAsia="zh-CN"/>
        </w:rPr>
        <w:t>0750-2371848</w:t>
      </w:r>
    </w:p>
    <w:p w14:paraId="0641BC26">
      <w:pPr>
        <w:pStyle w:val="6"/>
        <w:pageBreakBefore w:val="0"/>
        <w:numPr>
          <w:ilvl w:val="0"/>
          <w:numId w:val="0"/>
        </w:numPr>
        <w:kinsoku/>
        <w:wordWrap/>
        <w:overflowPunct/>
        <w:topLinePunct w:val="0"/>
        <w:autoSpaceDE/>
        <w:autoSpaceDN/>
        <w:bidi w:val="0"/>
        <w:snapToGrid/>
        <w:spacing w:before="0" w:beforeLines="0" w:after="0" w:afterLines="0" w:line="360" w:lineRule="auto"/>
        <w:ind w:left="0"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6.报名须知</w:t>
      </w:r>
    </w:p>
    <w:p w14:paraId="4B8CFBC9">
      <w:pPr>
        <w:pStyle w:val="227"/>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6.1 本次遴选项目接受现场资料递交或邮寄。</w:t>
      </w:r>
    </w:p>
    <w:p w14:paraId="5F4A721A">
      <w:pPr>
        <w:pStyle w:val="227"/>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6.2 违反《遴选响应承诺函》内容的单位及授权人视为失信人，失信人将列为黑名单，取消其响应开平市中心医院所有项目的资格。</w:t>
      </w:r>
    </w:p>
    <w:p w14:paraId="716B737F">
      <w:pPr>
        <w:pStyle w:val="227"/>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6.3其他视为失信人的情况：</w:t>
      </w:r>
    </w:p>
    <w:p w14:paraId="2514A20E">
      <w:pPr>
        <w:pStyle w:val="227"/>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（1）无故不参与响应或未按时响应的三次及以上；</w:t>
      </w:r>
    </w:p>
    <w:p w14:paraId="3CC0E3DE">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（2）撤销遴选响应未在遴选响应截止前24小时内以书面形式通知遴选人三次及以上的；</w:t>
      </w:r>
    </w:p>
    <w:p w14:paraId="24CCC205">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（3）遴选响应文件出现严重错误给遴选工作带来影响三次及以上的。</w:t>
      </w:r>
    </w:p>
    <w:p w14:paraId="3D7CBDCD">
      <w:pPr>
        <w:pStyle w:val="227"/>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6.4 报名不足3家供应商时，将依据《开平市中心医院采购管理办法》调整采购方式。</w:t>
      </w:r>
    </w:p>
    <w:p w14:paraId="735F858B">
      <w:pPr>
        <w:pageBreakBefore w:val="0"/>
        <w:kinsoku/>
        <w:wordWrap/>
        <w:overflowPunct/>
        <w:topLinePunct w:val="0"/>
        <w:autoSpaceDE/>
        <w:autoSpaceDN/>
        <w:bidi w:val="0"/>
        <w:snapToGrid/>
        <w:spacing w:line="360" w:lineRule="auto"/>
        <w:ind w:left="0"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 xml:space="preserve">7.注意事项      </w:t>
      </w:r>
      <w:r>
        <w:rPr>
          <w:rFonts w:hint="eastAsia" w:ascii="宋体" w:hAnsi="宋体" w:eastAsia="宋体" w:cs="宋体"/>
          <w:sz w:val="24"/>
          <w:szCs w:val="24"/>
          <w:highlight w:val="none"/>
        </w:rPr>
        <w:t xml:space="preserve">            </w:t>
      </w:r>
      <w:r>
        <w:rPr>
          <w:rFonts w:hint="eastAsia" w:ascii="宋体" w:hAnsi="宋体" w:eastAsia="宋体" w:cs="宋体"/>
          <w:b/>
          <w:bCs/>
          <w:sz w:val="24"/>
          <w:szCs w:val="24"/>
          <w:highlight w:val="none"/>
        </w:rPr>
        <w:t xml:space="preserve">     </w:t>
      </w:r>
      <w:r>
        <w:rPr>
          <w:rFonts w:hint="eastAsia" w:ascii="宋体" w:hAnsi="宋体" w:eastAsia="宋体" w:cs="宋体"/>
          <w:sz w:val="24"/>
          <w:szCs w:val="24"/>
          <w:highlight w:val="none"/>
        </w:rPr>
        <w:t xml:space="preserve">            </w:t>
      </w:r>
    </w:p>
    <w:p w14:paraId="0CC10169">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7.1超过</w:t>
      </w:r>
      <w:r>
        <w:rPr>
          <w:rFonts w:hint="eastAsia" w:ascii="宋体" w:hAnsi="宋体" w:eastAsia="宋体" w:cs="宋体"/>
          <w:bCs/>
          <w:sz w:val="24"/>
          <w:szCs w:val="24"/>
          <w:highlight w:val="none"/>
          <w:lang w:val="en-US" w:eastAsia="zh-CN"/>
        </w:rPr>
        <w:t>最高限价，</w:t>
      </w:r>
      <w:r>
        <w:rPr>
          <w:rFonts w:hint="eastAsia" w:ascii="宋体" w:hAnsi="宋体" w:eastAsia="宋体" w:cs="宋体"/>
          <w:bCs/>
          <w:sz w:val="24"/>
          <w:szCs w:val="24"/>
          <w:highlight w:val="none"/>
        </w:rPr>
        <w:t>按响应无效处理。</w:t>
      </w:r>
    </w:p>
    <w:p w14:paraId="55E1EB2E">
      <w:pPr>
        <w:pageBreakBefore w:val="0"/>
        <w:kinsoku/>
        <w:wordWrap/>
        <w:overflowPunct/>
        <w:topLinePunct w:val="0"/>
        <w:autoSpaceDE/>
        <w:autoSpaceDN/>
        <w:bidi w:val="0"/>
        <w:snapToGrid/>
        <w:spacing w:line="360" w:lineRule="auto"/>
        <w:ind w:left="0"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8</w:t>
      </w:r>
      <w:r>
        <w:rPr>
          <w:rFonts w:hint="eastAsia" w:ascii="宋体" w:hAnsi="宋体" w:eastAsia="宋体" w:cs="宋体"/>
          <w:b/>
          <w:bCs/>
          <w:sz w:val="24"/>
          <w:szCs w:val="24"/>
          <w:highlight w:val="none"/>
        </w:rPr>
        <w:t>.</w:t>
      </w:r>
      <w:r>
        <w:rPr>
          <w:rFonts w:hint="eastAsia" w:ascii="宋体" w:hAnsi="宋体" w:eastAsia="宋体" w:cs="宋体"/>
          <w:b/>
          <w:sz w:val="24"/>
          <w:szCs w:val="24"/>
          <w:highlight w:val="none"/>
        </w:rPr>
        <w:t>遴选响应文件的制作、装订、密封、标记</w:t>
      </w:r>
    </w:p>
    <w:p w14:paraId="44D75F0B">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color w:val="FF0000"/>
          <w:sz w:val="24"/>
          <w:szCs w:val="24"/>
          <w:highlight w:val="none"/>
        </w:rPr>
      </w:pPr>
      <w:r>
        <w:rPr>
          <w:rFonts w:hint="eastAsia" w:ascii="宋体" w:hAnsi="宋体" w:eastAsia="宋体" w:cs="宋体"/>
          <w:sz w:val="24"/>
          <w:szCs w:val="24"/>
          <w:highlight w:val="none"/>
        </w:rPr>
        <w:t>8.1 遴选响应文件必须左侧胶装，不接受其他装订方式</w:t>
      </w:r>
      <w:r>
        <w:rPr>
          <w:rFonts w:hint="eastAsia" w:ascii="宋体" w:hAnsi="宋体" w:eastAsia="宋体" w:cs="宋体"/>
          <w:color w:val="000000"/>
          <w:sz w:val="24"/>
          <w:szCs w:val="24"/>
          <w:highlight w:val="none"/>
        </w:rPr>
        <w:t>。</w:t>
      </w:r>
    </w:p>
    <w:p w14:paraId="2DAA4B51">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8.2 遴选响应文件份数：</w:t>
      </w:r>
      <w:r>
        <w:rPr>
          <w:rFonts w:hint="eastAsia" w:ascii="宋体" w:hAnsi="宋体" w:eastAsia="宋体" w:cs="宋体"/>
          <w:b/>
          <w:sz w:val="24"/>
          <w:szCs w:val="24"/>
          <w:highlight w:val="none"/>
        </w:rPr>
        <w:t>一正</w:t>
      </w:r>
      <w:r>
        <w:rPr>
          <w:rFonts w:hint="eastAsia" w:ascii="宋体" w:hAnsi="宋体" w:eastAsia="宋体" w:cs="宋体"/>
          <w:b/>
          <w:sz w:val="24"/>
          <w:szCs w:val="24"/>
          <w:highlight w:val="none"/>
          <w:lang w:val="en-US" w:eastAsia="zh-CN"/>
        </w:rPr>
        <w:t>两</w:t>
      </w:r>
      <w:r>
        <w:rPr>
          <w:rFonts w:hint="eastAsia" w:ascii="宋体" w:hAnsi="宋体" w:eastAsia="宋体" w:cs="宋体"/>
          <w:b/>
          <w:sz w:val="24"/>
          <w:szCs w:val="24"/>
          <w:highlight w:val="none"/>
        </w:rPr>
        <w:t>副</w:t>
      </w:r>
      <w:r>
        <w:rPr>
          <w:rFonts w:hint="eastAsia" w:ascii="宋体" w:hAnsi="宋体" w:eastAsia="宋体" w:cs="宋体"/>
          <w:sz w:val="24"/>
          <w:szCs w:val="24"/>
          <w:highlight w:val="none"/>
        </w:rPr>
        <w:t>，并在遴选响应文件右上角处明显标注“正本或副本”字样。</w:t>
      </w:r>
    </w:p>
    <w:p w14:paraId="5F4C049D">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8.3将遴选响应文件中所需的文件按照顺序进行装订，副本可为正本复印件。</w:t>
      </w:r>
    </w:p>
    <w:p w14:paraId="051CCC3A">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8.4 正本单独密封，所有副本可一起密封，所有密封封皮上注明产品名称及</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名称，并加盖骑缝章。</w:t>
      </w:r>
    </w:p>
    <w:p w14:paraId="0F78571D">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8.5 以上所需文件正本均需逐页加盖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公章（红章），副本可为正本复印件,封面须盖公章。</w:t>
      </w:r>
    </w:p>
    <w:p w14:paraId="53B29074">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8.6 所有密封口处均应用封条密封并加盖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公章和法定代表人或其委托代理人印章或签字。</w:t>
      </w:r>
    </w:p>
    <w:p w14:paraId="11F95ED8">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备注：遴选响应文件中的格式文件，请</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必须按照遴选文件提供的格式文件进行提供，不得进行修改、涂抹、删除等，否则将按响应无效处理。</w:t>
      </w:r>
    </w:p>
    <w:p w14:paraId="789DBCD8">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rPr>
      </w:pPr>
    </w:p>
    <w:p w14:paraId="53DDA10A">
      <w:pPr>
        <w:spacing w:line="360" w:lineRule="auto"/>
        <w:ind w:firstLine="480" w:firstLineChars="200"/>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开平市中心医院</w:t>
      </w:r>
    </w:p>
    <w:p w14:paraId="11A6FAE9">
      <w:pPr>
        <w:pageBreakBefore w:val="0"/>
        <w:kinsoku/>
        <w:wordWrap/>
        <w:overflowPunct/>
        <w:topLinePunct w:val="0"/>
        <w:autoSpaceDE/>
        <w:autoSpaceDN/>
        <w:bidi w:val="0"/>
        <w:snapToGrid/>
        <w:spacing w:line="360" w:lineRule="auto"/>
        <w:ind w:left="0"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日</w:t>
      </w:r>
    </w:p>
    <w:p w14:paraId="386DC8ED">
      <w:pPr>
        <w:spacing w:line="360" w:lineRule="auto"/>
        <w:ind w:left="160"/>
        <w:jc w:val="right"/>
        <w:rPr>
          <w:highlight w:val="none"/>
        </w:rPr>
      </w:pPr>
      <w:r>
        <w:rPr>
          <w:highlight w:val="none"/>
        </w:rPr>
        <w:br w:type="page"/>
      </w:r>
      <w:bookmarkStart w:id="33" w:name="_Toc169861803"/>
    </w:p>
    <w:p w14:paraId="4E417AAA">
      <w:pPr>
        <w:spacing w:line="360" w:lineRule="auto"/>
        <w:ind w:left="160"/>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第二部分</w:t>
      </w:r>
      <w:bookmarkEnd w:id="16"/>
      <w:bookmarkEnd w:id="17"/>
      <w:bookmarkEnd w:id="18"/>
      <w:bookmarkEnd w:id="19"/>
      <w:bookmarkEnd w:id="20"/>
      <w:r>
        <w:rPr>
          <w:rFonts w:hint="eastAsia" w:ascii="宋体" w:hAnsi="宋体" w:eastAsia="宋体" w:cs="宋体"/>
          <w:b/>
          <w:bCs/>
          <w:sz w:val="36"/>
          <w:szCs w:val="36"/>
          <w:highlight w:val="none"/>
        </w:rPr>
        <w:t xml:space="preserve">  </w:t>
      </w:r>
      <w:bookmarkEnd w:id="21"/>
      <w:bookmarkEnd w:id="22"/>
      <w:bookmarkEnd w:id="23"/>
      <w:bookmarkEnd w:id="24"/>
      <w:r>
        <w:rPr>
          <w:rFonts w:hint="eastAsia" w:ascii="宋体" w:hAnsi="宋体" w:eastAsia="宋体" w:cs="宋体"/>
          <w:b/>
          <w:bCs/>
          <w:sz w:val="36"/>
          <w:szCs w:val="36"/>
          <w:highlight w:val="none"/>
        </w:rPr>
        <w:t>采购需求</w:t>
      </w:r>
      <w:bookmarkEnd w:id="33"/>
      <w:bookmarkStart w:id="34" w:name="_Toc468606011"/>
      <w:bookmarkStart w:id="35" w:name="_Toc479991564"/>
      <w:bookmarkStart w:id="36" w:name="_Toc480171861"/>
      <w:bookmarkStart w:id="37" w:name="_Toc480020239"/>
      <w:bookmarkStart w:id="38" w:name="_Toc480021035"/>
      <w:bookmarkStart w:id="39" w:name="_Toc480010690"/>
      <w:bookmarkStart w:id="40" w:name="_Toc468157518"/>
    </w:p>
    <w:p w14:paraId="6B05F7F5">
      <w:pPr>
        <w:pStyle w:val="23"/>
        <w:spacing w:line="360" w:lineRule="auto"/>
        <w:ind w:firstLine="482"/>
        <w:outlineLvl w:val="1"/>
        <w:rPr>
          <w:rFonts w:hAnsi="宋体"/>
          <w:b/>
          <w:sz w:val="24"/>
          <w:szCs w:val="24"/>
          <w:highlight w:val="none"/>
        </w:rPr>
      </w:pPr>
      <w:bookmarkStart w:id="41" w:name="_Toc169861804"/>
      <w:r>
        <w:rPr>
          <w:rFonts w:hAnsi="宋体"/>
          <w:b/>
          <w:sz w:val="24"/>
          <w:szCs w:val="24"/>
          <w:highlight w:val="none"/>
        </w:rPr>
        <w:t>一、</w:t>
      </w:r>
      <w:r>
        <w:rPr>
          <w:rFonts w:hint="eastAsia" w:hAnsi="宋体"/>
          <w:b/>
          <w:sz w:val="24"/>
          <w:szCs w:val="24"/>
          <w:highlight w:val="none"/>
        </w:rPr>
        <w:t>项目</w:t>
      </w:r>
      <w:r>
        <w:rPr>
          <w:rFonts w:hAnsi="宋体"/>
          <w:b/>
          <w:sz w:val="24"/>
          <w:szCs w:val="24"/>
          <w:highlight w:val="none"/>
        </w:rPr>
        <w:t>概况</w:t>
      </w:r>
      <w:bookmarkEnd w:id="41"/>
    </w:p>
    <w:p w14:paraId="3E0FA5F0">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highlight w:val="none"/>
          <w:lang w:eastAsia="zh-CN"/>
        </w:rPr>
      </w:pPr>
      <w:bookmarkStart w:id="42" w:name="_Toc169861805"/>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项目名称：</w:t>
      </w:r>
      <w:r>
        <w:rPr>
          <w:rFonts w:hint="eastAsia" w:ascii="宋体" w:hAnsi="宋体" w:eastAsia="宋体" w:cs="宋体"/>
          <w:bCs/>
          <w:sz w:val="24"/>
          <w:szCs w:val="24"/>
          <w:highlight w:val="none"/>
          <w:lang w:eastAsia="zh-CN"/>
        </w:rPr>
        <w:t>开平市中心医院药剂大楼容灾机房电力输入电缆采购项目</w:t>
      </w:r>
    </w:p>
    <w:p w14:paraId="692183C2">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采购总预算：</w:t>
      </w:r>
      <w:r>
        <w:rPr>
          <w:rFonts w:hint="eastAsia" w:ascii="宋体" w:hAnsi="宋体" w:eastAsia="宋体" w:cs="宋体"/>
          <w:sz w:val="24"/>
          <w:szCs w:val="24"/>
          <w:highlight w:val="none"/>
          <w:lang w:val="en-US" w:eastAsia="zh-CN"/>
        </w:rPr>
        <w:t>129285</w:t>
      </w:r>
      <w:r>
        <w:rPr>
          <w:rFonts w:hint="eastAsia" w:ascii="宋体" w:hAnsi="宋体" w:eastAsia="宋体" w:cs="宋体"/>
          <w:bCs/>
          <w:sz w:val="24"/>
          <w:szCs w:val="24"/>
          <w:highlight w:val="none"/>
        </w:rPr>
        <w:t>.00元</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供应商报价不得超过此金额</w:t>
      </w:r>
      <w:r>
        <w:rPr>
          <w:rFonts w:hint="eastAsia" w:ascii="宋体" w:hAnsi="宋体" w:eastAsia="宋体" w:cs="宋体"/>
          <w:bCs/>
          <w:sz w:val="24"/>
          <w:szCs w:val="24"/>
          <w:highlight w:val="none"/>
          <w:lang w:eastAsia="zh-CN"/>
        </w:rPr>
        <w:t>）</w:t>
      </w:r>
    </w:p>
    <w:p w14:paraId="513E4117">
      <w:pPr>
        <w:pageBreakBefore w:val="0"/>
        <w:kinsoku/>
        <w:wordWrap/>
        <w:overflowPunct/>
        <w:topLinePunct w:val="0"/>
        <w:autoSpaceDE/>
        <w:autoSpaceDN/>
        <w:bidi w:val="0"/>
        <w:snapToGrid/>
        <w:spacing w:line="360" w:lineRule="auto"/>
        <w:ind w:left="0" w:firstLine="480" w:firstLineChars="200"/>
        <w:rPr>
          <w:rFonts w:hint="default"/>
          <w:highlight w:val="none"/>
          <w:lang w:val="en-US" w:eastAsia="zh-CN"/>
        </w:rPr>
      </w:pPr>
      <w:r>
        <w:rPr>
          <w:rFonts w:hint="eastAsia" w:ascii="宋体" w:hAnsi="宋体" w:eastAsia="宋体" w:cs="宋体"/>
          <w:b w:val="0"/>
          <w:bCs/>
          <w:sz w:val="24"/>
          <w:szCs w:val="24"/>
          <w:highlight w:val="none"/>
          <w:lang w:val="en-US" w:eastAsia="zh-CN"/>
        </w:rPr>
        <w:t>3.报价方式：总报价应</w:t>
      </w:r>
      <w:r>
        <w:rPr>
          <w:rFonts w:hint="eastAsia" w:ascii="宋体" w:hAnsi="宋体" w:eastAsia="宋体" w:cs="宋体"/>
          <w:sz w:val="24"/>
          <w:szCs w:val="24"/>
          <w:highlight w:val="none"/>
          <w:lang w:val="en-US" w:eastAsia="zh-CN"/>
        </w:rPr>
        <w:t>含电缆产品费、施工费、辅材费、卸车费、运输费、税金等成本项目所需的一切费用，</w:t>
      </w:r>
      <w:r>
        <w:rPr>
          <w:rFonts w:hint="eastAsia" w:ascii="宋体" w:hAnsi="宋体" w:eastAsia="宋体" w:cs="宋体"/>
          <w:b w:val="0"/>
          <w:bCs w:val="0"/>
          <w:sz w:val="24"/>
          <w:szCs w:val="24"/>
          <w:highlight w:val="none"/>
          <w:lang w:val="en-US" w:eastAsia="zh-CN"/>
        </w:rPr>
        <w:t>报价不得超过项目预算</w:t>
      </w:r>
      <w:r>
        <w:rPr>
          <w:rFonts w:hint="eastAsia" w:ascii="宋体" w:hAnsi="宋体" w:eastAsia="宋体" w:cs="宋体"/>
          <w:b w:val="0"/>
          <w:bCs w:val="0"/>
          <w:sz w:val="24"/>
          <w:szCs w:val="24"/>
          <w:highlight w:val="none"/>
        </w:rPr>
        <w:t>，否则作无效</w:t>
      </w:r>
      <w:r>
        <w:rPr>
          <w:rFonts w:hint="eastAsia" w:ascii="宋体" w:hAnsi="宋体" w:eastAsia="宋体" w:cs="宋体"/>
          <w:b w:val="0"/>
          <w:bCs w:val="0"/>
          <w:sz w:val="24"/>
          <w:szCs w:val="24"/>
          <w:highlight w:val="none"/>
          <w:lang w:eastAsia="zh-CN"/>
        </w:rPr>
        <w:t>响应</w:t>
      </w:r>
      <w:r>
        <w:rPr>
          <w:rFonts w:hint="eastAsia" w:ascii="宋体" w:hAnsi="宋体" w:eastAsia="宋体" w:cs="宋体"/>
          <w:b w:val="0"/>
          <w:bCs w:val="0"/>
          <w:sz w:val="24"/>
          <w:szCs w:val="24"/>
          <w:highlight w:val="none"/>
        </w:rPr>
        <w:t>处理。</w:t>
      </w:r>
      <w:r>
        <w:rPr>
          <w:rFonts w:hint="eastAsia" w:ascii="宋体" w:hAnsi="宋体" w:eastAsia="宋体" w:cs="宋体"/>
          <w:sz w:val="24"/>
          <w:szCs w:val="24"/>
          <w:highlight w:val="none"/>
          <w:lang w:val="en-US" w:eastAsia="zh-CN"/>
        </w:rPr>
        <w:t>。</w:t>
      </w:r>
    </w:p>
    <w:p w14:paraId="0E3DDBBE">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4.项目内容及需求情况</w:t>
      </w:r>
    </w:p>
    <w:tbl>
      <w:tblPr>
        <w:tblStyle w:val="42"/>
        <w:tblW w:w="500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64"/>
        <w:gridCol w:w="2307"/>
        <w:gridCol w:w="1181"/>
        <w:gridCol w:w="1845"/>
        <w:gridCol w:w="1651"/>
      </w:tblGrid>
      <w:tr w14:paraId="6D9DA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64" w:hRule="atLeast"/>
          <w:jc w:val="center"/>
        </w:trPr>
        <w:tc>
          <w:tcPr>
            <w:tcW w:w="1564" w:type="dxa"/>
            <w:vAlign w:val="center"/>
          </w:tcPr>
          <w:p w14:paraId="4EE48A3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采购标的</w:t>
            </w:r>
          </w:p>
        </w:tc>
        <w:tc>
          <w:tcPr>
            <w:tcW w:w="2307" w:type="dxa"/>
            <w:shd w:val="clear" w:color="auto" w:fill="auto"/>
            <w:vAlign w:val="center"/>
          </w:tcPr>
          <w:p w14:paraId="3DDAF56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采购内容</w:t>
            </w:r>
          </w:p>
        </w:tc>
        <w:tc>
          <w:tcPr>
            <w:tcW w:w="1181" w:type="dxa"/>
            <w:vAlign w:val="center"/>
          </w:tcPr>
          <w:p w14:paraId="232D6CF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p w14:paraId="5F46A6E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（单位）</w:t>
            </w:r>
          </w:p>
        </w:tc>
        <w:tc>
          <w:tcPr>
            <w:tcW w:w="1845" w:type="dxa"/>
            <w:vAlign w:val="center"/>
          </w:tcPr>
          <w:p w14:paraId="3446AB2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规格型号</w:t>
            </w:r>
          </w:p>
        </w:tc>
        <w:tc>
          <w:tcPr>
            <w:tcW w:w="1651" w:type="dxa"/>
            <w:vAlign w:val="center"/>
          </w:tcPr>
          <w:p w14:paraId="205D781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技术要求</w:t>
            </w:r>
          </w:p>
        </w:tc>
      </w:tr>
      <w:tr w14:paraId="71C05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74" w:hRule="atLeast"/>
          <w:jc w:val="center"/>
        </w:trPr>
        <w:tc>
          <w:tcPr>
            <w:tcW w:w="1564" w:type="dxa"/>
            <w:vAlign w:val="center"/>
          </w:tcPr>
          <w:p w14:paraId="7045EB12">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开平市中心医院药剂大楼容灾机房电力输入电缆采购项目</w:t>
            </w:r>
          </w:p>
        </w:tc>
        <w:tc>
          <w:tcPr>
            <w:tcW w:w="2307" w:type="dxa"/>
            <w:shd w:val="clear" w:color="auto" w:fill="auto"/>
            <w:vAlign w:val="center"/>
          </w:tcPr>
          <w:p w14:paraId="22A6200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供应商需负责电力电缆的供应、运输、敷设安装及接线调试等全部工作，确保系统通电运行正常，并符合医院容灾机房的电力安全标准。</w:t>
            </w:r>
          </w:p>
        </w:tc>
        <w:tc>
          <w:tcPr>
            <w:tcW w:w="1181" w:type="dxa"/>
            <w:vAlign w:val="center"/>
          </w:tcPr>
          <w:p w14:paraId="3A6BE01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米</w:t>
            </w:r>
            <w:r>
              <w:rPr>
                <w:rFonts w:hint="eastAsia" w:ascii="宋体" w:hAnsi="宋体" w:eastAsia="宋体" w:cs="宋体"/>
                <w:sz w:val="24"/>
                <w:szCs w:val="24"/>
                <w:highlight w:val="none"/>
              </w:rPr>
              <w:t>)</w:t>
            </w:r>
          </w:p>
        </w:tc>
        <w:tc>
          <w:tcPr>
            <w:tcW w:w="1845" w:type="dxa"/>
            <w:vAlign w:val="center"/>
          </w:tcPr>
          <w:p w14:paraId="62C17E14">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WDZCN-YJY23</w:t>
            </w:r>
          </w:p>
          <w:p w14:paraId="0946AD02">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1KV 4x120+1x70</w:t>
            </w:r>
          </w:p>
        </w:tc>
        <w:tc>
          <w:tcPr>
            <w:tcW w:w="1651" w:type="dxa"/>
            <w:vAlign w:val="center"/>
          </w:tcPr>
          <w:p w14:paraId="2FD371B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电缆必须符合国家现行相关质量标准，确保为全新、未使用过的合格产品。</w:t>
            </w:r>
          </w:p>
        </w:tc>
      </w:tr>
    </w:tbl>
    <w:p w14:paraId="46EEF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p>
    <w:p w14:paraId="133E5DBC">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本</w:t>
      </w:r>
      <w:r>
        <w:rPr>
          <w:rFonts w:hint="eastAsia" w:ascii="宋体" w:hAnsi="宋体" w:eastAsia="宋体" w:cs="宋体"/>
          <w:sz w:val="24"/>
          <w:szCs w:val="24"/>
          <w:highlight w:val="none"/>
          <w:lang w:val="en-US" w:eastAsia="zh-CN"/>
        </w:rPr>
        <w:t>项目</w:t>
      </w:r>
      <w:r>
        <w:rPr>
          <w:rFonts w:hint="default" w:ascii="宋体" w:hAnsi="宋体" w:eastAsia="宋体" w:cs="宋体"/>
          <w:b/>
          <w:bCs/>
          <w:sz w:val="24"/>
          <w:szCs w:val="24"/>
          <w:highlight w:val="none"/>
          <w:u w:val="single"/>
          <w:lang w:val="en-US" w:eastAsia="zh-CN"/>
        </w:rPr>
        <w:t>不接受</w:t>
      </w:r>
      <w:r>
        <w:rPr>
          <w:rFonts w:hint="default" w:ascii="宋体" w:hAnsi="宋体" w:eastAsia="宋体" w:cs="宋体"/>
          <w:sz w:val="24"/>
          <w:szCs w:val="24"/>
          <w:highlight w:val="none"/>
          <w:lang w:val="en-US" w:eastAsia="zh-CN"/>
        </w:rPr>
        <w:t>联合体投标。</w:t>
      </w:r>
    </w:p>
    <w:p w14:paraId="368159F2">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5.交货地点：采购人指定地点（以合同为准）。</w:t>
      </w:r>
    </w:p>
    <w:p w14:paraId="4D20B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6.交货期：合同签订生效后14个自然日内完成交货及安装调试。</w:t>
      </w:r>
    </w:p>
    <w:p w14:paraId="1C3148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7.履约</w:t>
      </w:r>
      <w:r>
        <w:rPr>
          <w:rFonts w:hint="default" w:ascii="宋体" w:hAnsi="宋体" w:eastAsia="宋体" w:cs="宋体"/>
          <w:sz w:val="24"/>
          <w:szCs w:val="24"/>
          <w:highlight w:val="none"/>
          <w:lang w:val="en-US" w:eastAsia="zh-CN"/>
        </w:rPr>
        <w:t>期限：自合同签订生效之日起至合同所约定的全部义务履行完毕之日止。</w:t>
      </w:r>
    </w:p>
    <w:p w14:paraId="4E737DBB">
      <w:pPr>
        <w:pStyle w:val="23"/>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bookmarkStart w:id="43" w:name="_Hlk96871101"/>
      <w:r>
        <w:rPr>
          <w:rFonts w:hint="eastAsia" w:ascii="宋体" w:hAnsi="宋体" w:eastAsia="宋体" w:cs="宋体"/>
          <w:b/>
          <w:color w:val="auto"/>
          <w:sz w:val="24"/>
          <w:szCs w:val="24"/>
          <w:highlight w:val="none"/>
        </w:rPr>
        <w:t>供应商资格条件</w:t>
      </w:r>
      <w:bookmarkEnd w:id="42"/>
      <w:bookmarkEnd w:id="43"/>
    </w:p>
    <w:p w14:paraId="26288E3E">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highlight w:val="none"/>
          <w:lang w:eastAsia="zh-CN"/>
        </w:rPr>
      </w:pPr>
      <w:bookmarkStart w:id="44" w:name="_Toc53651885"/>
      <w:bookmarkStart w:id="45" w:name="_Toc81905139"/>
      <w:bookmarkStart w:id="46" w:name="_Toc169861806"/>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供应商</w:t>
      </w:r>
      <w:r>
        <w:rPr>
          <w:rFonts w:hint="eastAsia" w:ascii="宋体" w:hAnsi="宋体" w:eastAsia="宋体" w:cs="宋体"/>
          <w:bCs/>
          <w:sz w:val="24"/>
          <w:szCs w:val="24"/>
          <w:highlight w:val="none"/>
        </w:rPr>
        <w:t>必须</w:t>
      </w:r>
      <w:r>
        <w:rPr>
          <w:rFonts w:hint="eastAsia" w:ascii="宋体" w:hAnsi="宋体" w:eastAsia="宋体" w:cs="宋体"/>
          <w:i w:val="0"/>
          <w:iCs w:val="0"/>
          <w:caps w:val="0"/>
          <w:color w:val="222222"/>
          <w:spacing w:val="0"/>
          <w:sz w:val="24"/>
          <w:szCs w:val="24"/>
          <w:highlight w:val="none"/>
          <w:shd w:val="clear" w:fill="FFFFFF"/>
        </w:rPr>
        <w:t>具备《中华人民共和国政府采购法》第二十二条规定的条件</w:t>
      </w:r>
      <w:r>
        <w:rPr>
          <w:rFonts w:hint="eastAsia" w:ascii="宋体" w:hAnsi="宋体" w:eastAsia="宋体" w:cs="宋体"/>
          <w:bCs/>
          <w:sz w:val="24"/>
          <w:szCs w:val="24"/>
          <w:highlight w:val="none"/>
        </w:rPr>
        <w:t>，并按照相关规定递交资格证明文件</w:t>
      </w:r>
      <w:r>
        <w:rPr>
          <w:rFonts w:hint="eastAsia" w:ascii="宋体" w:hAnsi="宋体" w:eastAsia="宋体" w:cs="宋体"/>
          <w:bCs/>
          <w:sz w:val="24"/>
          <w:szCs w:val="24"/>
          <w:highlight w:val="none"/>
          <w:lang w:eastAsia="zh-CN"/>
        </w:rPr>
        <w:t>：</w:t>
      </w:r>
    </w:p>
    <w:p w14:paraId="5608BFE3">
      <w:pPr>
        <w:spacing w:line="360" w:lineRule="auto"/>
        <w:ind w:firstLine="480" w:firstLineChars="200"/>
        <w:rPr>
          <w:rFonts w:hint="eastAsia" w:ascii="宋体" w:hAnsi="宋体" w:eastAsia="宋体" w:cs="宋体"/>
          <w:i w:val="0"/>
          <w:iCs w:val="0"/>
          <w:caps w:val="0"/>
          <w:color w:val="222222"/>
          <w:spacing w:val="0"/>
          <w:sz w:val="24"/>
          <w:szCs w:val="24"/>
          <w:highlight w:val="none"/>
          <w:shd w:val="clear" w:fill="FFFFFF"/>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lang w:eastAsia="zh-CN"/>
        </w:rPr>
        <w:t>）</w:t>
      </w:r>
      <w:r>
        <w:rPr>
          <w:rFonts w:hint="eastAsia" w:ascii="宋体" w:hAnsi="宋体" w:eastAsia="宋体" w:cs="宋体"/>
          <w:i w:val="0"/>
          <w:iCs w:val="0"/>
          <w:caps w:val="0"/>
          <w:color w:val="222222"/>
          <w:spacing w:val="0"/>
          <w:sz w:val="24"/>
          <w:szCs w:val="24"/>
          <w:highlight w:val="none"/>
          <w:shd w:val="clear" w:fill="FFFFFF"/>
        </w:rPr>
        <w:t>具有独立承担民事责任的能力：在中华人民共和国境内注册的法人或其他组织或自然人，响应时提交有效的营业执照（或事业法人登记证</w:t>
      </w:r>
      <w:r>
        <w:rPr>
          <w:rFonts w:hint="eastAsia" w:ascii="宋体" w:hAnsi="宋体" w:eastAsia="宋体" w:cs="宋体"/>
          <w:i w:val="0"/>
          <w:iCs w:val="0"/>
          <w:caps w:val="0"/>
          <w:color w:val="222222"/>
          <w:spacing w:val="0"/>
          <w:sz w:val="24"/>
          <w:szCs w:val="24"/>
          <w:highlight w:val="none"/>
          <w:shd w:val="clear" w:fill="FFFFFF"/>
          <w:lang w:val="en-US" w:eastAsia="zh-CN"/>
        </w:rPr>
        <w:t>/</w:t>
      </w:r>
      <w:r>
        <w:rPr>
          <w:rFonts w:hint="eastAsia" w:ascii="宋体" w:hAnsi="宋体" w:eastAsia="宋体" w:cs="宋体"/>
          <w:i w:val="0"/>
          <w:iCs w:val="0"/>
          <w:caps w:val="0"/>
          <w:color w:val="222222"/>
          <w:spacing w:val="0"/>
          <w:sz w:val="24"/>
          <w:szCs w:val="24"/>
          <w:highlight w:val="none"/>
          <w:shd w:val="clear" w:fill="FFFFFF"/>
        </w:rPr>
        <w:t>身份证等相关证明） 副本复印件。</w:t>
      </w:r>
    </w:p>
    <w:p w14:paraId="489D92A7">
      <w:pPr>
        <w:spacing w:line="360" w:lineRule="auto"/>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（2）</w:t>
      </w:r>
      <w:r>
        <w:rPr>
          <w:rFonts w:hint="eastAsia" w:ascii="宋体" w:hAnsi="宋体" w:eastAsia="宋体" w:cs="宋体"/>
          <w:i w:val="0"/>
          <w:iCs w:val="0"/>
          <w:caps w:val="0"/>
          <w:color w:val="222222"/>
          <w:spacing w:val="0"/>
          <w:sz w:val="24"/>
          <w:szCs w:val="24"/>
          <w:highlight w:val="none"/>
          <w:shd w:val="clear" w:fill="FFFFFF"/>
        </w:rPr>
        <w:t>有依法缴纳税收和社会保障资金的良好记录：</w:t>
      </w:r>
      <w:r>
        <w:rPr>
          <w:rFonts w:hint="eastAsia" w:ascii="宋体" w:hAnsi="宋体" w:eastAsia="宋体"/>
          <w:sz w:val="24"/>
          <w:szCs w:val="21"/>
          <w:highlight w:val="none"/>
        </w:rPr>
        <w:t>提供</w:t>
      </w:r>
      <w:r>
        <w:rPr>
          <w:rFonts w:hint="eastAsia" w:ascii="宋体" w:hAnsi="宋体" w:eastAsia="宋体"/>
          <w:sz w:val="24"/>
          <w:szCs w:val="21"/>
          <w:highlight w:val="none"/>
          <w:lang w:val="en-US" w:eastAsia="zh-CN"/>
        </w:rPr>
        <w:t>响应</w:t>
      </w:r>
      <w:r>
        <w:rPr>
          <w:rFonts w:hint="eastAsia" w:ascii="宋体" w:hAnsi="宋体" w:eastAsia="宋体"/>
          <w:sz w:val="24"/>
          <w:szCs w:val="21"/>
          <w:highlight w:val="none"/>
        </w:rPr>
        <w:t>文件截止</w:t>
      </w:r>
      <w:r>
        <w:rPr>
          <w:rFonts w:hint="eastAsia" w:ascii="宋体" w:hAnsi="宋体" w:eastAsia="宋体"/>
          <w:sz w:val="24"/>
          <w:szCs w:val="21"/>
          <w:highlight w:val="none"/>
          <w:lang w:val="en-US" w:eastAsia="zh-CN"/>
        </w:rPr>
        <w:t>日</w:t>
      </w:r>
      <w:r>
        <w:rPr>
          <w:rFonts w:hint="eastAsia" w:ascii="宋体" w:hAnsi="宋体" w:eastAsia="宋体"/>
          <w:sz w:val="24"/>
          <w:szCs w:val="21"/>
          <w:highlight w:val="none"/>
        </w:rPr>
        <w:t>前6个月内任意1个月依法缴纳税收和社会保障资金的相关材料</w:t>
      </w:r>
      <w:r>
        <w:rPr>
          <w:rFonts w:hint="eastAsia" w:ascii="宋体" w:hAnsi="宋体" w:eastAsia="宋体"/>
          <w:sz w:val="24"/>
          <w:szCs w:val="21"/>
          <w:highlight w:val="none"/>
          <w:lang w:val="en-US" w:eastAsia="zh-CN"/>
        </w:rPr>
        <w:t>。</w:t>
      </w:r>
      <w:r>
        <w:rPr>
          <w:rFonts w:hint="eastAsia" w:ascii="宋体" w:hAnsi="宋体" w:eastAsia="宋体"/>
          <w:sz w:val="24"/>
          <w:szCs w:val="21"/>
          <w:highlight w:val="none"/>
        </w:rPr>
        <w:t>如依法免税或不需要缴纳社会保障资金的，提供相应证明材料</w:t>
      </w:r>
      <w:r>
        <w:rPr>
          <w:rFonts w:hint="eastAsia" w:ascii="宋体" w:hAnsi="宋体" w:eastAsia="宋体"/>
          <w:sz w:val="24"/>
          <w:szCs w:val="21"/>
          <w:highlight w:val="none"/>
          <w:lang w:eastAsia="zh-CN"/>
        </w:rPr>
        <w:t>，</w:t>
      </w:r>
    </w:p>
    <w:p w14:paraId="3722BCCE">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具有良好的商业信誉和健全的财务会计制度：提供2024年度财务状况报告或2025年1月至今任意1个月的财务报表或银行出具的资信证明复印件。</w:t>
      </w:r>
    </w:p>
    <w:p w14:paraId="6ED6075F">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w:t>
      </w:r>
      <w:r>
        <w:rPr>
          <w:rFonts w:hint="eastAsia" w:ascii="宋体" w:hAnsi="宋体" w:eastAsia="宋体" w:cs="宋体"/>
          <w:i w:val="0"/>
          <w:iCs w:val="0"/>
          <w:caps w:val="0"/>
          <w:color w:val="222222"/>
          <w:spacing w:val="0"/>
          <w:sz w:val="24"/>
          <w:szCs w:val="24"/>
          <w:highlight w:val="none"/>
          <w:shd w:val="clear" w:fill="FFFFFF"/>
        </w:rPr>
        <w:t>参加采购活动前3年内，在经营活动中没有重大违法记录：参照</w:t>
      </w:r>
      <w:r>
        <w:rPr>
          <w:rFonts w:hint="eastAsia" w:ascii="宋体" w:hAnsi="宋体" w:eastAsia="宋体" w:cs="宋体"/>
          <w:i w:val="0"/>
          <w:iCs w:val="0"/>
          <w:caps w:val="0"/>
          <w:color w:val="222222"/>
          <w:spacing w:val="0"/>
          <w:sz w:val="24"/>
          <w:szCs w:val="24"/>
          <w:highlight w:val="none"/>
          <w:shd w:val="clear" w:fill="FFFFFF"/>
          <w:lang w:val="en-US" w:eastAsia="zh-CN"/>
        </w:rPr>
        <w:t>遴选</w:t>
      </w:r>
      <w:r>
        <w:rPr>
          <w:rFonts w:hint="eastAsia" w:ascii="宋体" w:hAnsi="宋体" w:eastAsia="宋体" w:cs="宋体"/>
          <w:i w:val="0"/>
          <w:iCs w:val="0"/>
          <w:caps w:val="0"/>
          <w:color w:val="222222"/>
          <w:spacing w:val="0"/>
          <w:sz w:val="24"/>
          <w:szCs w:val="24"/>
          <w:highlight w:val="none"/>
          <w:shd w:val="clear" w:fill="FFFFFF"/>
          <w:lang w:eastAsia="zh-CN"/>
        </w:rPr>
        <w:t>响应</w:t>
      </w:r>
      <w:r>
        <w:rPr>
          <w:rFonts w:hint="eastAsia" w:ascii="宋体" w:hAnsi="宋体" w:eastAsia="宋体" w:cs="宋体"/>
          <w:i w:val="0"/>
          <w:iCs w:val="0"/>
          <w:caps w:val="0"/>
          <w:color w:val="222222"/>
          <w:spacing w:val="0"/>
          <w:sz w:val="24"/>
          <w:szCs w:val="24"/>
          <w:highlight w:val="none"/>
          <w:shd w:val="clear" w:fill="FFFFFF"/>
          <w:lang w:val="en-US" w:eastAsia="zh-CN"/>
        </w:rPr>
        <w:t>承诺</w:t>
      </w:r>
      <w:r>
        <w:rPr>
          <w:rFonts w:hint="eastAsia" w:ascii="宋体" w:hAnsi="宋体" w:eastAsia="宋体" w:cs="宋体"/>
          <w:i w:val="0"/>
          <w:iCs w:val="0"/>
          <w:caps w:val="0"/>
          <w:color w:val="222222"/>
          <w:spacing w:val="0"/>
          <w:sz w:val="24"/>
          <w:szCs w:val="24"/>
          <w:highlight w:val="none"/>
          <w:shd w:val="clear" w:fill="FFFFFF"/>
        </w:rPr>
        <w:t>函格式内容。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eastAsia="宋体" w:cs="宋体"/>
          <w:i w:val="0"/>
          <w:iCs w:val="0"/>
          <w:caps w:val="0"/>
          <w:color w:val="222222"/>
          <w:spacing w:val="0"/>
          <w:sz w:val="24"/>
          <w:szCs w:val="24"/>
          <w:highlight w:val="none"/>
          <w:shd w:val="clear" w:fill="FFFFFF"/>
          <w:lang w:eastAsia="zh-CN"/>
        </w:rPr>
        <w:t>。</w:t>
      </w:r>
    </w:p>
    <w:p w14:paraId="54F90D3D">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2.特定资格要求：</w:t>
      </w:r>
    </w:p>
    <w:p w14:paraId="08ED409D">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lang w:val="en-US" w:eastAsia="zh-CN"/>
        </w:rPr>
        <w:t>（1）供应商</w:t>
      </w:r>
      <w:r>
        <w:rPr>
          <w:rFonts w:hint="eastAsia" w:ascii="宋体" w:hAnsi="宋体" w:eastAsia="宋体" w:cs="宋体"/>
          <w:bCs/>
          <w:sz w:val="24"/>
          <w:szCs w:val="24"/>
          <w:highlight w:val="none"/>
        </w:rPr>
        <w:t>应在“国家企业信用信息公示系统”（http://www.gsxt.gov.cn）网站中查询企业信用信息，不得存在被吊销营业执照或被吊销（撤销</w:t>
      </w:r>
      <w:bookmarkStart w:id="240" w:name="_GoBack"/>
      <w:bookmarkEnd w:id="240"/>
      <w:r>
        <w:rPr>
          <w:rFonts w:hint="eastAsia" w:ascii="宋体" w:hAnsi="宋体" w:eastAsia="宋体" w:cs="宋体"/>
          <w:bCs/>
          <w:sz w:val="24"/>
          <w:szCs w:val="24"/>
          <w:highlight w:val="none"/>
        </w:rPr>
        <w:t>、注销、收缴）相应资质（许可、认证）类证书，列入严重违法失信企业名单并在处罚期限内，或存在其它影响遴选响应及履约能力的情形；在“信用中国”（http://www.creditchina.gov.cn）网站中查询“失信被执行人”、“重大税收违法案件当事人名单”、“政府采购不良行为记录”，中国政府采购网（www.ccgp.gov.cn）网站中查询“政府采购严重违法失信行为记录名单”，不得存在被列为失信被执行人的情形，并将查询结果网页打印并加盖公章</w:t>
      </w:r>
      <w:r>
        <w:rPr>
          <w:rFonts w:hint="eastAsia" w:ascii="宋体" w:hAnsi="宋体" w:eastAsia="宋体" w:cs="宋体"/>
          <w:bCs/>
          <w:sz w:val="24"/>
          <w:szCs w:val="24"/>
          <w:highlight w:val="none"/>
          <w:lang w:eastAsia="zh-CN"/>
        </w:rPr>
        <w:t>。</w:t>
      </w:r>
    </w:p>
    <w:p w14:paraId="1D09B21D">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kern w:val="0"/>
          <w:sz w:val="24"/>
          <w:szCs w:val="24"/>
          <w:highlight w:val="none"/>
          <w:lang w:val="en-US" w:eastAsia="zh-CN"/>
        </w:rPr>
        <w:t>（2）本项目专门面向中小企业遴选。</w:t>
      </w:r>
    </w:p>
    <w:p w14:paraId="1235C871">
      <w:pPr>
        <w:pageBreakBefore w:val="0"/>
        <w:widowControl/>
        <w:kinsoku/>
        <w:wordWrap/>
        <w:overflowPunct/>
        <w:topLinePunct w:val="0"/>
        <w:autoSpaceDE/>
        <w:autoSpaceDN/>
        <w:bidi w:val="0"/>
        <w:snapToGrid/>
        <w:spacing w:line="360" w:lineRule="auto"/>
        <w:ind w:left="0"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3.其他要求：</w:t>
      </w:r>
    </w:p>
    <w:p w14:paraId="23FB2234">
      <w:pPr>
        <w:pageBreakBefore w:val="0"/>
        <w:widowControl/>
        <w:kinsoku/>
        <w:wordWrap/>
        <w:overflowPunct/>
        <w:topLinePunct w:val="0"/>
        <w:autoSpaceDE/>
        <w:autoSpaceDN/>
        <w:bidi w:val="0"/>
        <w:snapToGrid/>
        <w:spacing w:line="360" w:lineRule="auto"/>
        <w:ind w:left="0"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本次遴选不接受联合体遴选响应。</w:t>
      </w:r>
    </w:p>
    <w:p w14:paraId="0A06C9DA">
      <w:pPr>
        <w:pageBreakBefore w:val="0"/>
        <w:widowControl/>
        <w:kinsoku/>
        <w:wordWrap/>
        <w:overflowPunct/>
        <w:topLinePunct w:val="0"/>
        <w:autoSpaceDE/>
        <w:autoSpaceDN/>
        <w:bidi w:val="0"/>
        <w:snapToGrid/>
        <w:spacing w:line="360" w:lineRule="auto"/>
        <w:ind w:left="0" w:firstLine="480" w:firstLineChars="200"/>
        <w:jc w:val="left"/>
        <w:rPr>
          <w:rFonts w:hint="eastAsia" w:ascii="宋体" w:hAnsi="宋体" w:eastAsia="宋体" w:cs="宋体"/>
          <w:color w:val="auto"/>
          <w:sz w:val="24"/>
          <w:szCs w:val="21"/>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本次遴选未得到遴选人允许，不得转包、分包，否则取消</w:t>
      </w:r>
      <w:r>
        <w:rPr>
          <w:rFonts w:hint="eastAsia" w:ascii="宋体" w:hAnsi="宋体" w:eastAsia="宋体" w:cs="宋体"/>
          <w:kern w:val="0"/>
          <w:sz w:val="24"/>
          <w:szCs w:val="24"/>
          <w:highlight w:val="none"/>
        </w:rPr>
        <w:t>其响应、成交资格，并赔偿遴选人全部损失。</w:t>
      </w:r>
    </w:p>
    <w:p w14:paraId="38F09216">
      <w:pPr>
        <w:pStyle w:val="23"/>
        <w:spacing w:line="360" w:lineRule="auto"/>
        <w:ind w:firstLine="482"/>
        <w:outlineLvl w:val="1"/>
        <w:rPr>
          <w:rFonts w:hAnsi="宋体"/>
          <w:b/>
          <w:sz w:val="24"/>
          <w:szCs w:val="24"/>
          <w:highlight w:val="none"/>
        </w:rPr>
      </w:pPr>
      <w:r>
        <w:rPr>
          <w:rFonts w:hint="eastAsia" w:hAnsi="宋体"/>
          <w:b/>
          <w:sz w:val="24"/>
          <w:szCs w:val="24"/>
          <w:highlight w:val="none"/>
        </w:rPr>
        <w:t>三、</w:t>
      </w:r>
      <w:bookmarkEnd w:id="44"/>
      <w:bookmarkEnd w:id="45"/>
      <w:bookmarkEnd w:id="46"/>
      <w:bookmarkStart w:id="47" w:name="_Toc169861807"/>
      <w:r>
        <w:rPr>
          <w:rFonts w:hAnsi="宋体"/>
          <w:b/>
          <w:sz w:val="24"/>
          <w:szCs w:val="24"/>
          <w:highlight w:val="none"/>
        </w:rPr>
        <w:t>承包方式</w:t>
      </w:r>
      <w:bookmarkEnd w:id="47"/>
    </w:p>
    <w:p w14:paraId="2647682E">
      <w:pPr>
        <w:pageBreakBefore w:val="0"/>
        <w:kinsoku/>
        <w:wordWrap/>
        <w:overflowPunct/>
        <w:topLinePunct w:val="0"/>
        <w:autoSpaceDE/>
        <w:autoSpaceDN/>
        <w:bidi w:val="0"/>
        <w:snapToGrid/>
        <w:spacing w:line="360" w:lineRule="auto"/>
        <w:ind w:left="0" w:firstLine="480" w:firstLineChars="200"/>
        <w:rPr>
          <w:rFonts w:hint="eastAsia" w:ascii="宋体" w:hAnsi="宋体" w:cs="宋体"/>
          <w:color w:val="auto"/>
          <w:sz w:val="24"/>
          <w:highlight w:val="none"/>
        </w:rPr>
      </w:pPr>
      <w:bookmarkStart w:id="48" w:name="_Toc169861808"/>
      <w:r>
        <w:rPr>
          <w:rFonts w:hint="eastAsia" w:ascii="宋体" w:hAnsi="宋体" w:eastAsia="宋体" w:cs="宋体"/>
          <w:color w:val="auto"/>
          <w:kern w:val="0"/>
          <w:sz w:val="24"/>
          <w:highlight w:val="none"/>
          <w:lang w:eastAsia="zh-CN"/>
        </w:rPr>
        <w:t>总价包</w:t>
      </w:r>
      <w:r>
        <w:rPr>
          <w:rFonts w:hint="eastAsia" w:ascii="宋体" w:hAnsi="宋体" w:eastAsia="宋体" w:cs="宋体"/>
          <w:color w:val="auto"/>
          <w:kern w:val="0"/>
          <w:sz w:val="24"/>
          <w:highlight w:val="none"/>
          <w:lang w:val="en-US" w:eastAsia="zh-CN"/>
        </w:rPr>
        <w:t>干</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不接受联合体投标。</w:t>
      </w:r>
    </w:p>
    <w:p w14:paraId="7FD646F5">
      <w:pPr>
        <w:pStyle w:val="23"/>
        <w:spacing w:line="360" w:lineRule="auto"/>
        <w:ind w:firstLine="482"/>
        <w:outlineLvl w:val="1"/>
        <w:rPr>
          <w:rFonts w:hAnsi="宋体"/>
          <w:b/>
          <w:sz w:val="24"/>
          <w:szCs w:val="24"/>
          <w:highlight w:val="none"/>
        </w:rPr>
      </w:pPr>
      <w:r>
        <w:rPr>
          <w:rFonts w:hint="eastAsia" w:hAnsi="宋体"/>
          <w:b/>
          <w:sz w:val="24"/>
          <w:szCs w:val="24"/>
          <w:highlight w:val="none"/>
          <w:lang w:val="en-US" w:eastAsia="zh-CN"/>
        </w:rPr>
        <w:t>四</w:t>
      </w:r>
      <w:r>
        <w:rPr>
          <w:rFonts w:hint="eastAsia" w:hAnsi="宋体"/>
          <w:b/>
          <w:sz w:val="24"/>
          <w:szCs w:val="24"/>
          <w:highlight w:val="none"/>
        </w:rPr>
        <w:t>、报价要求</w:t>
      </w:r>
      <w:bookmarkEnd w:id="48"/>
    </w:p>
    <w:p w14:paraId="06EEA637">
      <w:pPr>
        <w:spacing w:line="360" w:lineRule="auto"/>
        <w:ind w:firstLine="480" w:firstLineChars="200"/>
        <w:rPr>
          <w:rFonts w:hint="eastAsia" w:ascii="宋体" w:hAnsi="宋体" w:eastAsia="宋体" w:cs="宋体"/>
          <w:sz w:val="24"/>
          <w:szCs w:val="24"/>
          <w:highlight w:val="none"/>
        </w:rPr>
      </w:pPr>
      <w:r>
        <w:rPr>
          <w:rFonts w:ascii="宋体" w:hAnsi="宋体" w:eastAsia="宋体" w:cs="宋体"/>
          <w:sz w:val="24"/>
          <w:szCs w:val="24"/>
          <w:highlight w:val="none"/>
        </w:rPr>
        <w:t>1.</w:t>
      </w:r>
      <w:r>
        <w:rPr>
          <w:rFonts w:hint="eastAsia" w:ascii="宋体" w:hAnsi="宋体" w:eastAsia="宋体" w:cs="宋体"/>
          <w:b w:val="0"/>
          <w:bCs w:val="0"/>
          <w:sz w:val="24"/>
          <w:szCs w:val="24"/>
          <w:highlight w:val="none"/>
          <w:lang w:val="en-US" w:eastAsia="zh-CN"/>
        </w:rPr>
        <w:t>总报价包</w:t>
      </w:r>
      <w:r>
        <w:rPr>
          <w:rFonts w:hint="eastAsia" w:ascii="宋体" w:hAnsi="宋体" w:eastAsia="宋体" w:cs="宋体"/>
          <w:sz w:val="24"/>
          <w:szCs w:val="24"/>
          <w:highlight w:val="none"/>
          <w:lang w:val="en-US" w:eastAsia="zh-CN"/>
        </w:rPr>
        <w:t>含电缆产品费、施工费、辅材费、卸车费、运输费、税金等成本项目所需的一切费用</w:t>
      </w:r>
      <w:r>
        <w:rPr>
          <w:rFonts w:hint="eastAsia" w:ascii="宋体" w:hAnsi="宋体" w:eastAsia="宋体" w:cs="宋体"/>
          <w:b w:val="0"/>
          <w:bCs w:val="0"/>
          <w:sz w:val="24"/>
          <w:szCs w:val="24"/>
          <w:highlight w:val="none"/>
          <w:lang w:val="en-US" w:eastAsia="zh-CN"/>
        </w:rPr>
        <w:t>，报价不得超过项目预算</w:t>
      </w:r>
      <w:r>
        <w:rPr>
          <w:rFonts w:hint="eastAsia" w:ascii="宋体" w:hAnsi="宋体" w:eastAsia="宋体" w:cs="宋体"/>
          <w:b w:val="0"/>
          <w:bCs w:val="0"/>
          <w:sz w:val="24"/>
          <w:szCs w:val="24"/>
          <w:highlight w:val="none"/>
        </w:rPr>
        <w:t>，否则作无效</w:t>
      </w:r>
      <w:r>
        <w:rPr>
          <w:rFonts w:hint="eastAsia" w:ascii="宋体" w:hAnsi="宋体" w:eastAsia="宋体" w:cs="宋体"/>
          <w:b w:val="0"/>
          <w:bCs w:val="0"/>
          <w:sz w:val="24"/>
          <w:szCs w:val="24"/>
          <w:highlight w:val="none"/>
          <w:lang w:eastAsia="zh-CN"/>
        </w:rPr>
        <w:t>响应</w:t>
      </w:r>
      <w:r>
        <w:rPr>
          <w:rFonts w:hint="eastAsia" w:ascii="宋体" w:hAnsi="宋体" w:eastAsia="宋体" w:cs="宋体"/>
          <w:b w:val="0"/>
          <w:bCs w:val="0"/>
          <w:sz w:val="24"/>
          <w:szCs w:val="24"/>
          <w:highlight w:val="none"/>
        </w:rPr>
        <w:t>处理。</w:t>
      </w:r>
    </w:p>
    <w:p w14:paraId="2FFED137">
      <w:pPr>
        <w:pStyle w:val="23"/>
        <w:spacing w:line="360" w:lineRule="auto"/>
        <w:ind w:firstLine="482"/>
        <w:outlineLvl w:val="1"/>
        <w:rPr>
          <w:rFonts w:hint="default" w:hAnsi="宋体" w:eastAsia="宋体"/>
          <w:b/>
          <w:sz w:val="24"/>
          <w:szCs w:val="24"/>
          <w:highlight w:val="none"/>
          <w:lang w:val="en-US" w:eastAsia="zh-CN"/>
        </w:rPr>
      </w:pPr>
      <w:r>
        <w:rPr>
          <w:rFonts w:hint="eastAsia" w:hAnsi="宋体"/>
          <w:b/>
          <w:sz w:val="24"/>
          <w:szCs w:val="24"/>
          <w:highlight w:val="none"/>
          <w:lang w:val="en-US" w:eastAsia="zh-CN"/>
        </w:rPr>
        <w:t>五</w:t>
      </w:r>
      <w:r>
        <w:rPr>
          <w:rFonts w:hAnsi="宋体"/>
          <w:b/>
          <w:sz w:val="24"/>
          <w:szCs w:val="24"/>
          <w:highlight w:val="none"/>
        </w:rPr>
        <w:t>、</w:t>
      </w:r>
      <w:r>
        <w:rPr>
          <w:rFonts w:hint="eastAsia" w:hAnsi="宋体"/>
          <w:b/>
          <w:sz w:val="24"/>
          <w:szCs w:val="24"/>
          <w:highlight w:val="none"/>
          <w:lang w:val="en-US" w:eastAsia="zh-CN"/>
        </w:rPr>
        <w:t>评审办法和标准</w:t>
      </w:r>
    </w:p>
    <w:p w14:paraId="0AA168E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1评审原则</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遵循公开、公平、本项目按照合理低价中标的原则，采用最低价中标法</w:t>
      </w:r>
      <w:r>
        <w:rPr>
          <w:rFonts w:hint="eastAsia" w:ascii="宋体" w:hAnsi="宋体" w:eastAsia="宋体" w:cs="宋体"/>
          <w:sz w:val="24"/>
          <w:szCs w:val="24"/>
          <w:highlight w:val="none"/>
        </w:rPr>
        <w:t>。</w:t>
      </w:r>
    </w:p>
    <w:p w14:paraId="3E0C8A79">
      <w:pPr>
        <w:pStyle w:val="23"/>
        <w:spacing w:line="360" w:lineRule="auto"/>
        <w:ind w:firstLine="482"/>
        <w:outlineLvl w:val="1"/>
        <w:rPr>
          <w:rFonts w:hint="eastAsia" w:hAnsi="宋体" w:eastAsia="宋体"/>
          <w:b/>
          <w:sz w:val="24"/>
          <w:szCs w:val="24"/>
          <w:highlight w:val="none"/>
          <w:lang w:val="en-US" w:eastAsia="zh-CN"/>
        </w:rPr>
      </w:pPr>
      <w:bookmarkStart w:id="49" w:name="_Toc169861809"/>
      <w:r>
        <w:rPr>
          <w:rFonts w:hint="eastAsia" w:hAnsi="宋体"/>
          <w:b/>
          <w:sz w:val="24"/>
          <w:szCs w:val="24"/>
          <w:highlight w:val="none"/>
          <w:lang w:val="en-US" w:eastAsia="zh-CN"/>
        </w:rPr>
        <w:t>六</w:t>
      </w:r>
      <w:r>
        <w:rPr>
          <w:rFonts w:hAnsi="宋体"/>
          <w:b/>
          <w:sz w:val="24"/>
          <w:szCs w:val="24"/>
          <w:highlight w:val="none"/>
        </w:rPr>
        <w:t>、验收</w:t>
      </w:r>
      <w:bookmarkEnd w:id="49"/>
      <w:r>
        <w:rPr>
          <w:rFonts w:hint="eastAsia" w:hAnsi="宋体"/>
          <w:b/>
          <w:sz w:val="24"/>
          <w:szCs w:val="24"/>
          <w:highlight w:val="none"/>
          <w:lang w:val="en-US" w:eastAsia="zh-CN"/>
        </w:rPr>
        <w:t>标准</w:t>
      </w:r>
    </w:p>
    <w:p w14:paraId="7B704A17">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依据合同约定</w:t>
      </w:r>
      <w:r>
        <w:rPr>
          <w:rFonts w:hint="eastAsia" w:ascii="宋体" w:hAnsi="宋体" w:eastAsia="宋体" w:cs="宋体"/>
          <w:sz w:val="24"/>
          <w:szCs w:val="24"/>
          <w:highlight w:val="none"/>
        </w:rPr>
        <w:t>。</w:t>
      </w:r>
    </w:p>
    <w:p w14:paraId="358784E1">
      <w:pPr>
        <w:pStyle w:val="23"/>
        <w:spacing w:line="360" w:lineRule="auto"/>
        <w:ind w:firstLine="482"/>
        <w:outlineLvl w:val="1"/>
        <w:rPr>
          <w:rFonts w:hAnsi="宋体"/>
          <w:b/>
          <w:sz w:val="24"/>
          <w:szCs w:val="24"/>
          <w:highlight w:val="none"/>
        </w:rPr>
      </w:pPr>
      <w:bookmarkStart w:id="50" w:name="_Toc169861812"/>
      <w:r>
        <w:rPr>
          <w:rFonts w:hint="eastAsia" w:hAnsi="宋体"/>
          <w:b/>
          <w:sz w:val="24"/>
          <w:szCs w:val="24"/>
          <w:highlight w:val="none"/>
          <w:lang w:val="en-US" w:eastAsia="zh-CN"/>
        </w:rPr>
        <w:t>七</w:t>
      </w:r>
      <w:r>
        <w:rPr>
          <w:rFonts w:hAnsi="宋体"/>
          <w:b/>
          <w:sz w:val="24"/>
          <w:szCs w:val="24"/>
          <w:highlight w:val="none"/>
        </w:rPr>
        <w:t>、</w:t>
      </w:r>
      <w:r>
        <w:rPr>
          <w:rFonts w:hint="eastAsia" w:hAnsi="宋体"/>
          <w:b/>
          <w:sz w:val="24"/>
          <w:szCs w:val="24"/>
          <w:highlight w:val="none"/>
        </w:rPr>
        <w:t>结算方式</w:t>
      </w:r>
      <w:bookmarkEnd w:id="50"/>
    </w:p>
    <w:p w14:paraId="7DA232BC">
      <w:pPr>
        <w:spacing w:line="336" w:lineRule="auto"/>
        <w:ind w:firstLine="480" w:firstLineChars="200"/>
        <w:rPr>
          <w:rFonts w:hint="eastAsia" w:ascii="宋体" w:hAnsi="宋体" w:eastAsia="宋体"/>
          <w:color w:val="auto"/>
          <w:sz w:val="24"/>
          <w:szCs w:val="21"/>
          <w:highlight w:val="none"/>
          <w:lang w:eastAsia="zh-CN"/>
        </w:rPr>
      </w:pPr>
      <w:r>
        <w:rPr>
          <w:rFonts w:hint="eastAsia" w:ascii="宋体" w:hAnsi="宋体" w:eastAsia="宋体"/>
          <w:color w:val="auto"/>
          <w:sz w:val="24"/>
          <w:szCs w:val="21"/>
          <w:highlight w:val="none"/>
          <w:lang w:val="en-US" w:eastAsia="zh-CN"/>
        </w:rPr>
        <w:t>1.</w:t>
      </w:r>
      <w:r>
        <w:rPr>
          <w:rFonts w:hint="eastAsia" w:ascii="宋体" w:hAnsi="宋体" w:eastAsia="宋体"/>
          <w:color w:val="auto"/>
          <w:sz w:val="24"/>
          <w:szCs w:val="21"/>
          <w:highlight w:val="none"/>
          <w:lang w:eastAsia="zh-CN"/>
        </w:rPr>
        <w:t>合同签订生效后30个日历日内，中标供应商需按国家财税规定开具合同总金额30%的正式发票。采购人在收到发票后30个日历日内支付该笔款项。</w:t>
      </w:r>
    </w:p>
    <w:p w14:paraId="198DADB0">
      <w:pPr>
        <w:spacing w:line="336" w:lineRule="auto"/>
        <w:ind w:firstLine="480" w:firstLineChars="200"/>
        <w:rPr>
          <w:rFonts w:hint="eastAsia" w:ascii="宋体" w:hAnsi="宋体" w:eastAsia="宋体"/>
          <w:color w:val="auto"/>
          <w:sz w:val="24"/>
          <w:szCs w:val="21"/>
          <w:highlight w:val="none"/>
          <w:lang w:eastAsia="zh-CN"/>
        </w:rPr>
      </w:pPr>
      <w:r>
        <w:rPr>
          <w:rFonts w:hint="eastAsia" w:ascii="宋体" w:hAnsi="宋体" w:eastAsia="宋体"/>
          <w:color w:val="auto"/>
          <w:sz w:val="24"/>
          <w:szCs w:val="21"/>
          <w:highlight w:val="none"/>
          <w:lang w:val="en-US" w:eastAsia="zh-CN"/>
        </w:rPr>
        <w:t>2.货物</w:t>
      </w:r>
      <w:r>
        <w:rPr>
          <w:rFonts w:hint="eastAsia" w:ascii="宋体" w:hAnsi="宋体" w:eastAsia="宋体"/>
          <w:color w:val="auto"/>
          <w:sz w:val="24"/>
          <w:szCs w:val="21"/>
          <w:highlight w:val="none"/>
          <w:lang w:eastAsia="zh-CN"/>
        </w:rPr>
        <w:t xml:space="preserve">运抵指定地点安装调试、验收合格后30个日历日内，中标供应商需按国家财税规定开具合同总金额70%的正式发票。采购人在收到发票后30个日历日内支付该笔款项。 </w:t>
      </w:r>
    </w:p>
    <w:p w14:paraId="3C0810CA">
      <w:pPr>
        <w:spacing w:line="336" w:lineRule="auto"/>
        <w:ind w:firstLine="480" w:firstLineChars="200"/>
        <w:rPr>
          <w:rFonts w:hint="eastAsia" w:ascii="宋体" w:hAnsi="宋体" w:eastAsia="宋体"/>
          <w:sz w:val="24"/>
          <w:szCs w:val="21"/>
          <w:highlight w:val="none"/>
        </w:rPr>
      </w:pPr>
      <w:r>
        <w:rPr>
          <w:rFonts w:hint="eastAsia" w:ascii="宋体" w:hAnsi="宋体" w:eastAsia="宋体"/>
          <w:sz w:val="24"/>
          <w:szCs w:val="21"/>
          <w:highlight w:val="none"/>
        </w:rPr>
        <w:t>注：</w:t>
      </w:r>
    </w:p>
    <w:p w14:paraId="07987194">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eastAsia="宋体"/>
          <w:highlight w:val="none"/>
          <w:lang w:val="en-US" w:eastAsia="zh-CN"/>
        </w:rPr>
      </w:pPr>
      <w:r>
        <w:rPr>
          <w:rFonts w:hint="eastAsia" w:ascii="宋体" w:hAnsi="宋体" w:eastAsia="宋体"/>
          <w:sz w:val="24"/>
          <w:szCs w:val="21"/>
          <w:highlight w:val="none"/>
          <w:lang w:val="en-US" w:eastAsia="zh-CN"/>
        </w:rPr>
        <w:t>1.</w:t>
      </w:r>
      <w:r>
        <w:rPr>
          <w:rFonts w:hint="eastAsia" w:ascii="宋体" w:hAnsi="宋体" w:eastAsia="宋体"/>
          <w:sz w:val="24"/>
          <w:szCs w:val="21"/>
          <w:highlight w:val="none"/>
        </w:rPr>
        <w:t>付款方式：采用银行转账、银行汇付（含电汇）等形式。</w:t>
      </w:r>
    </w:p>
    <w:p w14:paraId="4E830B66">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Times New Roman"/>
          <w:sz w:val="36"/>
          <w:szCs w:val="28"/>
          <w:highlight w:val="none"/>
        </w:rPr>
      </w:pPr>
      <w:r>
        <w:rPr>
          <w:rFonts w:hint="eastAsia" w:ascii="宋体" w:hAnsi="宋体" w:eastAsia="宋体"/>
          <w:sz w:val="24"/>
          <w:szCs w:val="21"/>
          <w:highlight w:val="none"/>
          <w:lang w:val="en-US" w:eastAsia="zh-CN"/>
        </w:rPr>
        <w:t>2.</w:t>
      </w:r>
      <w:bookmarkEnd w:id="34"/>
      <w:bookmarkEnd w:id="35"/>
      <w:bookmarkEnd w:id="36"/>
      <w:bookmarkEnd w:id="37"/>
      <w:bookmarkEnd w:id="38"/>
      <w:bookmarkEnd w:id="39"/>
      <w:bookmarkEnd w:id="40"/>
      <w:bookmarkStart w:id="51" w:name="_Toc51939417"/>
      <w:bookmarkStart w:id="52" w:name="_Toc52027886"/>
      <w:bookmarkStart w:id="53" w:name="_Toc51756452"/>
      <w:bookmarkStart w:id="54" w:name="_Toc56352971"/>
      <w:bookmarkStart w:id="55" w:name="_Toc52021499"/>
      <w:bookmarkStart w:id="56" w:name="_Toc486671527"/>
      <w:bookmarkStart w:id="57" w:name="_Toc169861813"/>
      <w:bookmarkStart w:id="58" w:name="_Toc467236723"/>
      <w:bookmarkStart w:id="59" w:name="_Toc476976155"/>
      <w:bookmarkStart w:id="60" w:name="_Toc458262598"/>
      <w:r>
        <w:rPr>
          <w:rFonts w:hint="eastAsia" w:ascii="宋体" w:hAnsi="宋体" w:eastAsia="宋体"/>
          <w:color w:val="auto"/>
          <w:sz w:val="24"/>
          <w:szCs w:val="21"/>
          <w:highlight w:val="none"/>
          <w:lang w:eastAsia="zh-CN"/>
        </w:rPr>
        <w:t>采购人在规定时间内提出支付申请手续后，即视为采购人已经按期支付，实际付款到账时间</w:t>
      </w:r>
      <w:r>
        <w:rPr>
          <w:rFonts w:hint="eastAsia" w:ascii="宋体" w:hAnsi="宋体" w:eastAsia="宋体"/>
          <w:color w:val="auto"/>
          <w:sz w:val="24"/>
          <w:szCs w:val="21"/>
          <w:highlight w:val="none"/>
          <w:lang w:val="en-US" w:eastAsia="zh-CN"/>
        </w:rPr>
        <w:t>以</w:t>
      </w:r>
      <w:r>
        <w:rPr>
          <w:rFonts w:hint="eastAsia" w:ascii="宋体" w:hAnsi="宋体" w:eastAsia="宋体"/>
          <w:sz w:val="24"/>
          <w:szCs w:val="21"/>
          <w:highlight w:val="none"/>
          <w:lang w:val="en-US" w:eastAsia="zh-CN"/>
        </w:rPr>
        <w:t>医院财务支付管理制度为准，采购人不因资金到账延迟承担任何违约责任。</w:t>
      </w:r>
      <w:r>
        <w:rPr>
          <w:rFonts w:ascii="Times New Roman"/>
          <w:sz w:val="36"/>
          <w:szCs w:val="28"/>
          <w:highlight w:val="none"/>
        </w:rPr>
        <w:br w:type="page"/>
      </w:r>
    </w:p>
    <w:p w14:paraId="53445917">
      <w:pPr>
        <w:pStyle w:val="3"/>
        <w:keepNext w:val="0"/>
        <w:keepLines w:val="0"/>
        <w:spacing w:before="0" w:after="0" w:line="360" w:lineRule="auto"/>
        <w:jc w:val="center"/>
        <w:rPr>
          <w:rFonts w:ascii="Times New Roman"/>
          <w:sz w:val="36"/>
          <w:szCs w:val="28"/>
          <w:highlight w:val="none"/>
        </w:rPr>
      </w:pPr>
      <w:r>
        <w:rPr>
          <w:rFonts w:ascii="Times New Roman"/>
          <w:sz w:val="36"/>
          <w:szCs w:val="28"/>
          <w:highlight w:val="none"/>
        </w:rPr>
        <w:t>第三部分</w:t>
      </w:r>
      <w:bookmarkEnd w:id="51"/>
      <w:bookmarkEnd w:id="52"/>
      <w:bookmarkEnd w:id="53"/>
      <w:bookmarkEnd w:id="54"/>
      <w:bookmarkEnd w:id="55"/>
      <w:r>
        <w:rPr>
          <w:rFonts w:ascii="Times New Roman"/>
          <w:sz w:val="36"/>
          <w:szCs w:val="28"/>
          <w:highlight w:val="none"/>
        </w:rPr>
        <w:t xml:space="preserve">  供应商须知</w:t>
      </w:r>
      <w:bookmarkEnd w:id="56"/>
      <w:bookmarkEnd w:id="57"/>
      <w:bookmarkEnd w:id="58"/>
      <w:bookmarkEnd w:id="59"/>
      <w:bookmarkEnd w:id="60"/>
    </w:p>
    <w:p w14:paraId="114CF083">
      <w:pPr>
        <w:pStyle w:val="4"/>
        <w:keepNext w:val="0"/>
        <w:keepLines w:val="0"/>
        <w:spacing w:before="120" w:beforeLines="50" w:after="0" w:line="360" w:lineRule="auto"/>
        <w:jc w:val="center"/>
        <w:rPr>
          <w:rFonts w:ascii="Times New Roman" w:hAnsi="Times New Roman" w:eastAsia="宋体"/>
          <w:sz w:val="24"/>
          <w:szCs w:val="21"/>
          <w:highlight w:val="none"/>
        </w:rPr>
      </w:pPr>
      <w:bookmarkStart w:id="61" w:name="_Toc102277756"/>
      <w:bookmarkStart w:id="62" w:name="_Toc6968687"/>
      <w:bookmarkStart w:id="63" w:name="_Toc169861814"/>
      <w:bookmarkStart w:id="64" w:name="_Toc466786434"/>
      <w:bookmarkStart w:id="65" w:name="_Toc6882675"/>
      <w:bookmarkStart w:id="66" w:name="_Toc507407359"/>
      <w:bookmarkStart w:id="67" w:name="_Toc468157520"/>
      <w:bookmarkStart w:id="68" w:name="_Toc480021037"/>
      <w:bookmarkStart w:id="69" w:name="_Toc468606013"/>
      <w:bookmarkStart w:id="70" w:name="_Toc479991566"/>
      <w:bookmarkStart w:id="71" w:name="_Toc467236724"/>
      <w:bookmarkStart w:id="72" w:name="_Toc458262599"/>
      <w:bookmarkStart w:id="73" w:name="_Toc480171863"/>
      <w:bookmarkStart w:id="74" w:name="_Toc480020241"/>
      <w:bookmarkStart w:id="75" w:name="_Toc48207756"/>
      <w:bookmarkStart w:id="76" w:name="_Toc467987807"/>
      <w:bookmarkStart w:id="77" w:name="_Toc480010692"/>
      <w:r>
        <w:rPr>
          <w:rFonts w:ascii="Times New Roman" w:hAnsi="Times New Roman" w:eastAsia="宋体"/>
          <w:sz w:val="24"/>
          <w:szCs w:val="21"/>
          <w:highlight w:val="none"/>
        </w:rPr>
        <w:t>一、说  明</w:t>
      </w:r>
      <w:bookmarkEnd w:id="61"/>
      <w:bookmarkEnd w:id="62"/>
      <w:bookmarkEnd w:id="63"/>
      <w:bookmarkEnd w:id="64"/>
      <w:bookmarkEnd w:id="65"/>
      <w:bookmarkEnd w:id="66"/>
    </w:p>
    <w:p w14:paraId="009F87BD">
      <w:pPr>
        <w:pStyle w:val="6"/>
        <w:keepNext w:val="0"/>
        <w:keepLines w:val="0"/>
        <w:adjustRightInd/>
        <w:spacing w:before="0" w:after="0" w:line="360" w:lineRule="auto"/>
        <w:ind w:firstLine="482" w:firstLineChars="200"/>
        <w:rPr>
          <w:rFonts w:ascii="Times New Roman"/>
          <w:b w:val="0"/>
          <w:sz w:val="24"/>
          <w:szCs w:val="21"/>
          <w:highlight w:val="none"/>
        </w:rPr>
      </w:pPr>
      <w:bookmarkStart w:id="78" w:name="_Toc475249114"/>
      <w:r>
        <w:rPr>
          <w:rFonts w:ascii="Times New Roman"/>
          <w:sz w:val="24"/>
          <w:szCs w:val="21"/>
          <w:highlight w:val="none"/>
        </w:rPr>
        <w:t>1.适用范围</w:t>
      </w:r>
      <w:bookmarkEnd w:id="78"/>
    </w:p>
    <w:p w14:paraId="013B14B2">
      <w:pPr>
        <w:autoSpaceDE w:val="0"/>
        <w:autoSpaceDN w:val="0"/>
        <w:spacing w:line="360" w:lineRule="auto"/>
        <w:ind w:firstLine="480" w:firstLineChars="200"/>
        <w:jc w:val="left"/>
        <w:textAlignment w:val="baseline"/>
        <w:rPr>
          <w:rFonts w:eastAsia="宋体"/>
          <w:sz w:val="24"/>
          <w:szCs w:val="21"/>
          <w:highlight w:val="none"/>
        </w:rPr>
      </w:pPr>
      <w:r>
        <w:rPr>
          <w:rFonts w:eastAsia="宋体"/>
          <w:sz w:val="24"/>
          <w:szCs w:val="21"/>
          <w:highlight w:val="none"/>
        </w:rPr>
        <w:t>1.1本</w:t>
      </w:r>
      <w:r>
        <w:rPr>
          <w:rFonts w:hint="eastAsia" w:eastAsia="宋体"/>
          <w:sz w:val="24"/>
          <w:szCs w:val="21"/>
          <w:highlight w:val="none"/>
          <w:lang w:eastAsia="zh-CN"/>
        </w:rPr>
        <w:t>遴选</w:t>
      </w:r>
      <w:r>
        <w:rPr>
          <w:rFonts w:eastAsia="宋体"/>
          <w:sz w:val="24"/>
          <w:szCs w:val="21"/>
          <w:highlight w:val="none"/>
        </w:rPr>
        <w:t>文件仅适用于本次采购邀请中所叙述的项目。</w:t>
      </w:r>
    </w:p>
    <w:p w14:paraId="4B0009B6">
      <w:pPr>
        <w:autoSpaceDE w:val="0"/>
        <w:autoSpaceDN w:val="0"/>
        <w:spacing w:line="360" w:lineRule="auto"/>
        <w:ind w:firstLine="480" w:firstLineChars="200"/>
        <w:jc w:val="left"/>
        <w:textAlignment w:val="baseline"/>
        <w:rPr>
          <w:rFonts w:eastAsia="宋体"/>
          <w:sz w:val="24"/>
          <w:szCs w:val="21"/>
          <w:highlight w:val="none"/>
        </w:rPr>
      </w:pPr>
      <w:r>
        <w:rPr>
          <w:rFonts w:eastAsia="宋体"/>
          <w:sz w:val="24"/>
          <w:szCs w:val="21"/>
          <w:highlight w:val="none"/>
        </w:rPr>
        <w:t>1.2本</w:t>
      </w:r>
      <w:r>
        <w:rPr>
          <w:rFonts w:hint="eastAsia" w:eastAsia="宋体"/>
          <w:sz w:val="24"/>
          <w:szCs w:val="21"/>
          <w:highlight w:val="none"/>
          <w:lang w:eastAsia="zh-CN"/>
        </w:rPr>
        <w:t>遴选</w:t>
      </w:r>
      <w:r>
        <w:rPr>
          <w:rFonts w:eastAsia="宋体"/>
          <w:sz w:val="24"/>
          <w:szCs w:val="21"/>
          <w:highlight w:val="none"/>
        </w:rPr>
        <w:t>文件的解释权</w:t>
      </w:r>
      <w:r>
        <w:rPr>
          <w:rFonts w:hint="eastAsia" w:eastAsia="宋体"/>
          <w:sz w:val="24"/>
          <w:szCs w:val="21"/>
          <w:highlight w:val="none"/>
        </w:rPr>
        <w:t>归</w:t>
      </w:r>
      <w:r>
        <w:rPr>
          <w:rFonts w:eastAsia="宋体"/>
          <w:sz w:val="24"/>
          <w:szCs w:val="21"/>
          <w:highlight w:val="none"/>
        </w:rPr>
        <w:t>采购</w:t>
      </w:r>
      <w:r>
        <w:rPr>
          <w:rFonts w:hint="eastAsia" w:eastAsia="宋体"/>
          <w:sz w:val="24"/>
          <w:szCs w:val="21"/>
          <w:highlight w:val="none"/>
          <w:lang w:val="en-US" w:eastAsia="zh-CN"/>
        </w:rPr>
        <w:t>人</w:t>
      </w:r>
      <w:r>
        <w:rPr>
          <w:rFonts w:hint="eastAsia" w:eastAsia="宋体"/>
          <w:sz w:val="24"/>
          <w:szCs w:val="21"/>
          <w:highlight w:val="none"/>
        </w:rPr>
        <w:t>所有</w:t>
      </w:r>
      <w:r>
        <w:rPr>
          <w:rFonts w:eastAsia="宋体"/>
          <w:sz w:val="24"/>
          <w:szCs w:val="21"/>
          <w:highlight w:val="none"/>
        </w:rPr>
        <w:t>。</w:t>
      </w:r>
    </w:p>
    <w:p w14:paraId="14FF482F">
      <w:pPr>
        <w:pStyle w:val="6"/>
        <w:keepNext w:val="0"/>
        <w:keepLines w:val="0"/>
        <w:adjustRightInd/>
        <w:spacing w:before="0" w:after="0" w:line="360" w:lineRule="auto"/>
        <w:ind w:firstLine="482" w:firstLineChars="200"/>
        <w:rPr>
          <w:rFonts w:ascii="Times New Roman"/>
          <w:b w:val="0"/>
          <w:sz w:val="24"/>
          <w:szCs w:val="21"/>
          <w:highlight w:val="none"/>
        </w:rPr>
      </w:pPr>
      <w:bookmarkStart w:id="79" w:name="_Toc475249115"/>
      <w:r>
        <w:rPr>
          <w:rFonts w:ascii="Times New Roman"/>
          <w:sz w:val="24"/>
          <w:szCs w:val="21"/>
          <w:highlight w:val="none"/>
        </w:rPr>
        <w:t>2.定义</w:t>
      </w:r>
      <w:bookmarkEnd w:id="79"/>
    </w:p>
    <w:p w14:paraId="3ADDC5AA">
      <w:pPr>
        <w:spacing w:line="360" w:lineRule="auto"/>
        <w:ind w:firstLine="480" w:firstLineChars="200"/>
        <w:outlineLvl w:val="3"/>
        <w:rPr>
          <w:rFonts w:ascii="宋体" w:hAnsi="宋体" w:eastAsia="宋体"/>
          <w:sz w:val="24"/>
          <w:szCs w:val="21"/>
          <w:highlight w:val="none"/>
        </w:rPr>
      </w:pPr>
      <w:r>
        <w:rPr>
          <w:rFonts w:eastAsia="宋体"/>
          <w:sz w:val="24"/>
          <w:szCs w:val="21"/>
          <w:highlight w:val="none"/>
        </w:rPr>
        <w:t>2.1“采购人”是指</w:t>
      </w:r>
      <w:r>
        <w:rPr>
          <w:rFonts w:hint="eastAsia" w:ascii="宋体" w:hAnsi="宋体" w:eastAsia="宋体"/>
          <w:sz w:val="24"/>
          <w:szCs w:val="21"/>
          <w:highlight w:val="none"/>
        </w:rPr>
        <w:t>开平市中心医院</w:t>
      </w:r>
      <w:r>
        <w:rPr>
          <w:rFonts w:ascii="宋体" w:hAnsi="宋体" w:eastAsia="宋体"/>
          <w:sz w:val="24"/>
          <w:szCs w:val="21"/>
          <w:highlight w:val="none"/>
        </w:rPr>
        <w:t>。</w:t>
      </w:r>
    </w:p>
    <w:p w14:paraId="520CF8FD">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lang w:val="en-US" w:eastAsia="zh-CN"/>
        </w:rPr>
        <w:t>2</w:t>
      </w:r>
      <w:r>
        <w:rPr>
          <w:rFonts w:eastAsia="宋体"/>
          <w:sz w:val="24"/>
          <w:szCs w:val="21"/>
          <w:highlight w:val="none"/>
        </w:rPr>
        <w:t>“供应商”指向采购</w:t>
      </w:r>
      <w:r>
        <w:rPr>
          <w:rFonts w:hint="eastAsia" w:eastAsia="宋体"/>
          <w:sz w:val="24"/>
          <w:szCs w:val="21"/>
          <w:highlight w:val="none"/>
          <w:lang w:val="en-US" w:eastAsia="zh-CN"/>
        </w:rPr>
        <w:t>人</w:t>
      </w:r>
      <w:r>
        <w:rPr>
          <w:rFonts w:eastAsia="宋体"/>
          <w:sz w:val="24"/>
          <w:szCs w:val="21"/>
          <w:highlight w:val="none"/>
        </w:rPr>
        <w:t>提交响应文件的法人、其他组织或自然人。</w:t>
      </w:r>
    </w:p>
    <w:p w14:paraId="3EA5902A">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lang w:val="en-US" w:eastAsia="zh-CN"/>
        </w:rPr>
        <w:t>3</w:t>
      </w:r>
      <w:r>
        <w:rPr>
          <w:rFonts w:eastAsia="宋体"/>
          <w:sz w:val="24"/>
          <w:szCs w:val="21"/>
          <w:highlight w:val="none"/>
        </w:rPr>
        <w:t>服务：</w:t>
      </w:r>
      <w:r>
        <w:rPr>
          <w:rFonts w:hint="eastAsia" w:eastAsia="宋体"/>
          <w:sz w:val="24"/>
          <w:szCs w:val="21"/>
          <w:highlight w:val="none"/>
          <w:lang w:eastAsia="zh-CN"/>
        </w:rPr>
        <w:t>遴选</w:t>
      </w:r>
      <w:r>
        <w:rPr>
          <w:rFonts w:eastAsia="宋体"/>
          <w:sz w:val="24"/>
          <w:szCs w:val="21"/>
          <w:highlight w:val="none"/>
        </w:rPr>
        <w:t>文件规定卖方必须承担的咨询、技术协助及其它相关义务。</w:t>
      </w:r>
    </w:p>
    <w:p w14:paraId="7E4A9F14">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lang w:val="en-US" w:eastAsia="zh-CN"/>
        </w:rPr>
        <w:t>4</w:t>
      </w:r>
      <w:r>
        <w:rPr>
          <w:rFonts w:eastAsia="宋体"/>
          <w:sz w:val="24"/>
          <w:szCs w:val="21"/>
          <w:highlight w:val="none"/>
        </w:rPr>
        <w:t>语言：采购文件的语言为简体中文。</w:t>
      </w:r>
    </w:p>
    <w:p w14:paraId="16AEDF45">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lang w:val="en-US" w:eastAsia="zh-CN"/>
        </w:rPr>
        <w:t>5</w:t>
      </w:r>
      <w:r>
        <w:rPr>
          <w:rFonts w:eastAsia="宋体"/>
          <w:sz w:val="24"/>
          <w:szCs w:val="21"/>
          <w:highlight w:val="none"/>
        </w:rPr>
        <w:t>日期：指公历日。</w:t>
      </w:r>
    </w:p>
    <w:p w14:paraId="3CB2DA88">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lang w:val="en-US" w:eastAsia="zh-CN"/>
        </w:rPr>
        <w:t>6</w:t>
      </w:r>
      <w:r>
        <w:rPr>
          <w:rFonts w:eastAsia="宋体"/>
          <w:sz w:val="24"/>
          <w:szCs w:val="21"/>
          <w:highlight w:val="none"/>
        </w:rPr>
        <w:t>时间：指北京时间。</w:t>
      </w:r>
    </w:p>
    <w:p w14:paraId="293E115F">
      <w:pPr>
        <w:pStyle w:val="6"/>
        <w:keepNext w:val="0"/>
        <w:keepLines w:val="0"/>
        <w:adjustRightInd/>
        <w:spacing w:before="0" w:after="0" w:line="360" w:lineRule="auto"/>
        <w:ind w:firstLine="482" w:firstLineChars="200"/>
        <w:rPr>
          <w:rFonts w:ascii="Times New Roman"/>
          <w:sz w:val="24"/>
          <w:szCs w:val="21"/>
          <w:highlight w:val="none"/>
        </w:rPr>
      </w:pPr>
      <w:bookmarkStart w:id="80" w:name="_Toc110953831"/>
      <w:bookmarkStart w:id="81" w:name="_Toc102277757"/>
      <w:bookmarkStart w:id="82" w:name="_Toc6968688"/>
      <w:bookmarkStart w:id="83" w:name="_Toc6882676"/>
      <w:bookmarkStart w:id="84" w:name="_Toc507407360"/>
      <w:bookmarkStart w:id="85" w:name="_Toc466786435"/>
      <w:r>
        <w:rPr>
          <w:rFonts w:ascii="Times New Roman"/>
          <w:sz w:val="24"/>
          <w:szCs w:val="21"/>
          <w:highlight w:val="none"/>
        </w:rPr>
        <w:t>3.适用法律</w:t>
      </w:r>
      <w:bookmarkEnd w:id="80"/>
    </w:p>
    <w:p w14:paraId="1778FFC4">
      <w:pPr>
        <w:spacing w:line="360" w:lineRule="auto"/>
        <w:ind w:firstLine="480" w:firstLineChars="200"/>
        <w:rPr>
          <w:rFonts w:eastAsia="宋体"/>
          <w:sz w:val="24"/>
          <w:szCs w:val="21"/>
          <w:highlight w:val="none"/>
        </w:rPr>
      </w:pPr>
      <w:r>
        <w:rPr>
          <w:rFonts w:eastAsia="宋体"/>
          <w:sz w:val="24"/>
          <w:szCs w:val="21"/>
          <w:highlight w:val="none"/>
        </w:rPr>
        <w:t>采购人</w:t>
      </w:r>
      <w:r>
        <w:rPr>
          <w:rFonts w:hint="eastAsia" w:eastAsia="宋体"/>
          <w:sz w:val="24"/>
          <w:szCs w:val="21"/>
          <w:highlight w:val="none"/>
          <w:lang w:val="en-US" w:eastAsia="zh-CN"/>
        </w:rPr>
        <w:t>和</w:t>
      </w:r>
      <w:r>
        <w:rPr>
          <w:rFonts w:eastAsia="宋体"/>
          <w:sz w:val="24"/>
          <w:szCs w:val="21"/>
          <w:highlight w:val="none"/>
        </w:rPr>
        <w:t>供应商均应当遵守《中华人民共和国政府采购法》、《中华人民共和国政府采购法实施条例》及相关法律法规。</w:t>
      </w:r>
    </w:p>
    <w:p w14:paraId="2C383FD7">
      <w:pPr>
        <w:pStyle w:val="6"/>
        <w:keepNext w:val="0"/>
        <w:keepLines w:val="0"/>
        <w:adjustRightInd/>
        <w:spacing w:before="0" w:after="0" w:line="360" w:lineRule="auto"/>
        <w:ind w:firstLine="482" w:firstLineChars="200"/>
        <w:rPr>
          <w:rFonts w:ascii="Times New Roman"/>
          <w:b w:val="0"/>
          <w:sz w:val="24"/>
          <w:szCs w:val="21"/>
          <w:highlight w:val="none"/>
        </w:rPr>
      </w:pPr>
      <w:bookmarkStart w:id="86" w:name="_Toc110953832"/>
      <w:r>
        <w:rPr>
          <w:rFonts w:ascii="Times New Roman"/>
          <w:sz w:val="24"/>
          <w:szCs w:val="21"/>
          <w:highlight w:val="none"/>
        </w:rPr>
        <w:t>4.知识产权</w:t>
      </w:r>
      <w:bookmarkEnd w:id="86"/>
    </w:p>
    <w:p w14:paraId="485CA9BF">
      <w:pPr>
        <w:spacing w:line="360" w:lineRule="auto"/>
        <w:ind w:firstLine="480" w:firstLineChars="200"/>
        <w:rPr>
          <w:rFonts w:eastAsia="宋体"/>
          <w:sz w:val="24"/>
          <w:szCs w:val="21"/>
          <w:highlight w:val="none"/>
        </w:rPr>
      </w:pPr>
      <w:r>
        <w:rPr>
          <w:rFonts w:eastAsia="宋体"/>
          <w:sz w:val="24"/>
          <w:szCs w:val="21"/>
          <w:highlight w:val="none"/>
        </w:rPr>
        <w:t>4.1供应商应当保证，采购人在中华人民共和国境内使用货物或货物的任何一部分时，采购人免受第三方提出侵犯其专利权、商标权或其它知识产权的起诉。</w:t>
      </w:r>
    </w:p>
    <w:p w14:paraId="648ADF34">
      <w:pPr>
        <w:spacing w:line="360" w:lineRule="auto"/>
        <w:ind w:firstLine="480" w:firstLineChars="200"/>
        <w:rPr>
          <w:rFonts w:eastAsia="宋体"/>
          <w:sz w:val="24"/>
          <w:szCs w:val="21"/>
          <w:highlight w:val="none"/>
        </w:rPr>
      </w:pPr>
      <w:r>
        <w:rPr>
          <w:rFonts w:eastAsia="宋体"/>
          <w:sz w:val="24"/>
          <w:szCs w:val="21"/>
          <w:highlight w:val="none"/>
        </w:rPr>
        <w:t>4.2最终确定的政府采购合同价格包括所有应支付的对专利权和版权、设计或其他知识产权而需要向其他方支付的版税。</w:t>
      </w:r>
    </w:p>
    <w:p w14:paraId="696298B4">
      <w:pPr>
        <w:spacing w:line="360" w:lineRule="auto"/>
        <w:ind w:firstLine="480" w:firstLineChars="200"/>
        <w:rPr>
          <w:rFonts w:eastAsia="宋体"/>
          <w:sz w:val="24"/>
          <w:szCs w:val="21"/>
          <w:highlight w:val="none"/>
        </w:rPr>
      </w:pPr>
      <w:r>
        <w:rPr>
          <w:rFonts w:eastAsia="宋体"/>
          <w:sz w:val="24"/>
          <w:szCs w:val="21"/>
          <w:highlight w:val="none"/>
        </w:rPr>
        <w:t>4.3供应商不拥有响应的知识产权的，则在响应报价中必须包括有合法获取该知识产权的相关费用，否则，由此而产生的一切法律和经济纠纷由供应商承担责任。</w:t>
      </w:r>
    </w:p>
    <w:p w14:paraId="58FD0EFD">
      <w:pPr>
        <w:pStyle w:val="6"/>
        <w:keepNext w:val="0"/>
        <w:keepLines w:val="0"/>
        <w:adjustRightInd/>
        <w:spacing w:before="0" w:after="0" w:line="360" w:lineRule="auto"/>
        <w:ind w:firstLine="482" w:firstLineChars="200"/>
        <w:rPr>
          <w:rFonts w:ascii="Times New Roman"/>
          <w:b w:val="0"/>
          <w:bCs/>
          <w:sz w:val="24"/>
          <w:szCs w:val="21"/>
          <w:highlight w:val="none"/>
        </w:rPr>
      </w:pPr>
      <w:bookmarkStart w:id="87" w:name="_Toc110953833"/>
      <w:r>
        <w:rPr>
          <w:rFonts w:ascii="Times New Roman"/>
          <w:sz w:val="24"/>
          <w:szCs w:val="21"/>
          <w:highlight w:val="none"/>
        </w:rPr>
        <w:t>5.禁止事项</w:t>
      </w:r>
      <w:bookmarkEnd w:id="87"/>
    </w:p>
    <w:p w14:paraId="26A3EC24">
      <w:pPr>
        <w:spacing w:line="360" w:lineRule="auto"/>
        <w:ind w:firstLine="480" w:firstLineChars="200"/>
        <w:rPr>
          <w:rFonts w:eastAsia="宋体"/>
          <w:sz w:val="24"/>
          <w:szCs w:val="21"/>
          <w:highlight w:val="none"/>
        </w:rPr>
      </w:pPr>
      <w:bookmarkStart w:id="88" w:name="_Toc98126218"/>
      <w:bookmarkStart w:id="89" w:name="_Toc98126293"/>
      <w:r>
        <w:rPr>
          <w:rFonts w:eastAsia="宋体"/>
          <w:sz w:val="24"/>
          <w:szCs w:val="21"/>
          <w:highlight w:val="none"/>
        </w:rPr>
        <w:t>5.1采购人</w:t>
      </w:r>
      <w:r>
        <w:rPr>
          <w:rFonts w:hint="eastAsia" w:eastAsia="宋体"/>
          <w:sz w:val="24"/>
          <w:szCs w:val="21"/>
          <w:highlight w:val="none"/>
          <w:lang w:val="en-US" w:eastAsia="zh-CN"/>
        </w:rPr>
        <w:t>和</w:t>
      </w:r>
      <w:r>
        <w:rPr>
          <w:rFonts w:eastAsia="宋体"/>
          <w:sz w:val="24"/>
          <w:szCs w:val="21"/>
          <w:highlight w:val="none"/>
        </w:rPr>
        <w:t>供应商不得相互串通损害国家利益、社会公共利益和其他当事人的合法权益。</w:t>
      </w:r>
    </w:p>
    <w:p w14:paraId="5FE58509">
      <w:pPr>
        <w:spacing w:line="360" w:lineRule="auto"/>
        <w:ind w:firstLine="480" w:firstLineChars="200"/>
        <w:rPr>
          <w:rFonts w:eastAsia="宋体"/>
          <w:sz w:val="24"/>
          <w:szCs w:val="21"/>
          <w:highlight w:val="none"/>
        </w:rPr>
      </w:pPr>
      <w:r>
        <w:rPr>
          <w:rFonts w:eastAsia="宋体"/>
          <w:sz w:val="24"/>
          <w:szCs w:val="21"/>
          <w:highlight w:val="none"/>
        </w:rPr>
        <w:t>5.2供应商不得向采购人、</w:t>
      </w:r>
      <w:r>
        <w:rPr>
          <w:rFonts w:hint="eastAsia" w:eastAsia="宋体"/>
          <w:sz w:val="24"/>
          <w:szCs w:val="21"/>
          <w:highlight w:val="none"/>
          <w:lang w:eastAsia="zh-CN"/>
        </w:rPr>
        <w:t>遴选</w:t>
      </w:r>
      <w:r>
        <w:rPr>
          <w:rFonts w:eastAsia="宋体"/>
          <w:sz w:val="24"/>
          <w:szCs w:val="21"/>
          <w:highlight w:val="none"/>
        </w:rPr>
        <w:t>小组的组成人员行贿或者采取其他不正当手段谋取成交。</w:t>
      </w:r>
      <w:bookmarkEnd w:id="88"/>
      <w:bookmarkEnd w:id="89"/>
    </w:p>
    <w:p w14:paraId="58FCBE74">
      <w:pPr>
        <w:spacing w:line="360" w:lineRule="auto"/>
        <w:ind w:firstLine="480" w:firstLineChars="200"/>
        <w:rPr>
          <w:rFonts w:eastAsia="宋体"/>
          <w:sz w:val="24"/>
          <w:szCs w:val="21"/>
          <w:highlight w:val="none"/>
        </w:rPr>
      </w:pPr>
      <w:bookmarkStart w:id="90" w:name="_Toc98126294"/>
      <w:bookmarkStart w:id="91" w:name="_Toc98126219"/>
      <w:r>
        <w:rPr>
          <w:rFonts w:eastAsia="宋体"/>
          <w:sz w:val="24"/>
          <w:szCs w:val="21"/>
          <w:highlight w:val="none"/>
        </w:rPr>
        <w:t>5.</w:t>
      </w:r>
      <w:bookmarkEnd w:id="90"/>
      <w:bookmarkEnd w:id="91"/>
      <w:bookmarkStart w:id="92" w:name="_Toc98126295"/>
      <w:bookmarkStart w:id="93" w:name="_Toc98126220"/>
      <w:r>
        <w:rPr>
          <w:rFonts w:hint="eastAsia" w:eastAsia="宋体"/>
          <w:sz w:val="24"/>
          <w:szCs w:val="21"/>
          <w:highlight w:val="none"/>
          <w:lang w:val="en-US" w:eastAsia="zh-CN"/>
        </w:rPr>
        <w:t>3</w:t>
      </w:r>
      <w:r>
        <w:rPr>
          <w:rFonts w:eastAsia="宋体"/>
          <w:sz w:val="24"/>
          <w:szCs w:val="21"/>
          <w:highlight w:val="none"/>
        </w:rPr>
        <w:t>除供应商被要求对响应文件进行质疑澄清外，从开启响应文件之时起至授予合同止，供应商不得就与其响应文件有关的事项主动与</w:t>
      </w:r>
      <w:r>
        <w:rPr>
          <w:rFonts w:hint="eastAsia" w:eastAsia="宋体"/>
          <w:sz w:val="24"/>
          <w:szCs w:val="21"/>
          <w:highlight w:val="none"/>
          <w:lang w:eastAsia="zh-CN"/>
        </w:rPr>
        <w:t>遴选</w:t>
      </w:r>
      <w:r>
        <w:rPr>
          <w:rFonts w:eastAsia="宋体"/>
          <w:sz w:val="24"/>
          <w:szCs w:val="21"/>
          <w:highlight w:val="none"/>
        </w:rPr>
        <w:t>小组、采购人接触。</w:t>
      </w:r>
      <w:bookmarkEnd w:id="92"/>
      <w:bookmarkEnd w:id="93"/>
    </w:p>
    <w:p w14:paraId="78731B5B">
      <w:pPr>
        <w:pStyle w:val="6"/>
        <w:keepNext w:val="0"/>
        <w:keepLines w:val="0"/>
        <w:adjustRightInd/>
        <w:spacing w:before="0" w:after="0" w:line="360" w:lineRule="auto"/>
        <w:ind w:firstLine="482" w:firstLineChars="200"/>
        <w:rPr>
          <w:rFonts w:ascii="Times New Roman"/>
          <w:b w:val="0"/>
          <w:bCs/>
          <w:sz w:val="24"/>
          <w:szCs w:val="21"/>
          <w:highlight w:val="none"/>
        </w:rPr>
      </w:pPr>
      <w:bookmarkStart w:id="94" w:name="_Toc110953834"/>
      <w:r>
        <w:rPr>
          <w:rFonts w:ascii="Times New Roman"/>
          <w:sz w:val="24"/>
          <w:szCs w:val="21"/>
          <w:highlight w:val="none"/>
        </w:rPr>
        <w:t>6.保密及其它注意事项</w:t>
      </w:r>
      <w:bookmarkEnd w:id="94"/>
    </w:p>
    <w:p w14:paraId="5F90EB83">
      <w:pPr>
        <w:spacing w:line="360" w:lineRule="auto"/>
        <w:ind w:firstLine="480" w:firstLineChars="200"/>
        <w:rPr>
          <w:rFonts w:eastAsia="宋体"/>
          <w:sz w:val="24"/>
          <w:szCs w:val="21"/>
          <w:highlight w:val="none"/>
        </w:rPr>
      </w:pPr>
      <w:bookmarkStart w:id="95" w:name="_Toc98126222"/>
      <w:bookmarkStart w:id="96" w:name="_Toc98126297"/>
      <w:r>
        <w:rPr>
          <w:rFonts w:eastAsia="宋体"/>
          <w:sz w:val="24"/>
          <w:szCs w:val="21"/>
          <w:highlight w:val="none"/>
        </w:rPr>
        <w:t>6.1凡参与采购工作的有关人员均应自觉接受有关主管部门的监督，不得向他人透露可能影响公平竞争的有关情况。</w:t>
      </w:r>
      <w:bookmarkEnd w:id="95"/>
      <w:bookmarkEnd w:id="96"/>
    </w:p>
    <w:p w14:paraId="66CC7C0C">
      <w:pPr>
        <w:spacing w:line="360" w:lineRule="auto"/>
        <w:ind w:firstLine="480" w:firstLineChars="200"/>
        <w:rPr>
          <w:rFonts w:eastAsia="宋体"/>
          <w:sz w:val="24"/>
          <w:szCs w:val="21"/>
          <w:highlight w:val="none"/>
        </w:rPr>
      </w:pPr>
      <w:r>
        <w:rPr>
          <w:rFonts w:eastAsia="宋体"/>
          <w:sz w:val="24"/>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eastAsia="宋体"/>
          <w:sz w:val="24"/>
          <w:szCs w:val="21"/>
          <w:highlight w:val="none"/>
          <w:lang w:eastAsia="zh-CN"/>
        </w:rPr>
        <w:t>遴选</w:t>
      </w:r>
      <w:r>
        <w:rPr>
          <w:rFonts w:eastAsia="宋体"/>
          <w:sz w:val="24"/>
          <w:szCs w:val="21"/>
          <w:highlight w:val="none"/>
        </w:rPr>
        <w:t>小组人员之外。</w:t>
      </w:r>
    </w:p>
    <w:p w14:paraId="19DC3AC5">
      <w:pPr>
        <w:spacing w:line="360" w:lineRule="auto"/>
        <w:ind w:firstLine="480" w:firstLineChars="200"/>
        <w:rPr>
          <w:rFonts w:eastAsia="宋体"/>
          <w:sz w:val="24"/>
          <w:szCs w:val="21"/>
          <w:highlight w:val="none"/>
        </w:rPr>
      </w:pPr>
      <w:r>
        <w:rPr>
          <w:rFonts w:eastAsia="宋体"/>
          <w:sz w:val="24"/>
          <w:szCs w:val="21"/>
          <w:highlight w:val="none"/>
        </w:rPr>
        <w:t>6.3在评审期间，供应商不得向</w:t>
      </w:r>
      <w:r>
        <w:rPr>
          <w:rFonts w:hint="eastAsia" w:eastAsia="宋体"/>
          <w:sz w:val="24"/>
          <w:szCs w:val="21"/>
          <w:highlight w:val="none"/>
          <w:lang w:eastAsia="zh-CN"/>
        </w:rPr>
        <w:t>遴选</w:t>
      </w:r>
      <w:r>
        <w:rPr>
          <w:rFonts w:eastAsia="宋体"/>
          <w:sz w:val="24"/>
          <w:szCs w:val="21"/>
          <w:highlight w:val="none"/>
        </w:rPr>
        <w:t>小组成员询问评审情况，不得进行旨在影响评审结果的活动。</w:t>
      </w:r>
    </w:p>
    <w:p w14:paraId="0163EB5F">
      <w:pPr>
        <w:spacing w:line="360" w:lineRule="auto"/>
        <w:ind w:firstLine="480" w:firstLineChars="200"/>
        <w:outlineLvl w:val="3"/>
        <w:rPr>
          <w:rFonts w:eastAsia="宋体"/>
          <w:sz w:val="24"/>
          <w:szCs w:val="21"/>
          <w:highlight w:val="none"/>
        </w:rPr>
      </w:pPr>
      <w:r>
        <w:rPr>
          <w:rFonts w:eastAsia="宋体"/>
          <w:sz w:val="24"/>
          <w:szCs w:val="21"/>
          <w:highlight w:val="none"/>
        </w:rPr>
        <w:t>6.4</w:t>
      </w:r>
      <w:r>
        <w:rPr>
          <w:rFonts w:hint="eastAsia" w:eastAsia="宋体"/>
          <w:sz w:val="24"/>
          <w:szCs w:val="21"/>
          <w:highlight w:val="none"/>
          <w:lang w:eastAsia="zh-CN"/>
        </w:rPr>
        <w:t>遴选</w:t>
      </w:r>
      <w:r>
        <w:rPr>
          <w:rFonts w:eastAsia="宋体"/>
          <w:sz w:val="24"/>
          <w:szCs w:val="21"/>
          <w:highlight w:val="none"/>
        </w:rPr>
        <w:t>小组不向未成交供应商解释落选原因，不退还响应文件。</w:t>
      </w:r>
    </w:p>
    <w:p w14:paraId="066053E1">
      <w:pPr>
        <w:spacing w:line="360" w:lineRule="auto"/>
        <w:ind w:firstLine="480" w:firstLineChars="200"/>
        <w:rPr>
          <w:rFonts w:eastAsia="宋体"/>
          <w:sz w:val="24"/>
          <w:szCs w:val="21"/>
          <w:highlight w:val="none"/>
        </w:rPr>
      </w:pPr>
      <w:r>
        <w:rPr>
          <w:rFonts w:eastAsia="宋体"/>
          <w:sz w:val="24"/>
          <w:szCs w:val="21"/>
          <w:highlight w:val="none"/>
        </w:rPr>
        <w:t>6.5所有供应商自行承担与响应有关的全部费用。采购人在任何情况下均不承担该费用。</w:t>
      </w:r>
    </w:p>
    <w:p w14:paraId="6DAE509D">
      <w:pPr>
        <w:pStyle w:val="6"/>
        <w:keepNext w:val="0"/>
        <w:keepLines w:val="0"/>
        <w:adjustRightInd/>
        <w:spacing w:before="0" w:after="0" w:line="360" w:lineRule="auto"/>
        <w:ind w:firstLine="482" w:firstLineChars="200"/>
        <w:rPr>
          <w:rFonts w:ascii="Times New Roman"/>
          <w:sz w:val="24"/>
          <w:szCs w:val="21"/>
          <w:highlight w:val="none"/>
        </w:rPr>
      </w:pPr>
      <w:bookmarkStart w:id="97" w:name="_Toc497016085"/>
      <w:r>
        <w:rPr>
          <w:rFonts w:ascii="Times New Roman"/>
          <w:sz w:val="24"/>
          <w:szCs w:val="21"/>
          <w:highlight w:val="none"/>
        </w:rPr>
        <w:t>7. 供应商诚信管理</w:t>
      </w:r>
      <w:bookmarkEnd w:id="97"/>
    </w:p>
    <w:p w14:paraId="56DA8FF8">
      <w:pPr>
        <w:spacing w:line="360" w:lineRule="auto"/>
        <w:ind w:firstLine="480" w:firstLineChars="200"/>
        <w:rPr>
          <w:rFonts w:eastAsia="宋体"/>
          <w:sz w:val="24"/>
          <w:szCs w:val="21"/>
          <w:highlight w:val="none"/>
        </w:rPr>
      </w:pPr>
      <w:r>
        <w:rPr>
          <w:rFonts w:eastAsia="宋体"/>
          <w:sz w:val="24"/>
          <w:szCs w:val="21"/>
          <w:highlight w:val="none"/>
        </w:rPr>
        <w:t>7.1供应商在本</w:t>
      </w:r>
      <w:r>
        <w:rPr>
          <w:rFonts w:hint="eastAsia" w:eastAsia="宋体"/>
          <w:sz w:val="24"/>
          <w:szCs w:val="21"/>
          <w:highlight w:val="none"/>
          <w:lang w:eastAsia="zh-CN"/>
        </w:rPr>
        <w:t>遴选</w:t>
      </w:r>
      <w:r>
        <w:rPr>
          <w:rFonts w:eastAsia="宋体"/>
          <w:sz w:val="24"/>
          <w:szCs w:val="21"/>
          <w:highlight w:val="none"/>
        </w:rPr>
        <w:t>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14:paraId="1DB01353">
      <w:pPr>
        <w:spacing w:line="360" w:lineRule="auto"/>
        <w:ind w:firstLine="480" w:firstLineChars="200"/>
        <w:rPr>
          <w:rFonts w:eastAsia="宋体"/>
          <w:sz w:val="24"/>
          <w:szCs w:val="21"/>
          <w:highlight w:val="none"/>
        </w:rPr>
      </w:pPr>
      <w:r>
        <w:rPr>
          <w:rFonts w:eastAsia="宋体"/>
          <w:sz w:val="24"/>
          <w:szCs w:val="21"/>
          <w:highlight w:val="none"/>
        </w:rPr>
        <w:t>7.2 如果采购人有证据表明供应商在本</w:t>
      </w:r>
      <w:r>
        <w:rPr>
          <w:rFonts w:hint="eastAsia" w:eastAsia="宋体"/>
          <w:sz w:val="24"/>
          <w:szCs w:val="21"/>
          <w:highlight w:val="none"/>
          <w:lang w:eastAsia="zh-CN"/>
        </w:rPr>
        <w:t>遴选</w:t>
      </w:r>
      <w:r>
        <w:rPr>
          <w:rFonts w:eastAsia="宋体"/>
          <w:sz w:val="24"/>
          <w:szCs w:val="21"/>
          <w:highlight w:val="none"/>
        </w:rPr>
        <w:t>项目的竞争中存在腐败、欺诈或其他严重违背诚信原则的行为，则将拒绝其响应。</w:t>
      </w:r>
    </w:p>
    <w:p w14:paraId="1B70BDC2">
      <w:pPr>
        <w:spacing w:line="360" w:lineRule="auto"/>
        <w:ind w:firstLine="480" w:firstLineChars="200"/>
        <w:outlineLvl w:val="3"/>
        <w:rPr>
          <w:rFonts w:eastAsia="宋体"/>
          <w:sz w:val="24"/>
          <w:szCs w:val="21"/>
          <w:highlight w:val="none"/>
        </w:rPr>
      </w:pPr>
      <w:r>
        <w:rPr>
          <w:rFonts w:eastAsia="宋体"/>
          <w:sz w:val="24"/>
          <w:szCs w:val="21"/>
          <w:highlight w:val="none"/>
        </w:rPr>
        <w:t>7.3 供应商有下列情形之一，将作不良诚信记录</w:t>
      </w:r>
      <w:r>
        <w:rPr>
          <w:rFonts w:hint="eastAsia" w:eastAsia="宋体"/>
          <w:sz w:val="24"/>
          <w:szCs w:val="21"/>
          <w:highlight w:val="none"/>
        </w:rPr>
        <w:t>：</w:t>
      </w:r>
    </w:p>
    <w:p w14:paraId="557BB90C">
      <w:pPr>
        <w:spacing w:line="360" w:lineRule="auto"/>
        <w:ind w:firstLine="480" w:firstLineChars="200"/>
        <w:rPr>
          <w:rFonts w:eastAsia="宋体"/>
          <w:sz w:val="24"/>
          <w:szCs w:val="21"/>
          <w:highlight w:val="none"/>
        </w:rPr>
      </w:pPr>
      <w:r>
        <w:rPr>
          <w:rFonts w:eastAsia="宋体"/>
          <w:sz w:val="24"/>
          <w:szCs w:val="21"/>
          <w:highlight w:val="none"/>
        </w:rPr>
        <w:t>（1）提供虚假材料参加政府采购活动谋取成交的；</w:t>
      </w:r>
    </w:p>
    <w:p w14:paraId="6AB5C3E6">
      <w:pPr>
        <w:spacing w:line="360" w:lineRule="auto"/>
        <w:ind w:firstLine="480" w:firstLineChars="200"/>
        <w:rPr>
          <w:rFonts w:eastAsia="宋体"/>
          <w:sz w:val="24"/>
          <w:szCs w:val="21"/>
          <w:highlight w:val="none"/>
        </w:rPr>
      </w:pPr>
      <w:r>
        <w:rPr>
          <w:rFonts w:eastAsia="宋体"/>
          <w:sz w:val="24"/>
          <w:szCs w:val="21"/>
          <w:highlight w:val="none"/>
        </w:rPr>
        <w:t>（2）开启响应文件后擅自撤销响应，影响</w:t>
      </w:r>
      <w:r>
        <w:rPr>
          <w:rFonts w:hint="eastAsia" w:eastAsia="宋体"/>
          <w:sz w:val="24"/>
          <w:szCs w:val="21"/>
          <w:highlight w:val="none"/>
          <w:lang w:eastAsia="zh-CN"/>
        </w:rPr>
        <w:t>遴选</w:t>
      </w:r>
      <w:r>
        <w:rPr>
          <w:rFonts w:eastAsia="宋体"/>
          <w:sz w:val="24"/>
          <w:szCs w:val="21"/>
          <w:highlight w:val="none"/>
        </w:rPr>
        <w:t>继续进行的；</w:t>
      </w:r>
    </w:p>
    <w:p w14:paraId="695E75E9">
      <w:pPr>
        <w:spacing w:line="360" w:lineRule="auto"/>
        <w:ind w:firstLine="480" w:firstLineChars="200"/>
        <w:rPr>
          <w:rFonts w:eastAsia="宋体"/>
          <w:sz w:val="24"/>
          <w:szCs w:val="21"/>
          <w:highlight w:val="none"/>
        </w:rPr>
      </w:pPr>
      <w:r>
        <w:rPr>
          <w:rFonts w:eastAsia="宋体"/>
          <w:sz w:val="24"/>
          <w:szCs w:val="21"/>
          <w:highlight w:val="none"/>
        </w:rPr>
        <w:t>（3）采取不正当手段诋毁、排挤其他供应商的；</w:t>
      </w:r>
    </w:p>
    <w:p w14:paraId="3DD66D81">
      <w:pPr>
        <w:spacing w:line="360" w:lineRule="auto"/>
        <w:ind w:firstLine="480" w:firstLineChars="200"/>
        <w:rPr>
          <w:rFonts w:eastAsia="宋体"/>
          <w:sz w:val="24"/>
          <w:szCs w:val="21"/>
          <w:highlight w:val="none"/>
        </w:rPr>
      </w:pPr>
      <w:r>
        <w:rPr>
          <w:rFonts w:eastAsia="宋体"/>
          <w:sz w:val="24"/>
          <w:szCs w:val="21"/>
          <w:highlight w:val="none"/>
        </w:rPr>
        <w:t>（4）与采购人</w:t>
      </w:r>
      <w:r>
        <w:rPr>
          <w:rFonts w:hint="eastAsia" w:eastAsia="宋体"/>
          <w:sz w:val="24"/>
          <w:szCs w:val="21"/>
          <w:highlight w:val="none"/>
          <w:lang w:val="en-US" w:eastAsia="zh-CN"/>
        </w:rPr>
        <w:t>或</w:t>
      </w:r>
      <w:r>
        <w:rPr>
          <w:rFonts w:eastAsia="宋体"/>
          <w:sz w:val="24"/>
          <w:szCs w:val="21"/>
          <w:highlight w:val="none"/>
        </w:rPr>
        <w:t>其他供应商恶意串通的；</w:t>
      </w:r>
    </w:p>
    <w:p w14:paraId="204C3C9D">
      <w:pPr>
        <w:spacing w:line="360" w:lineRule="auto"/>
        <w:ind w:firstLine="480" w:firstLineChars="200"/>
        <w:rPr>
          <w:rFonts w:eastAsia="宋体"/>
          <w:sz w:val="24"/>
          <w:szCs w:val="21"/>
          <w:highlight w:val="none"/>
        </w:rPr>
      </w:pPr>
      <w:r>
        <w:rPr>
          <w:rFonts w:eastAsia="宋体"/>
          <w:sz w:val="24"/>
          <w:szCs w:val="21"/>
          <w:highlight w:val="none"/>
        </w:rPr>
        <w:t>（5）成交后无正当理由拒绝签订合同的；</w:t>
      </w:r>
    </w:p>
    <w:p w14:paraId="09317141">
      <w:pPr>
        <w:spacing w:line="360" w:lineRule="auto"/>
        <w:ind w:firstLine="480" w:firstLineChars="200"/>
        <w:rPr>
          <w:rFonts w:eastAsia="宋体"/>
          <w:sz w:val="24"/>
          <w:szCs w:val="21"/>
          <w:highlight w:val="none"/>
        </w:rPr>
      </w:pPr>
      <w:r>
        <w:rPr>
          <w:rFonts w:eastAsia="宋体"/>
          <w:sz w:val="24"/>
          <w:szCs w:val="21"/>
          <w:highlight w:val="none"/>
        </w:rPr>
        <w:t>（6）无正当理由拒绝履行合同的；</w:t>
      </w:r>
    </w:p>
    <w:p w14:paraId="742CE990">
      <w:pPr>
        <w:spacing w:line="360" w:lineRule="auto"/>
        <w:ind w:firstLine="480" w:firstLineChars="200"/>
        <w:rPr>
          <w:rFonts w:eastAsia="宋体"/>
          <w:sz w:val="24"/>
          <w:szCs w:val="21"/>
          <w:highlight w:val="none"/>
        </w:rPr>
      </w:pPr>
      <w:r>
        <w:rPr>
          <w:rFonts w:eastAsia="宋体"/>
          <w:sz w:val="24"/>
          <w:szCs w:val="21"/>
          <w:highlight w:val="none"/>
        </w:rPr>
        <w:t>（7）故意提供假冒伪劣产品或走私物品的；</w:t>
      </w:r>
    </w:p>
    <w:p w14:paraId="76C768FC">
      <w:pPr>
        <w:spacing w:line="360" w:lineRule="auto"/>
        <w:ind w:firstLine="480" w:firstLineChars="200"/>
        <w:rPr>
          <w:rFonts w:eastAsia="宋体"/>
          <w:sz w:val="24"/>
          <w:szCs w:val="21"/>
          <w:highlight w:val="none"/>
        </w:rPr>
      </w:pPr>
      <w:r>
        <w:rPr>
          <w:rFonts w:eastAsia="宋体"/>
          <w:sz w:val="24"/>
          <w:szCs w:val="21"/>
          <w:highlight w:val="none"/>
        </w:rPr>
        <w:t>（8）拒绝提供售后服务，给采购人造成损害的；</w:t>
      </w:r>
    </w:p>
    <w:p w14:paraId="44024D04">
      <w:pPr>
        <w:spacing w:line="360" w:lineRule="auto"/>
        <w:ind w:firstLine="480" w:firstLineChars="200"/>
        <w:rPr>
          <w:rFonts w:eastAsia="宋体"/>
          <w:sz w:val="24"/>
          <w:szCs w:val="21"/>
          <w:highlight w:val="none"/>
        </w:rPr>
      </w:pPr>
      <w:r>
        <w:rPr>
          <w:rFonts w:eastAsia="宋体"/>
          <w:sz w:val="24"/>
          <w:szCs w:val="21"/>
          <w:highlight w:val="none"/>
        </w:rPr>
        <w:t>（9）恶意投诉，给采购人造成损害的；</w:t>
      </w:r>
    </w:p>
    <w:p w14:paraId="246B0FFC">
      <w:pPr>
        <w:spacing w:line="360" w:lineRule="auto"/>
        <w:ind w:firstLine="480" w:firstLineChars="200"/>
        <w:rPr>
          <w:rFonts w:eastAsia="宋体"/>
          <w:sz w:val="24"/>
          <w:szCs w:val="21"/>
          <w:highlight w:val="none"/>
        </w:rPr>
      </w:pPr>
      <w:r>
        <w:rPr>
          <w:rFonts w:eastAsia="宋体"/>
          <w:sz w:val="24"/>
          <w:szCs w:val="21"/>
          <w:highlight w:val="none"/>
        </w:rPr>
        <w:t>（10）拒绝有关部门监督检查或者提供虚假情况的；</w:t>
      </w:r>
    </w:p>
    <w:p w14:paraId="2704A426">
      <w:pPr>
        <w:spacing w:line="360" w:lineRule="auto"/>
        <w:ind w:firstLine="480" w:firstLineChars="200"/>
        <w:rPr>
          <w:rFonts w:eastAsia="宋体"/>
          <w:sz w:val="24"/>
          <w:szCs w:val="21"/>
          <w:highlight w:val="none"/>
        </w:rPr>
      </w:pPr>
      <w:r>
        <w:rPr>
          <w:rFonts w:eastAsia="宋体"/>
          <w:sz w:val="24"/>
          <w:szCs w:val="21"/>
          <w:highlight w:val="none"/>
        </w:rPr>
        <w:t>（11）经认定的其他有违诚实信用的行为。</w:t>
      </w:r>
    </w:p>
    <w:p w14:paraId="3ADC50FD">
      <w:pPr>
        <w:spacing w:line="360" w:lineRule="auto"/>
        <w:ind w:firstLine="480" w:firstLineChars="200"/>
        <w:rPr>
          <w:rFonts w:eastAsia="宋体"/>
          <w:sz w:val="24"/>
          <w:szCs w:val="21"/>
          <w:highlight w:val="none"/>
        </w:rPr>
      </w:pPr>
    </w:p>
    <w:p w14:paraId="0F2DB895">
      <w:pPr>
        <w:pStyle w:val="4"/>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98" w:name="_Toc169861815"/>
      <w:r>
        <w:rPr>
          <w:rFonts w:ascii="Times New Roman" w:hAnsi="Times New Roman" w:eastAsia="宋体"/>
          <w:sz w:val="24"/>
          <w:szCs w:val="21"/>
          <w:highlight w:val="none"/>
        </w:rPr>
        <w:t>二、</w:t>
      </w:r>
      <w:r>
        <w:rPr>
          <w:rFonts w:hint="eastAsia" w:ascii="Times New Roman" w:hAnsi="Times New Roman" w:eastAsia="宋体"/>
          <w:sz w:val="24"/>
          <w:szCs w:val="21"/>
          <w:highlight w:val="none"/>
          <w:lang w:eastAsia="zh-CN"/>
        </w:rPr>
        <w:t>遴选</w:t>
      </w:r>
      <w:r>
        <w:rPr>
          <w:rFonts w:ascii="Times New Roman" w:hAnsi="Times New Roman" w:eastAsia="宋体"/>
          <w:sz w:val="24"/>
          <w:szCs w:val="21"/>
          <w:highlight w:val="none"/>
        </w:rPr>
        <w:t>文件说明</w:t>
      </w:r>
      <w:bookmarkEnd w:id="81"/>
      <w:bookmarkEnd w:id="82"/>
      <w:bookmarkEnd w:id="83"/>
      <w:bookmarkEnd w:id="84"/>
      <w:bookmarkEnd w:id="85"/>
      <w:bookmarkEnd w:id="98"/>
    </w:p>
    <w:p w14:paraId="5A96B68E">
      <w:pPr>
        <w:pStyle w:val="6"/>
        <w:keepNext w:val="0"/>
        <w:keepLines w:val="0"/>
        <w:adjustRightInd/>
        <w:spacing w:before="0" w:after="0" w:line="360" w:lineRule="auto"/>
        <w:ind w:firstLine="482" w:firstLineChars="200"/>
        <w:rPr>
          <w:rFonts w:ascii="Times New Roman"/>
          <w:sz w:val="24"/>
          <w:szCs w:val="21"/>
          <w:highlight w:val="none"/>
        </w:rPr>
      </w:pPr>
      <w:bookmarkStart w:id="99" w:name="_Toc110953836"/>
      <w:bookmarkStart w:id="100" w:name="_Toc6882677"/>
      <w:bookmarkStart w:id="101" w:name="_Toc466786436"/>
      <w:bookmarkStart w:id="102" w:name="_Toc507407361"/>
      <w:bookmarkStart w:id="103" w:name="_Toc6968689"/>
      <w:bookmarkStart w:id="104" w:name="_Toc102277758"/>
      <w:r>
        <w:rPr>
          <w:rFonts w:ascii="Times New Roman"/>
          <w:sz w:val="24"/>
          <w:szCs w:val="21"/>
          <w:highlight w:val="none"/>
        </w:rPr>
        <w:t>8.</w:t>
      </w:r>
      <w:r>
        <w:rPr>
          <w:rFonts w:hint="eastAsia" w:ascii="Times New Roman"/>
          <w:sz w:val="24"/>
          <w:szCs w:val="21"/>
          <w:highlight w:val="none"/>
        </w:rPr>
        <w:t xml:space="preserve"> </w:t>
      </w:r>
      <w:r>
        <w:rPr>
          <w:rFonts w:hint="eastAsia" w:ascii="Times New Roman"/>
          <w:sz w:val="24"/>
          <w:szCs w:val="21"/>
          <w:highlight w:val="none"/>
          <w:lang w:eastAsia="zh-CN"/>
        </w:rPr>
        <w:t>遴选</w:t>
      </w:r>
      <w:r>
        <w:rPr>
          <w:rFonts w:ascii="Times New Roman"/>
          <w:sz w:val="24"/>
          <w:szCs w:val="21"/>
          <w:highlight w:val="none"/>
        </w:rPr>
        <w:t>文件构成</w:t>
      </w:r>
      <w:bookmarkEnd w:id="99"/>
    </w:p>
    <w:p w14:paraId="6BCDB85F">
      <w:pPr>
        <w:spacing w:line="360" w:lineRule="auto"/>
        <w:ind w:firstLine="480" w:firstLineChars="200"/>
        <w:rPr>
          <w:rFonts w:eastAsia="宋体"/>
          <w:sz w:val="24"/>
          <w:szCs w:val="21"/>
          <w:highlight w:val="none"/>
        </w:rPr>
      </w:pPr>
      <w:r>
        <w:rPr>
          <w:rFonts w:eastAsia="宋体"/>
          <w:sz w:val="24"/>
          <w:szCs w:val="21"/>
          <w:highlight w:val="none"/>
        </w:rPr>
        <w:t>8.1</w:t>
      </w:r>
      <w:r>
        <w:rPr>
          <w:rFonts w:hint="eastAsia" w:eastAsia="宋体"/>
          <w:sz w:val="24"/>
          <w:szCs w:val="21"/>
          <w:highlight w:val="none"/>
          <w:lang w:eastAsia="zh-CN"/>
        </w:rPr>
        <w:t>遴选</w:t>
      </w:r>
      <w:r>
        <w:rPr>
          <w:rFonts w:eastAsia="宋体"/>
          <w:sz w:val="24"/>
          <w:szCs w:val="21"/>
          <w:highlight w:val="none"/>
        </w:rPr>
        <w:t>文件用以阐明项目情况、评审程序、评审办法、定标标准和合同条款参考范本和响应文件的制作等，由</w:t>
      </w:r>
      <w:r>
        <w:rPr>
          <w:rFonts w:hint="eastAsia" w:eastAsia="宋体"/>
          <w:sz w:val="24"/>
          <w:szCs w:val="21"/>
          <w:highlight w:val="none"/>
          <w:lang w:eastAsia="zh-CN"/>
        </w:rPr>
        <w:t>遴选</w:t>
      </w:r>
      <w:r>
        <w:rPr>
          <w:rFonts w:eastAsia="宋体"/>
          <w:sz w:val="24"/>
          <w:szCs w:val="21"/>
          <w:highlight w:val="none"/>
        </w:rPr>
        <w:t>邀请函、采购需求、供应商须知</w:t>
      </w:r>
      <w:r>
        <w:rPr>
          <w:rFonts w:hint="eastAsia" w:eastAsia="宋体"/>
          <w:sz w:val="24"/>
          <w:szCs w:val="21"/>
          <w:highlight w:val="none"/>
        </w:rPr>
        <w:t>、</w:t>
      </w:r>
      <w:r>
        <w:rPr>
          <w:rFonts w:eastAsia="宋体"/>
          <w:sz w:val="24"/>
          <w:szCs w:val="21"/>
          <w:highlight w:val="none"/>
        </w:rPr>
        <w:t>评审办法、合同范本</w:t>
      </w:r>
      <w:r>
        <w:rPr>
          <w:rFonts w:hint="eastAsia" w:eastAsia="宋体"/>
          <w:sz w:val="24"/>
          <w:szCs w:val="21"/>
          <w:highlight w:val="none"/>
        </w:rPr>
        <w:t>和</w:t>
      </w:r>
      <w:r>
        <w:rPr>
          <w:rFonts w:eastAsia="宋体"/>
          <w:sz w:val="24"/>
          <w:szCs w:val="21"/>
          <w:highlight w:val="none"/>
        </w:rPr>
        <w:t>响应文件格式构成。</w:t>
      </w:r>
    </w:p>
    <w:p w14:paraId="49970B6C">
      <w:pPr>
        <w:pStyle w:val="6"/>
        <w:keepNext w:val="0"/>
        <w:keepLines w:val="0"/>
        <w:adjustRightInd/>
        <w:spacing w:before="0" w:after="0" w:line="360" w:lineRule="auto"/>
        <w:ind w:firstLine="482" w:firstLineChars="200"/>
        <w:rPr>
          <w:rFonts w:ascii="Times New Roman"/>
          <w:sz w:val="24"/>
          <w:szCs w:val="21"/>
          <w:highlight w:val="none"/>
        </w:rPr>
      </w:pPr>
      <w:bookmarkStart w:id="105" w:name="_Toc110953837"/>
      <w:r>
        <w:rPr>
          <w:rFonts w:ascii="Times New Roman"/>
          <w:sz w:val="24"/>
          <w:szCs w:val="21"/>
          <w:highlight w:val="none"/>
        </w:rPr>
        <w:t>9.</w:t>
      </w:r>
      <w:r>
        <w:rPr>
          <w:rFonts w:hint="eastAsia" w:ascii="Times New Roman"/>
          <w:sz w:val="24"/>
          <w:szCs w:val="21"/>
          <w:highlight w:val="none"/>
        </w:rPr>
        <w:t xml:space="preserve"> </w:t>
      </w:r>
      <w:r>
        <w:rPr>
          <w:rFonts w:hint="eastAsia" w:ascii="Times New Roman"/>
          <w:sz w:val="24"/>
          <w:szCs w:val="21"/>
          <w:highlight w:val="none"/>
          <w:lang w:eastAsia="zh-CN"/>
        </w:rPr>
        <w:t>遴选</w:t>
      </w:r>
      <w:r>
        <w:rPr>
          <w:rFonts w:ascii="Times New Roman"/>
          <w:sz w:val="24"/>
          <w:szCs w:val="21"/>
          <w:highlight w:val="none"/>
        </w:rPr>
        <w:t>文件的修改</w:t>
      </w:r>
      <w:bookmarkEnd w:id="105"/>
    </w:p>
    <w:p w14:paraId="19C3690E">
      <w:pPr>
        <w:spacing w:line="360" w:lineRule="auto"/>
        <w:ind w:firstLine="480" w:firstLineChars="200"/>
        <w:rPr>
          <w:rFonts w:eastAsia="宋体"/>
          <w:sz w:val="24"/>
          <w:szCs w:val="21"/>
          <w:highlight w:val="none"/>
        </w:rPr>
      </w:pPr>
      <w:r>
        <w:rPr>
          <w:rFonts w:eastAsia="宋体"/>
          <w:sz w:val="24"/>
          <w:szCs w:val="21"/>
          <w:highlight w:val="none"/>
        </w:rPr>
        <w:t>9.1</w:t>
      </w:r>
      <w:r>
        <w:rPr>
          <w:rFonts w:hint="eastAsia" w:eastAsia="宋体"/>
          <w:sz w:val="24"/>
          <w:szCs w:val="21"/>
          <w:highlight w:val="none"/>
        </w:rPr>
        <w:t>在提交首次响应文件截止之日前，采购人有权以在医院官网发布公告的形式，对已发出的遴选文件进行必要的澄清或修改，该澄清或修改内容将作为遴选文件的组成部分。</w:t>
      </w:r>
    </w:p>
    <w:p w14:paraId="1B358778">
      <w:pPr>
        <w:spacing w:line="360" w:lineRule="auto"/>
        <w:ind w:firstLine="480" w:firstLineChars="200"/>
        <w:rPr>
          <w:rFonts w:eastAsia="宋体"/>
          <w:sz w:val="24"/>
          <w:szCs w:val="21"/>
          <w:highlight w:val="none"/>
        </w:rPr>
      </w:pPr>
      <w:r>
        <w:rPr>
          <w:rFonts w:eastAsia="宋体"/>
          <w:sz w:val="24"/>
          <w:szCs w:val="21"/>
          <w:highlight w:val="none"/>
        </w:rPr>
        <w:t>9.2</w:t>
      </w:r>
      <w:bookmarkEnd w:id="100"/>
      <w:bookmarkEnd w:id="101"/>
      <w:bookmarkEnd w:id="102"/>
      <w:bookmarkEnd w:id="103"/>
      <w:bookmarkEnd w:id="104"/>
      <w:bookmarkStart w:id="106" w:name="_Toc110953838"/>
      <w:bookmarkStart w:id="107" w:name="_Toc102277759"/>
      <w:bookmarkStart w:id="108" w:name="_Toc466786437"/>
      <w:bookmarkStart w:id="109" w:name="_Toc507407362"/>
      <w:bookmarkStart w:id="110" w:name="_Toc6968690"/>
      <w:bookmarkStart w:id="111" w:name="_Toc6882678"/>
      <w:r>
        <w:rPr>
          <w:rFonts w:hint="eastAsia" w:eastAsia="宋体"/>
          <w:sz w:val="24"/>
          <w:szCs w:val="21"/>
          <w:highlight w:val="none"/>
        </w:rPr>
        <w:t>若修改发布之日距提交响应文件截止时间不足5日，采购人将相应顺延提交响应文件的截止时间，以确保供应商有合理的准备时间。</w:t>
      </w:r>
    </w:p>
    <w:p w14:paraId="182566E8">
      <w:pPr>
        <w:spacing w:line="360" w:lineRule="auto"/>
        <w:rPr>
          <w:highlight w:val="none"/>
        </w:rPr>
      </w:pPr>
    </w:p>
    <w:p w14:paraId="2158156B">
      <w:pPr>
        <w:pStyle w:val="4"/>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12" w:name="_Toc169861816"/>
      <w:r>
        <w:rPr>
          <w:rFonts w:ascii="Times New Roman" w:hAnsi="Times New Roman" w:eastAsia="宋体"/>
          <w:sz w:val="24"/>
          <w:szCs w:val="21"/>
          <w:highlight w:val="none"/>
        </w:rPr>
        <w:t>三、响应文件的制作</w:t>
      </w:r>
      <w:bookmarkEnd w:id="106"/>
      <w:bookmarkEnd w:id="112"/>
    </w:p>
    <w:p w14:paraId="07F7C497">
      <w:pPr>
        <w:pStyle w:val="6"/>
        <w:keepNext w:val="0"/>
        <w:keepLines w:val="0"/>
        <w:adjustRightInd/>
        <w:spacing w:before="0" w:after="0" w:line="480" w:lineRule="exact"/>
        <w:ind w:firstLine="482" w:firstLineChars="200"/>
        <w:rPr>
          <w:rFonts w:hAnsi="宋体"/>
          <w:sz w:val="24"/>
          <w:szCs w:val="21"/>
          <w:highlight w:val="none"/>
        </w:rPr>
      </w:pPr>
      <w:bookmarkStart w:id="113" w:name="_Toc97109974"/>
      <w:bookmarkStart w:id="114" w:name="_Toc110953839"/>
      <w:bookmarkStart w:id="115" w:name="_Toc97112225"/>
      <w:bookmarkStart w:id="116" w:name="_Toc96940314"/>
      <w:bookmarkStart w:id="117" w:name="_Toc96934186"/>
      <w:bookmarkStart w:id="118" w:name="_Toc110953840"/>
      <w:r>
        <w:rPr>
          <w:rFonts w:hAnsi="宋体"/>
          <w:sz w:val="24"/>
          <w:szCs w:val="21"/>
          <w:highlight w:val="none"/>
        </w:rPr>
        <w:t>10.制作要求</w:t>
      </w:r>
      <w:bookmarkEnd w:id="113"/>
      <w:bookmarkEnd w:id="114"/>
      <w:bookmarkEnd w:id="115"/>
      <w:bookmarkEnd w:id="116"/>
      <w:bookmarkEnd w:id="117"/>
    </w:p>
    <w:p w14:paraId="22EB4B1B">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10.1供应商应当仔细阅读</w:t>
      </w:r>
      <w:r>
        <w:rPr>
          <w:rFonts w:hint="eastAsia" w:ascii="宋体" w:hAnsi="宋体" w:eastAsia="宋体"/>
          <w:sz w:val="24"/>
          <w:szCs w:val="21"/>
          <w:highlight w:val="none"/>
          <w:lang w:eastAsia="zh-CN"/>
        </w:rPr>
        <w:t>遴选</w:t>
      </w:r>
      <w:r>
        <w:rPr>
          <w:rFonts w:ascii="宋体" w:hAnsi="宋体" w:eastAsia="宋体"/>
          <w:sz w:val="24"/>
          <w:szCs w:val="21"/>
          <w:highlight w:val="none"/>
        </w:rPr>
        <w:t>文件的所有内容，按</w:t>
      </w:r>
      <w:r>
        <w:rPr>
          <w:rFonts w:hint="eastAsia" w:ascii="宋体" w:hAnsi="宋体" w:eastAsia="宋体"/>
          <w:sz w:val="24"/>
          <w:szCs w:val="21"/>
          <w:highlight w:val="none"/>
          <w:lang w:eastAsia="zh-CN"/>
        </w:rPr>
        <w:t>遴选</w:t>
      </w:r>
      <w:r>
        <w:rPr>
          <w:rFonts w:ascii="宋体" w:hAnsi="宋体" w:eastAsia="宋体"/>
          <w:sz w:val="24"/>
          <w:szCs w:val="21"/>
          <w:highlight w:val="none"/>
        </w:rPr>
        <w:t>文件的要求提供响应文件，并保证所提供的全部资料的真实性及对</w:t>
      </w:r>
      <w:r>
        <w:rPr>
          <w:rFonts w:hint="eastAsia" w:ascii="宋体" w:hAnsi="宋体" w:eastAsia="宋体"/>
          <w:sz w:val="24"/>
          <w:szCs w:val="21"/>
          <w:highlight w:val="none"/>
          <w:lang w:eastAsia="zh-CN"/>
        </w:rPr>
        <w:t>遴选</w:t>
      </w:r>
      <w:r>
        <w:rPr>
          <w:rFonts w:ascii="宋体" w:hAnsi="宋体" w:eastAsia="宋体"/>
          <w:sz w:val="24"/>
          <w:szCs w:val="21"/>
          <w:highlight w:val="none"/>
        </w:rPr>
        <w:t>文件作出实质性响应。</w:t>
      </w:r>
    </w:p>
    <w:p w14:paraId="1A37B375">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10.2供应商应按</w:t>
      </w:r>
      <w:r>
        <w:rPr>
          <w:rFonts w:hint="eastAsia" w:ascii="宋体" w:hAnsi="宋体" w:eastAsia="宋体"/>
          <w:sz w:val="24"/>
          <w:szCs w:val="21"/>
          <w:highlight w:val="none"/>
          <w:lang w:eastAsia="zh-CN"/>
        </w:rPr>
        <w:t>遴选</w:t>
      </w:r>
      <w:r>
        <w:rPr>
          <w:rFonts w:ascii="宋体" w:hAnsi="宋体" w:eastAsia="宋体"/>
          <w:sz w:val="24"/>
          <w:szCs w:val="21"/>
          <w:highlight w:val="none"/>
        </w:rPr>
        <w:t>文件中提供的响应文件格式制作响应文件。如有关表格不能满足填报需要，可以对表格格式作出相应调整，但不得更改表格的实质性内容。</w:t>
      </w:r>
    </w:p>
    <w:p w14:paraId="0F752725">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10.3供应商应提供</w:t>
      </w:r>
      <w:r>
        <w:rPr>
          <w:rFonts w:hint="eastAsia" w:ascii="宋体" w:hAnsi="宋体" w:eastAsia="宋体"/>
          <w:b/>
          <w:bCs/>
          <w:color w:val="000000"/>
          <w:sz w:val="24"/>
          <w:szCs w:val="21"/>
          <w:highlight w:val="none"/>
        </w:rPr>
        <w:t>响应文件正本一份、副本二份。</w:t>
      </w:r>
      <w:r>
        <w:rPr>
          <w:rFonts w:ascii="宋体" w:hAnsi="宋体" w:eastAsia="宋体"/>
          <w:sz w:val="24"/>
          <w:szCs w:val="21"/>
          <w:highlight w:val="none"/>
        </w:rPr>
        <w:t>在每一份响应文件上要明确注明“正本”或“副本”字样，一旦正本和副本有差异，以正本为准。</w:t>
      </w:r>
    </w:p>
    <w:p w14:paraId="2D711F91">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14:paraId="48DDA636">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10.5除供应商对错处作必要修改外，响应文件中不许有加行、涂改或改写。任何行间插字、涂改和增删，必须由供应商的法定代表人或委托代理人在修改处签字或加盖公章才有效。</w:t>
      </w:r>
    </w:p>
    <w:p w14:paraId="3EE6E947">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10.6电报、电话、传真、电子邮件形式的响应概不接受。</w:t>
      </w:r>
    </w:p>
    <w:bookmarkEnd w:id="118"/>
    <w:p w14:paraId="0ED8019F">
      <w:pPr>
        <w:pStyle w:val="6"/>
        <w:keepNext w:val="0"/>
        <w:keepLines w:val="0"/>
        <w:adjustRightInd/>
        <w:spacing w:before="0" w:after="0" w:line="480" w:lineRule="exact"/>
        <w:ind w:firstLine="482" w:firstLineChars="200"/>
        <w:rPr>
          <w:rFonts w:hAnsi="宋体"/>
          <w:sz w:val="24"/>
          <w:szCs w:val="21"/>
          <w:highlight w:val="none"/>
        </w:rPr>
      </w:pPr>
      <w:bookmarkStart w:id="119" w:name="_Toc97109975"/>
      <w:bookmarkStart w:id="120" w:name="_Toc97112226"/>
      <w:bookmarkStart w:id="121" w:name="_Toc96934187"/>
      <w:bookmarkStart w:id="122" w:name="_Toc96940315"/>
      <w:bookmarkStart w:id="123" w:name="_Toc185150707"/>
      <w:r>
        <w:rPr>
          <w:rFonts w:hAnsi="宋体"/>
          <w:sz w:val="24"/>
          <w:szCs w:val="21"/>
          <w:highlight w:val="none"/>
        </w:rPr>
        <w:t>11.响应文件的内容</w:t>
      </w:r>
      <w:bookmarkEnd w:id="119"/>
      <w:bookmarkEnd w:id="120"/>
      <w:bookmarkEnd w:id="121"/>
      <w:bookmarkEnd w:id="122"/>
    </w:p>
    <w:p w14:paraId="6184CB90">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11.1响应文件由</w:t>
      </w:r>
    </w:p>
    <w:p w14:paraId="5F92FE00">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w:t>
      </w:r>
      <w:r>
        <w:rPr>
          <w:rFonts w:ascii="宋体" w:hAnsi="宋体" w:eastAsia="宋体"/>
          <w:sz w:val="24"/>
          <w:szCs w:val="21"/>
          <w:highlight w:val="none"/>
        </w:rPr>
        <w:t>封面</w:t>
      </w:r>
      <w:r>
        <w:rPr>
          <w:rFonts w:hint="eastAsia" w:ascii="宋体" w:hAnsi="宋体" w:eastAsia="宋体"/>
          <w:sz w:val="24"/>
          <w:szCs w:val="21"/>
          <w:highlight w:val="none"/>
        </w:rPr>
        <w:t>；</w:t>
      </w:r>
    </w:p>
    <w:p w14:paraId="7FD976EA">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（2）</w:t>
      </w:r>
      <w:r>
        <w:rPr>
          <w:rFonts w:ascii="宋体" w:hAnsi="宋体" w:eastAsia="宋体"/>
          <w:sz w:val="24"/>
          <w:szCs w:val="21"/>
          <w:highlight w:val="none"/>
        </w:rPr>
        <w:t>目录</w:t>
      </w:r>
      <w:r>
        <w:rPr>
          <w:rFonts w:hint="eastAsia" w:ascii="宋体" w:hAnsi="宋体" w:eastAsia="宋体"/>
          <w:sz w:val="24"/>
          <w:szCs w:val="21"/>
          <w:highlight w:val="none"/>
        </w:rPr>
        <w:t>；</w:t>
      </w:r>
    </w:p>
    <w:p w14:paraId="76E5F086">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（3）响应书；</w:t>
      </w:r>
    </w:p>
    <w:p w14:paraId="1AF6EBF0">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（4）报价一览表；</w:t>
      </w:r>
    </w:p>
    <w:p w14:paraId="07C395F9">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hint="eastAsia" w:ascii="宋体" w:hAnsi="宋体" w:eastAsia="宋体"/>
          <w:sz w:val="24"/>
          <w:szCs w:val="21"/>
          <w:highlight w:val="none"/>
          <w:lang w:val="en-US" w:eastAsia="zh-CN"/>
        </w:rPr>
        <w:t>5</w:t>
      </w:r>
      <w:r>
        <w:rPr>
          <w:rFonts w:hint="eastAsia" w:ascii="宋体" w:hAnsi="宋体" w:eastAsia="宋体"/>
          <w:sz w:val="24"/>
          <w:szCs w:val="21"/>
          <w:highlight w:val="none"/>
        </w:rPr>
        <w:t>）法定代表人证明书；</w:t>
      </w:r>
    </w:p>
    <w:p w14:paraId="148DE180">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hint="eastAsia" w:ascii="宋体" w:hAnsi="宋体" w:eastAsia="宋体"/>
          <w:sz w:val="24"/>
          <w:szCs w:val="21"/>
          <w:highlight w:val="none"/>
          <w:lang w:val="en-US" w:eastAsia="zh-CN"/>
        </w:rPr>
        <w:t>6</w:t>
      </w:r>
      <w:r>
        <w:rPr>
          <w:rFonts w:hint="eastAsia" w:ascii="宋体" w:hAnsi="宋体" w:eastAsia="宋体"/>
          <w:sz w:val="24"/>
          <w:szCs w:val="21"/>
          <w:highlight w:val="none"/>
        </w:rPr>
        <w:t>）法定代表人授权委托书；</w:t>
      </w:r>
    </w:p>
    <w:p w14:paraId="576A8E01">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hint="eastAsia" w:ascii="宋体" w:hAnsi="宋体" w:eastAsia="宋体"/>
          <w:sz w:val="24"/>
          <w:szCs w:val="21"/>
          <w:highlight w:val="none"/>
          <w:lang w:val="en-US" w:eastAsia="zh-CN"/>
        </w:rPr>
        <w:t>7</w:t>
      </w:r>
      <w:r>
        <w:rPr>
          <w:rFonts w:hint="eastAsia" w:ascii="宋体" w:hAnsi="宋体" w:eastAsia="宋体"/>
          <w:sz w:val="24"/>
          <w:szCs w:val="21"/>
          <w:highlight w:val="none"/>
        </w:rPr>
        <w:t>）关于资格的声明函；</w:t>
      </w:r>
    </w:p>
    <w:p w14:paraId="3660368C">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hint="eastAsia" w:ascii="宋体" w:hAnsi="宋体" w:eastAsia="宋体"/>
          <w:sz w:val="24"/>
          <w:szCs w:val="21"/>
          <w:highlight w:val="none"/>
          <w:lang w:val="en-US" w:eastAsia="zh-CN"/>
        </w:rPr>
        <w:t>8</w:t>
      </w:r>
      <w:r>
        <w:rPr>
          <w:rFonts w:hint="eastAsia" w:ascii="宋体" w:hAnsi="宋体" w:eastAsia="宋体"/>
          <w:sz w:val="24"/>
          <w:szCs w:val="21"/>
          <w:highlight w:val="none"/>
        </w:rPr>
        <w:t>）响应资格证明书；</w:t>
      </w:r>
    </w:p>
    <w:p w14:paraId="2F14A2E2">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hint="eastAsia" w:ascii="宋体" w:hAnsi="宋体" w:eastAsia="宋体"/>
          <w:sz w:val="24"/>
          <w:szCs w:val="21"/>
          <w:highlight w:val="none"/>
          <w:lang w:val="en-US" w:eastAsia="zh-CN"/>
        </w:rPr>
        <w:t>9</w:t>
      </w:r>
      <w:r>
        <w:rPr>
          <w:rFonts w:hint="eastAsia" w:ascii="宋体" w:hAnsi="宋体" w:eastAsia="宋体"/>
          <w:sz w:val="24"/>
          <w:szCs w:val="21"/>
          <w:highlight w:val="none"/>
        </w:rPr>
        <w:t>）</w:t>
      </w:r>
      <w:r>
        <w:rPr>
          <w:rFonts w:hint="eastAsia" w:ascii="宋体" w:hAnsi="宋体" w:eastAsia="宋体" w:cs="宋体"/>
          <w:i w:val="0"/>
          <w:iCs w:val="0"/>
          <w:caps w:val="0"/>
          <w:color w:val="222222"/>
          <w:spacing w:val="0"/>
          <w:sz w:val="24"/>
          <w:szCs w:val="24"/>
          <w:highlight w:val="none"/>
          <w:shd w:val="clear" w:fill="FFFFFF"/>
          <w:lang w:val="en-US" w:eastAsia="zh-CN"/>
        </w:rPr>
        <w:t>遴选</w:t>
      </w:r>
      <w:r>
        <w:rPr>
          <w:rFonts w:hint="eastAsia" w:ascii="宋体" w:hAnsi="宋体" w:eastAsia="宋体" w:cs="宋体"/>
          <w:i w:val="0"/>
          <w:iCs w:val="0"/>
          <w:caps w:val="0"/>
          <w:color w:val="222222"/>
          <w:spacing w:val="0"/>
          <w:sz w:val="24"/>
          <w:szCs w:val="24"/>
          <w:highlight w:val="none"/>
          <w:shd w:val="clear" w:fill="FFFFFF"/>
          <w:lang w:eastAsia="zh-CN"/>
        </w:rPr>
        <w:t>响应</w:t>
      </w:r>
      <w:r>
        <w:rPr>
          <w:rFonts w:hint="eastAsia" w:ascii="宋体" w:hAnsi="宋体" w:eastAsia="宋体" w:cs="宋体"/>
          <w:i w:val="0"/>
          <w:iCs w:val="0"/>
          <w:caps w:val="0"/>
          <w:color w:val="222222"/>
          <w:spacing w:val="0"/>
          <w:sz w:val="24"/>
          <w:szCs w:val="24"/>
          <w:highlight w:val="none"/>
          <w:shd w:val="clear" w:fill="FFFFFF"/>
          <w:lang w:val="en-US" w:eastAsia="zh-CN"/>
        </w:rPr>
        <w:t>承诺</w:t>
      </w:r>
      <w:r>
        <w:rPr>
          <w:rFonts w:hint="eastAsia" w:ascii="宋体" w:hAnsi="宋体" w:eastAsia="宋体" w:cs="宋体"/>
          <w:i w:val="0"/>
          <w:iCs w:val="0"/>
          <w:caps w:val="0"/>
          <w:color w:val="222222"/>
          <w:spacing w:val="0"/>
          <w:sz w:val="24"/>
          <w:szCs w:val="24"/>
          <w:highlight w:val="none"/>
          <w:shd w:val="clear" w:fill="FFFFFF"/>
        </w:rPr>
        <w:t>函</w:t>
      </w:r>
      <w:r>
        <w:rPr>
          <w:rFonts w:hint="eastAsia" w:ascii="宋体" w:hAnsi="宋体" w:eastAsia="宋体"/>
          <w:sz w:val="24"/>
          <w:szCs w:val="21"/>
          <w:highlight w:val="none"/>
        </w:rPr>
        <w:t>；</w:t>
      </w:r>
    </w:p>
    <w:p w14:paraId="06B61824">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11.2响应报价</w:t>
      </w:r>
    </w:p>
    <w:p w14:paraId="25849250">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报价应为人民币全包价，包含项目所有的</w:t>
      </w:r>
      <w:r>
        <w:rPr>
          <w:rFonts w:hint="eastAsia" w:ascii="宋体" w:hAnsi="宋体" w:eastAsia="宋体" w:cs="宋体"/>
          <w:b w:val="0"/>
          <w:bCs w:val="0"/>
          <w:sz w:val="24"/>
          <w:szCs w:val="24"/>
          <w:highlight w:val="none"/>
          <w:lang w:val="en-US" w:eastAsia="zh-CN"/>
        </w:rPr>
        <w:t>人工、材料、工具、管理、利润、税金等费用</w:t>
      </w:r>
      <w:r>
        <w:rPr>
          <w:rFonts w:hint="eastAsia" w:ascii="宋体" w:hAnsi="宋体" w:eastAsia="宋体"/>
          <w:sz w:val="24"/>
          <w:szCs w:val="21"/>
          <w:highlight w:val="none"/>
        </w:rPr>
        <w:t>。</w:t>
      </w:r>
    </w:p>
    <w:p w14:paraId="0FC7D043">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（2）供应商应按响应文件的响应价格表格式填写响应内容的单价和总价。</w:t>
      </w:r>
    </w:p>
    <w:p w14:paraId="634161C5">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（3）经</w:t>
      </w:r>
      <w:r>
        <w:rPr>
          <w:rFonts w:hint="eastAsia" w:ascii="宋体" w:hAnsi="宋体" w:eastAsia="宋体"/>
          <w:sz w:val="24"/>
          <w:szCs w:val="21"/>
          <w:highlight w:val="none"/>
          <w:lang w:eastAsia="zh-CN"/>
        </w:rPr>
        <w:t>遴选</w:t>
      </w:r>
      <w:r>
        <w:rPr>
          <w:rFonts w:ascii="宋体" w:hAnsi="宋体" w:eastAsia="宋体"/>
          <w:sz w:val="24"/>
          <w:szCs w:val="21"/>
          <w:highlight w:val="none"/>
        </w:rPr>
        <w:t>后，供应商所报的最后</w:t>
      </w:r>
      <w:r>
        <w:rPr>
          <w:rFonts w:hint="eastAsia" w:ascii="宋体" w:hAnsi="宋体" w:eastAsia="宋体"/>
          <w:sz w:val="24"/>
          <w:szCs w:val="21"/>
          <w:highlight w:val="none"/>
          <w:lang w:val="en-US" w:eastAsia="zh-CN"/>
        </w:rPr>
        <w:t>响应</w:t>
      </w:r>
      <w:r>
        <w:rPr>
          <w:rFonts w:ascii="宋体" w:hAnsi="宋体" w:eastAsia="宋体"/>
          <w:sz w:val="24"/>
          <w:szCs w:val="21"/>
          <w:highlight w:val="none"/>
        </w:rPr>
        <w:t>报价在合同执行过程中是固定不变的，不得以任何理由予以变更。</w:t>
      </w:r>
    </w:p>
    <w:p w14:paraId="5DF2EBD3">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11.3供应商应当提交具备履行合同</w:t>
      </w:r>
      <w:r>
        <w:rPr>
          <w:rFonts w:hint="eastAsia" w:ascii="宋体" w:hAnsi="宋体" w:eastAsia="宋体"/>
          <w:sz w:val="24"/>
          <w:szCs w:val="21"/>
          <w:highlight w:val="none"/>
        </w:rPr>
        <w:t>能力</w:t>
      </w:r>
      <w:r>
        <w:rPr>
          <w:rFonts w:ascii="宋体" w:hAnsi="宋体" w:eastAsia="宋体"/>
          <w:sz w:val="24"/>
          <w:szCs w:val="21"/>
          <w:highlight w:val="none"/>
        </w:rPr>
        <w:t>的证明文件。</w:t>
      </w:r>
    </w:p>
    <w:p w14:paraId="2A7E3334">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11.4证明文件：技术能力证明，符合</w:t>
      </w:r>
      <w:r>
        <w:rPr>
          <w:rFonts w:hint="eastAsia" w:ascii="宋体" w:hAnsi="宋体" w:eastAsia="宋体"/>
          <w:sz w:val="24"/>
          <w:szCs w:val="21"/>
          <w:highlight w:val="none"/>
          <w:lang w:eastAsia="zh-CN"/>
        </w:rPr>
        <w:t>遴选</w:t>
      </w:r>
      <w:r>
        <w:rPr>
          <w:rFonts w:ascii="宋体" w:hAnsi="宋体" w:eastAsia="宋体"/>
          <w:sz w:val="24"/>
          <w:szCs w:val="21"/>
          <w:highlight w:val="none"/>
        </w:rPr>
        <w:t>文件要求的证明等。</w:t>
      </w:r>
    </w:p>
    <w:p w14:paraId="52F77553">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11.5证明服务的合格性和符合</w:t>
      </w:r>
      <w:r>
        <w:rPr>
          <w:rFonts w:hint="eastAsia" w:ascii="宋体" w:hAnsi="宋体" w:eastAsia="宋体"/>
          <w:sz w:val="24"/>
          <w:szCs w:val="21"/>
          <w:highlight w:val="none"/>
          <w:lang w:eastAsia="zh-CN"/>
        </w:rPr>
        <w:t>遴选</w:t>
      </w:r>
      <w:r>
        <w:rPr>
          <w:rFonts w:ascii="宋体" w:hAnsi="宋体" w:eastAsia="宋体"/>
          <w:sz w:val="24"/>
          <w:szCs w:val="21"/>
          <w:highlight w:val="none"/>
        </w:rPr>
        <w:t>文件规定的文件。</w:t>
      </w:r>
    </w:p>
    <w:p w14:paraId="50373FAA">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11.6供应商应提交其拟供的合同项下的服务的合格性符合</w:t>
      </w:r>
      <w:r>
        <w:rPr>
          <w:rFonts w:hint="eastAsia" w:ascii="宋体" w:hAnsi="宋体" w:eastAsia="宋体"/>
          <w:sz w:val="24"/>
          <w:szCs w:val="21"/>
          <w:highlight w:val="none"/>
          <w:lang w:eastAsia="zh-CN"/>
        </w:rPr>
        <w:t>遴选</w:t>
      </w:r>
      <w:r>
        <w:rPr>
          <w:rFonts w:ascii="宋体" w:hAnsi="宋体" w:eastAsia="宋体"/>
          <w:sz w:val="24"/>
          <w:szCs w:val="21"/>
          <w:highlight w:val="none"/>
        </w:rPr>
        <w:t>文件规定的证明文件，并作为其响应文件的一部分。</w:t>
      </w:r>
    </w:p>
    <w:p w14:paraId="697A73BA">
      <w:pPr>
        <w:spacing w:line="360" w:lineRule="auto"/>
        <w:ind w:firstLine="480" w:firstLineChars="200"/>
        <w:rPr>
          <w:rFonts w:ascii="宋体" w:hAnsi="宋体" w:eastAsia="宋体"/>
          <w:sz w:val="24"/>
          <w:szCs w:val="21"/>
          <w:highlight w:val="none"/>
        </w:rPr>
      </w:pPr>
      <w:r>
        <w:rPr>
          <w:rFonts w:ascii="宋体" w:hAnsi="宋体" w:eastAsia="宋体"/>
          <w:sz w:val="24"/>
          <w:szCs w:val="21"/>
          <w:highlight w:val="none"/>
        </w:rPr>
        <w:t>11.7服务合格性的证明文件应包括服务来源地的说明，服务与</w:t>
      </w:r>
      <w:r>
        <w:rPr>
          <w:rFonts w:hint="eastAsia" w:ascii="宋体" w:hAnsi="宋体" w:eastAsia="宋体"/>
          <w:sz w:val="24"/>
          <w:szCs w:val="21"/>
          <w:highlight w:val="none"/>
          <w:lang w:eastAsia="zh-CN"/>
        </w:rPr>
        <w:t>遴选</w:t>
      </w:r>
      <w:r>
        <w:rPr>
          <w:rFonts w:ascii="宋体" w:hAnsi="宋体" w:eastAsia="宋体"/>
          <w:sz w:val="24"/>
          <w:szCs w:val="21"/>
          <w:highlight w:val="none"/>
        </w:rPr>
        <w:t>文件的要求相一致的证明文件，其他说明所提供服务已对技术要求做出了实质性响应的文件或说明与技术规格条文的偏差和例外等，形式可以是文字说明、图纸及其他资料。</w:t>
      </w:r>
    </w:p>
    <w:p w14:paraId="3C055A1C">
      <w:pPr>
        <w:pStyle w:val="6"/>
        <w:keepNext w:val="0"/>
        <w:keepLines w:val="0"/>
        <w:adjustRightInd/>
        <w:spacing w:before="0" w:after="0" w:line="360" w:lineRule="auto"/>
        <w:ind w:firstLine="482" w:firstLineChars="200"/>
        <w:rPr>
          <w:rFonts w:hAnsi="宋体"/>
          <w:sz w:val="24"/>
          <w:szCs w:val="21"/>
          <w:highlight w:val="none"/>
        </w:rPr>
      </w:pPr>
      <w:bookmarkStart w:id="124" w:name="_Toc96940316"/>
      <w:bookmarkStart w:id="125" w:name="_Toc96934188"/>
      <w:bookmarkStart w:id="126" w:name="_Toc97109976"/>
      <w:bookmarkStart w:id="127" w:name="_Toc97112227"/>
      <w:bookmarkStart w:id="128" w:name="_Toc110953841"/>
      <w:r>
        <w:rPr>
          <w:rFonts w:hAnsi="宋体"/>
          <w:sz w:val="24"/>
          <w:szCs w:val="21"/>
          <w:highlight w:val="none"/>
        </w:rPr>
        <w:t>12.响应文件格式</w:t>
      </w:r>
      <w:bookmarkEnd w:id="124"/>
      <w:bookmarkEnd w:id="125"/>
      <w:bookmarkEnd w:id="126"/>
      <w:bookmarkEnd w:id="127"/>
      <w:bookmarkEnd w:id="128"/>
    </w:p>
    <w:p w14:paraId="47A75F8A">
      <w:pPr>
        <w:spacing w:line="360" w:lineRule="auto"/>
        <w:ind w:firstLine="480" w:firstLineChars="200"/>
        <w:rPr>
          <w:rFonts w:ascii="宋体" w:hAnsi="宋体" w:eastAsia="宋体"/>
          <w:sz w:val="24"/>
          <w:szCs w:val="21"/>
          <w:highlight w:val="none"/>
        </w:rPr>
      </w:pPr>
      <w:r>
        <w:rPr>
          <w:rFonts w:ascii="宋体" w:hAnsi="宋体" w:eastAsia="宋体"/>
          <w:sz w:val="24"/>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123"/>
    <w:p w14:paraId="4A49DB18">
      <w:pPr>
        <w:pStyle w:val="6"/>
        <w:keepNext w:val="0"/>
        <w:keepLines w:val="0"/>
        <w:adjustRightInd/>
        <w:spacing w:before="0" w:after="0" w:line="360" w:lineRule="auto"/>
        <w:ind w:firstLine="482" w:firstLineChars="200"/>
        <w:rPr>
          <w:rFonts w:ascii="Times New Roman"/>
          <w:sz w:val="24"/>
          <w:szCs w:val="21"/>
          <w:highlight w:val="none"/>
        </w:rPr>
      </w:pPr>
      <w:bookmarkStart w:id="129" w:name="_Toc480020258"/>
      <w:bookmarkStart w:id="130" w:name="_Toc110953842"/>
      <w:bookmarkStart w:id="131" w:name="_Toc480021054"/>
      <w:bookmarkStart w:id="132" w:name="_Toc480171880"/>
      <w:bookmarkStart w:id="133" w:name="_Toc468157537"/>
      <w:bookmarkStart w:id="134" w:name="_Toc454701382"/>
      <w:bookmarkStart w:id="135" w:name="_Toc480010709"/>
      <w:bookmarkStart w:id="136" w:name="_Toc467236741"/>
      <w:bookmarkStart w:id="137" w:name="_Toc503758471"/>
      <w:bookmarkStart w:id="138" w:name="_Toc458262615"/>
      <w:bookmarkStart w:id="139" w:name="_Toc467987824"/>
      <w:bookmarkStart w:id="140" w:name="_Toc468606030"/>
      <w:bookmarkStart w:id="141" w:name="_Toc479991583"/>
      <w:r>
        <w:rPr>
          <w:rFonts w:ascii="Times New Roman"/>
          <w:sz w:val="24"/>
          <w:szCs w:val="21"/>
          <w:highlight w:val="none"/>
        </w:rPr>
        <w:t>1</w:t>
      </w:r>
      <w:r>
        <w:rPr>
          <w:rFonts w:hint="eastAsia" w:ascii="Times New Roman"/>
          <w:sz w:val="24"/>
          <w:szCs w:val="21"/>
          <w:highlight w:val="none"/>
          <w:lang w:val="en-US" w:eastAsia="zh-CN"/>
        </w:rPr>
        <w:t>3</w:t>
      </w:r>
      <w:r>
        <w:rPr>
          <w:rFonts w:ascii="Times New Roman"/>
          <w:sz w:val="24"/>
          <w:szCs w:val="21"/>
          <w:highlight w:val="none"/>
        </w:rPr>
        <w:t>.响应有效期</w:t>
      </w:r>
      <w:bookmarkEnd w:id="129"/>
      <w:bookmarkEnd w:id="130"/>
      <w:bookmarkEnd w:id="131"/>
      <w:bookmarkEnd w:id="132"/>
      <w:bookmarkEnd w:id="133"/>
      <w:bookmarkEnd w:id="134"/>
      <w:bookmarkEnd w:id="135"/>
      <w:bookmarkEnd w:id="136"/>
      <w:bookmarkEnd w:id="137"/>
      <w:bookmarkEnd w:id="138"/>
      <w:bookmarkEnd w:id="139"/>
      <w:bookmarkEnd w:id="140"/>
      <w:bookmarkEnd w:id="141"/>
    </w:p>
    <w:p w14:paraId="09DF6788">
      <w:pPr>
        <w:spacing w:line="360" w:lineRule="auto"/>
        <w:ind w:firstLine="480" w:firstLineChars="200"/>
        <w:rPr>
          <w:rFonts w:eastAsia="宋体"/>
          <w:sz w:val="24"/>
          <w:szCs w:val="21"/>
          <w:highlight w:val="none"/>
        </w:rPr>
      </w:pPr>
      <w:r>
        <w:rPr>
          <w:rFonts w:eastAsia="宋体"/>
          <w:sz w:val="24"/>
          <w:szCs w:val="21"/>
          <w:highlight w:val="none"/>
        </w:rPr>
        <w:t>1</w:t>
      </w:r>
      <w:r>
        <w:rPr>
          <w:rFonts w:hint="eastAsia" w:eastAsia="宋体"/>
          <w:sz w:val="24"/>
          <w:szCs w:val="21"/>
          <w:highlight w:val="none"/>
          <w:lang w:val="en-US" w:eastAsia="zh-CN"/>
        </w:rPr>
        <w:t>3</w:t>
      </w:r>
      <w:r>
        <w:rPr>
          <w:rFonts w:eastAsia="宋体"/>
          <w:sz w:val="24"/>
          <w:szCs w:val="21"/>
          <w:highlight w:val="none"/>
        </w:rPr>
        <w:t>.1响应文件从开启响应文件之日起，响应有效期为30个工作日。</w:t>
      </w:r>
    </w:p>
    <w:p w14:paraId="79ECA875">
      <w:pPr>
        <w:spacing w:line="360" w:lineRule="auto"/>
        <w:ind w:firstLine="480" w:firstLineChars="200"/>
        <w:rPr>
          <w:rFonts w:eastAsia="宋体"/>
          <w:sz w:val="24"/>
          <w:szCs w:val="21"/>
          <w:highlight w:val="none"/>
        </w:rPr>
      </w:pPr>
      <w:r>
        <w:rPr>
          <w:rFonts w:eastAsia="宋体"/>
          <w:sz w:val="24"/>
          <w:szCs w:val="21"/>
          <w:highlight w:val="none"/>
        </w:rPr>
        <w:t>1</w:t>
      </w:r>
      <w:r>
        <w:rPr>
          <w:rFonts w:hint="eastAsia" w:eastAsia="宋体"/>
          <w:sz w:val="24"/>
          <w:szCs w:val="21"/>
          <w:highlight w:val="none"/>
          <w:lang w:val="en-US" w:eastAsia="zh-CN"/>
        </w:rPr>
        <w:t>3</w:t>
      </w:r>
      <w:r>
        <w:rPr>
          <w:rFonts w:eastAsia="宋体"/>
          <w:sz w:val="24"/>
          <w:szCs w:val="21"/>
          <w:highlight w:val="none"/>
        </w:rPr>
        <w:t>.2特殊情况下，采购</w:t>
      </w:r>
      <w:r>
        <w:rPr>
          <w:rFonts w:hint="eastAsia" w:eastAsia="宋体"/>
          <w:sz w:val="24"/>
          <w:szCs w:val="21"/>
          <w:highlight w:val="none"/>
          <w:lang w:val="en-US" w:eastAsia="zh-CN"/>
        </w:rPr>
        <w:t>人</w:t>
      </w:r>
      <w:r>
        <w:rPr>
          <w:rFonts w:eastAsia="宋体"/>
          <w:sz w:val="24"/>
          <w:szCs w:val="21"/>
          <w:highlight w:val="none"/>
        </w:rPr>
        <w:t>可于响应有效期期满之前，要求供应商同意延长响应有效期，要求与答复均应为书面形式。对于同意该要求的供应商，既不要求也不允许其修改响应文件。</w:t>
      </w:r>
    </w:p>
    <w:p w14:paraId="51CB1542">
      <w:pPr>
        <w:spacing w:line="360" w:lineRule="auto"/>
        <w:ind w:firstLine="480" w:firstLineChars="200"/>
        <w:rPr>
          <w:rFonts w:eastAsia="宋体"/>
          <w:sz w:val="24"/>
          <w:szCs w:val="21"/>
          <w:highlight w:val="none"/>
        </w:rPr>
      </w:pPr>
    </w:p>
    <w:p w14:paraId="4A30F65F">
      <w:pPr>
        <w:spacing w:line="360" w:lineRule="auto"/>
        <w:rPr>
          <w:rFonts w:eastAsia="宋体"/>
          <w:sz w:val="24"/>
          <w:szCs w:val="21"/>
          <w:highlight w:val="none"/>
        </w:rPr>
      </w:pPr>
    </w:p>
    <w:bookmarkEnd w:id="107"/>
    <w:bookmarkEnd w:id="108"/>
    <w:bookmarkEnd w:id="109"/>
    <w:bookmarkEnd w:id="110"/>
    <w:bookmarkEnd w:id="111"/>
    <w:p w14:paraId="0432C327">
      <w:pPr>
        <w:pStyle w:val="4"/>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42" w:name="_Toc169861817"/>
      <w:bookmarkStart w:id="143" w:name="_Toc110953843"/>
      <w:bookmarkStart w:id="144" w:name="_Toc466786438"/>
      <w:bookmarkStart w:id="145" w:name="_Toc102277760"/>
      <w:bookmarkStart w:id="146" w:name="_Toc6968691"/>
      <w:bookmarkStart w:id="147" w:name="_Toc507407363"/>
      <w:bookmarkStart w:id="148" w:name="_Toc6882679"/>
      <w:r>
        <w:rPr>
          <w:rFonts w:ascii="Times New Roman" w:hAnsi="Times New Roman" w:eastAsia="宋体"/>
          <w:sz w:val="24"/>
          <w:szCs w:val="21"/>
          <w:highlight w:val="none"/>
        </w:rPr>
        <w:t>四、响应文件的递交</w:t>
      </w:r>
      <w:bookmarkEnd w:id="142"/>
      <w:bookmarkEnd w:id="143"/>
    </w:p>
    <w:p w14:paraId="3EBED509">
      <w:pPr>
        <w:pStyle w:val="6"/>
        <w:keepNext w:val="0"/>
        <w:keepLines w:val="0"/>
        <w:adjustRightInd/>
        <w:spacing w:before="0" w:after="0" w:line="480" w:lineRule="exact"/>
        <w:ind w:firstLine="482" w:firstLineChars="200"/>
        <w:rPr>
          <w:rFonts w:hAnsi="宋体"/>
          <w:sz w:val="24"/>
          <w:szCs w:val="21"/>
          <w:highlight w:val="none"/>
        </w:rPr>
      </w:pPr>
      <w:bookmarkStart w:id="149" w:name="_Toc97112231"/>
      <w:bookmarkStart w:id="150" w:name="_Toc96940320"/>
      <w:bookmarkStart w:id="151" w:name="_Toc97109980"/>
      <w:bookmarkStart w:id="152" w:name="_Toc110953844"/>
      <w:bookmarkStart w:id="153" w:name="_Toc96934192"/>
      <w:r>
        <w:rPr>
          <w:rFonts w:hAnsi="宋体"/>
          <w:sz w:val="24"/>
          <w:szCs w:val="21"/>
          <w:highlight w:val="none"/>
        </w:rPr>
        <w:t>1</w:t>
      </w:r>
      <w:r>
        <w:rPr>
          <w:rFonts w:hint="eastAsia" w:hAnsi="宋体"/>
          <w:sz w:val="24"/>
          <w:szCs w:val="21"/>
          <w:highlight w:val="none"/>
          <w:lang w:val="en-US" w:eastAsia="zh-CN"/>
        </w:rPr>
        <w:t>4</w:t>
      </w:r>
      <w:r>
        <w:rPr>
          <w:rFonts w:hAnsi="宋体"/>
          <w:sz w:val="24"/>
          <w:szCs w:val="21"/>
          <w:highlight w:val="none"/>
        </w:rPr>
        <w:t>.响应文件的密封和标记</w:t>
      </w:r>
      <w:bookmarkEnd w:id="149"/>
      <w:bookmarkEnd w:id="150"/>
      <w:bookmarkEnd w:id="151"/>
      <w:bookmarkEnd w:id="152"/>
      <w:bookmarkEnd w:id="153"/>
    </w:p>
    <w:p w14:paraId="13DFE965">
      <w:pPr>
        <w:spacing w:line="480" w:lineRule="exact"/>
        <w:ind w:firstLine="482" w:firstLineChars="200"/>
        <w:rPr>
          <w:rFonts w:ascii="宋体" w:hAnsi="宋体" w:eastAsia="宋体"/>
          <w:b/>
          <w:bCs/>
          <w:sz w:val="24"/>
          <w:szCs w:val="21"/>
          <w:highlight w:val="none"/>
        </w:rPr>
      </w:pPr>
      <w:r>
        <w:rPr>
          <w:rFonts w:ascii="宋体" w:hAnsi="宋体" w:eastAsia="宋体"/>
          <w:b/>
          <w:bCs/>
          <w:sz w:val="24"/>
          <w:szCs w:val="21"/>
          <w:highlight w:val="none"/>
        </w:rPr>
        <w:t>1</w:t>
      </w:r>
      <w:r>
        <w:rPr>
          <w:rFonts w:hint="eastAsia" w:ascii="宋体" w:hAnsi="宋体" w:eastAsia="宋体"/>
          <w:b/>
          <w:bCs/>
          <w:sz w:val="24"/>
          <w:szCs w:val="21"/>
          <w:highlight w:val="none"/>
          <w:lang w:val="en-US" w:eastAsia="zh-CN"/>
        </w:rPr>
        <w:t>4</w:t>
      </w:r>
      <w:r>
        <w:rPr>
          <w:rFonts w:ascii="宋体" w:hAnsi="宋体" w:eastAsia="宋体"/>
          <w:b/>
          <w:bCs/>
          <w:sz w:val="24"/>
          <w:szCs w:val="21"/>
          <w:highlight w:val="none"/>
        </w:rPr>
        <w:t>.1供应商应将响应文件正本和副本用信封分别密封，并标明供应商的名称、</w:t>
      </w:r>
      <w:r>
        <w:rPr>
          <w:rFonts w:hint="eastAsia" w:ascii="宋体" w:hAnsi="宋体" w:eastAsia="宋体"/>
          <w:b/>
          <w:bCs/>
          <w:sz w:val="24"/>
          <w:szCs w:val="21"/>
          <w:highlight w:val="none"/>
        </w:rPr>
        <w:t>项目名称、</w:t>
      </w:r>
      <w:r>
        <w:rPr>
          <w:rFonts w:ascii="宋体" w:hAnsi="宋体" w:eastAsia="宋体"/>
          <w:b/>
          <w:bCs/>
          <w:sz w:val="24"/>
          <w:szCs w:val="21"/>
          <w:highlight w:val="none"/>
        </w:rPr>
        <w:t>采购编号及</w:t>
      </w:r>
      <w:r>
        <w:rPr>
          <w:rFonts w:hint="eastAsia" w:ascii="宋体" w:hAnsi="宋体" w:eastAsia="宋体"/>
          <w:b/>
          <w:bCs/>
          <w:sz w:val="24"/>
          <w:szCs w:val="21"/>
          <w:highlight w:val="none"/>
        </w:rPr>
        <w:t>“</w:t>
      </w:r>
      <w:r>
        <w:rPr>
          <w:rFonts w:ascii="宋体" w:hAnsi="宋体" w:eastAsia="宋体"/>
          <w:b/>
          <w:bCs/>
          <w:sz w:val="24"/>
          <w:szCs w:val="21"/>
          <w:highlight w:val="none"/>
        </w:rPr>
        <w:t>正本</w:t>
      </w:r>
      <w:r>
        <w:rPr>
          <w:rFonts w:hint="eastAsia" w:ascii="宋体" w:hAnsi="宋体" w:eastAsia="宋体"/>
          <w:b/>
          <w:bCs/>
          <w:sz w:val="24"/>
          <w:szCs w:val="21"/>
          <w:highlight w:val="none"/>
        </w:rPr>
        <w:t>”</w:t>
      </w:r>
      <w:r>
        <w:rPr>
          <w:rFonts w:ascii="宋体" w:hAnsi="宋体" w:eastAsia="宋体"/>
          <w:b/>
          <w:bCs/>
          <w:sz w:val="24"/>
          <w:szCs w:val="21"/>
          <w:highlight w:val="none"/>
        </w:rPr>
        <w:t>或</w:t>
      </w:r>
      <w:r>
        <w:rPr>
          <w:rFonts w:hint="eastAsia" w:ascii="宋体" w:hAnsi="宋体" w:eastAsia="宋体"/>
          <w:b/>
          <w:bCs/>
          <w:sz w:val="24"/>
          <w:szCs w:val="21"/>
          <w:highlight w:val="none"/>
        </w:rPr>
        <w:t>“</w:t>
      </w:r>
      <w:r>
        <w:rPr>
          <w:rFonts w:ascii="宋体" w:hAnsi="宋体" w:eastAsia="宋体"/>
          <w:b/>
          <w:bCs/>
          <w:sz w:val="24"/>
          <w:szCs w:val="21"/>
          <w:highlight w:val="none"/>
        </w:rPr>
        <w:t>副本</w:t>
      </w:r>
      <w:r>
        <w:rPr>
          <w:rFonts w:hint="eastAsia" w:ascii="宋体" w:hAnsi="宋体" w:eastAsia="宋体"/>
          <w:b/>
          <w:bCs/>
          <w:sz w:val="24"/>
          <w:szCs w:val="21"/>
          <w:highlight w:val="none"/>
        </w:rPr>
        <w:t>”</w:t>
      </w:r>
      <w:r>
        <w:rPr>
          <w:rFonts w:ascii="宋体" w:hAnsi="宋体" w:eastAsia="宋体"/>
          <w:b/>
          <w:bCs/>
          <w:sz w:val="24"/>
          <w:szCs w:val="21"/>
          <w:highlight w:val="none"/>
        </w:rPr>
        <w:t>字样。</w:t>
      </w:r>
    </w:p>
    <w:p w14:paraId="6451E759">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lang w:val="en-US" w:eastAsia="zh-CN"/>
        </w:rPr>
        <w:t>4</w:t>
      </w:r>
      <w:r>
        <w:rPr>
          <w:rFonts w:ascii="宋体" w:hAnsi="宋体" w:eastAsia="宋体"/>
          <w:sz w:val="24"/>
          <w:szCs w:val="21"/>
          <w:highlight w:val="none"/>
        </w:rPr>
        <w:t>.</w:t>
      </w:r>
      <w:r>
        <w:rPr>
          <w:rFonts w:hint="eastAsia" w:ascii="宋体" w:hAnsi="宋体" w:eastAsia="宋体"/>
          <w:sz w:val="24"/>
          <w:szCs w:val="21"/>
          <w:highlight w:val="none"/>
          <w:lang w:val="en-US" w:eastAsia="zh-CN"/>
        </w:rPr>
        <w:t>2</w:t>
      </w:r>
      <w:r>
        <w:rPr>
          <w:rFonts w:ascii="宋体" w:hAnsi="宋体" w:eastAsia="宋体"/>
          <w:sz w:val="24"/>
          <w:szCs w:val="21"/>
          <w:highlight w:val="none"/>
        </w:rPr>
        <w:t>每一份响应文件的密封袋两头封口上均需贴封条</w:t>
      </w:r>
      <w:bookmarkStart w:id="154" w:name="_Hlk65400439"/>
      <w:r>
        <w:rPr>
          <w:rFonts w:ascii="宋体" w:hAnsi="宋体" w:eastAsia="宋体"/>
          <w:sz w:val="24"/>
          <w:szCs w:val="21"/>
          <w:highlight w:val="none"/>
        </w:rPr>
        <w:t>，并加盖骑缝章（公章）。</w:t>
      </w:r>
      <w:bookmarkEnd w:id="154"/>
    </w:p>
    <w:p w14:paraId="4D355018">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lang w:val="en-US" w:eastAsia="zh-CN"/>
        </w:rPr>
        <w:t>4</w:t>
      </w:r>
      <w:r>
        <w:rPr>
          <w:rFonts w:ascii="宋体" w:hAnsi="宋体" w:eastAsia="宋体"/>
          <w:sz w:val="24"/>
          <w:szCs w:val="21"/>
          <w:highlight w:val="none"/>
        </w:rPr>
        <w:t>.</w:t>
      </w:r>
      <w:r>
        <w:rPr>
          <w:rFonts w:hint="eastAsia" w:ascii="宋体" w:hAnsi="宋体" w:eastAsia="宋体"/>
          <w:sz w:val="24"/>
          <w:szCs w:val="21"/>
          <w:highlight w:val="none"/>
          <w:lang w:val="en-US" w:eastAsia="zh-CN"/>
        </w:rPr>
        <w:t>3</w:t>
      </w:r>
      <w:r>
        <w:rPr>
          <w:rFonts w:ascii="宋体" w:hAnsi="宋体" w:eastAsia="宋体"/>
          <w:sz w:val="24"/>
          <w:szCs w:val="21"/>
          <w:highlight w:val="none"/>
        </w:rPr>
        <w:t>供应商应按上述规定进行密封和标记后，将响应文件按照</w:t>
      </w:r>
      <w:r>
        <w:rPr>
          <w:rFonts w:hint="eastAsia" w:ascii="宋体" w:hAnsi="宋体" w:eastAsia="宋体"/>
          <w:sz w:val="24"/>
          <w:szCs w:val="21"/>
          <w:highlight w:val="none"/>
          <w:lang w:eastAsia="zh-CN"/>
        </w:rPr>
        <w:t>遴选</w:t>
      </w:r>
      <w:r>
        <w:rPr>
          <w:rFonts w:ascii="宋体" w:hAnsi="宋体" w:eastAsia="宋体"/>
          <w:sz w:val="24"/>
          <w:szCs w:val="21"/>
          <w:highlight w:val="none"/>
        </w:rPr>
        <w:t>文件中规定的时间和地址送至</w:t>
      </w:r>
      <w:r>
        <w:rPr>
          <w:rFonts w:hint="eastAsia" w:ascii="宋体" w:hAnsi="宋体" w:eastAsia="宋体"/>
          <w:sz w:val="24"/>
          <w:szCs w:val="21"/>
          <w:highlight w:val="none"/>
          <w:lang w:val="en-US" w:eastAsia="zh-CN"/>
        </w:rPr>
        <w:t>开平市中心医院</w:t>
      </w:r>
      <w:r>
        <w:rPr>
          <w:rFonts w:ascii="宋体" w:hAnsi="宋体" w:eastAsia="宋体"/>
          <w:sz w:val="24"/>
          <w:szCs w:val="21"/>
          <w:highlight w:val="none"/>
        </w:rPr>
        <w:t>。</w:t>
      </w:r>
    </w:p>
    <w:p w14:paraId="5E06334C">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lang w:val="en-US" w:eastAsia="zh-CN"/>
        </w:rPr>
        <w:t>4</w:t>
      </w:r>
      <w:r>
        <w:rPr>
          <w:rFonts w:ascii="宋体" w:hAnsi="宋体" w:eastAsia="宋体"/>
          <w:sz w:val="24"/>
          <w:szCs w:val="21"/>
          <w:highlight w:val="none"/>
        </w:rPr>
        <w:t>.</w:t>
      </w:r>
      <w:r>
        <w:rPr>
          <w:rFonts w:hint="eastAsia" w:ascii="宋体" w:hAnsi="宋体" w:eastAsia="宋体"/>
          <w:sz w:val="24"/>
          <w:szCs w:val="21"/>
          <w:highlight w:val="none"/>
          <w:lang w:val="en-US" w:eastAsia="zh-CN"/>
        </w:rPr>
        <w:t>4</w:t>
      </w:r>
      <w:r>
        <w:rPr>
          <w:rFonts w:ascii="宋体" w:hAnsi="宋体" w:eastAsia="宋体"/>
          <w:sz w:val="24"/>
          <w:szCs w:val="21"/>
          <w:highlight w:val="none"/>
        </w:rPr>
        <w:t>未按上述规定进行密封、标记和递交的，采购</w:t>
      </w:r>
      <w:r>
        <w:rPr>
          <w:rFonts w:hint="eastAsia" w:ascii="宋体" w:hAnsi="宋体" w:eastAsia="宋体"/>
          <w:sz w:val="24"/>
          <w:szCs w:val="21"/>
          <w:highlight w:val="none"/>
          <w:lang w:val="en-US" w:eastAsia="zh-CN"/>
        </w:rPr>
        <w:t>人</w:t>
      </w:r>
      <w:r>
        <w:rPr>
          <w:rFonts w:ascii="宋体" w:hAnsi="宋体" w:eastAsia="宋体"/>
          <w:sz w:val="24"/>
          <w:szCs w:val="21"/>
          <w:highlight w:val="none"/>
        </w:rPr>
        <w:t>对响应文件的不依时间递交、误投、破损、封装不合格或提前拆封不负责。</w:t>
      </w:r>
    </w:p>
    <w:p w14:paraId="35B930EB">
      <w:pPr>
        <w:pStyle w:val="6"/>
        <w:keepNext w:val="0"/>
        <w:keepLines w:val="0"/>
        <w:adjustRightInd/>
        <w:spacing w:before="0" w:after="0" w:line="480" w:lineRule="exact"/>
        <w:ind w:firstLine="482" w:firstLineChars="200"/>
        <w:rPr>
          <w:rFonts w:hAnsi="宋体"/>
          <w:sz w:val="24"/>
          <w:szCs w:val="21"/>
          <w:highlight w:val="none"/>
        </w:rPr>
      </w:pPr>
      <w:bookmarkStart w:id="155" w:name="_Toc96934193"/>
      <w:bookmarkStart w:id="156" w:name="_Toc110953845"/>
      <w:bookmarkStart w:id="157" w:name="_Toc97112232"/>
      <w:bookmarkStart w:id="158" w:name="_Toc97109981"/>
      <w:bookmarkStart w:id="159" w:name="_Toc96940321"/>
      <w:r>
        <w:rPr>
          <w:rFonts w:hAnsi="宋体"/>
          <w:sz w:val="24"/>
          <w:szCs w:val="21"/>
          <w:highlight w:val="none"/>
        </w:rPr>
        <w:t>1</w:t>
      </w:r>
      <w:r>
        <w:rPr>
          <w:rFonts w:hint="eastAsia" w:hAnsi="宋体"/>
          <w:sz w:val="24"/>
          <w:szCs w:val="21"/>
          <w:highlight w:val="none"/>
          <w:lang w:val="en-US" w:eastAsia="zh-CN"/>
        </w:rPr>
        <w:t>5</w:t>
      </w:r>
      <w:r>
        <w:rPr>
          <w:rFonts w:hAnsi="宋体"/>
          <w:sz w:val="24"/>
          <w:szCs w:val="21"/>
          <w:highlight w:val="none"/>
        </w:rPr>
        <w:t>.递交响应文件的时间、地点以及截止时间</w:t>
      </w:r>
      <w:bookmarkEnd w:id="155"/>
      <w:bookmarkEnd w:id="156"/>
      <w:bookmarkEnd w:id="157"/>
      <w:bookmarkEnd w:id="158"/>
      <w:bookmarkEnd w:id="159"/>
    </w:p>
    <w:p w14:paraId="653BF314">
      <w:pPr>
        <w:pStyle w:val="2"/>
        <w:pageBreakBefore w:val="0"/>
        <w:kinsoku/>
        <w:wordWrap/>
        <w:overflowPunct/>
        <w:topLinePunct w:val="0"/>
        <w:autoSpaceDE/>
        <w:autoSpaceDN/>
        <w:bidi w:val="0"/>
        <w:snapToGrid/>
        <w:spacing w:after="0" w:afterLines="0" w:line="360" w:lineRule="auto"/>
        <w:ind w:left="0" w:firstLine="480" w:firstLineChars="200"/>
        <w:rPr>
          <w:rFonts w:hint="eastAsia" w:ascii="宋体" w:hAnsi="宋体" w:eastAsia="宋体" w:cs="宋体"/>
          <w:sz w:val="24"/>
          <w:szCs w:val="24"/>
          <w:highlight w:val="none"/>
          <w:lang w:val="en-US" w:eastAsia="zh-CN"/>
        </w:rPr>
      </w:pPr>
      <w:r>
        <w:rPr>
          <w:rFonts w:ascii="宋体" w:hAnsi="宋体" w:eastAsia="宋体"/>
          <w:sz w:val="24"/>
          <w:szCs w:val="21"/>
          <w:highlight w:val="none"/>
        </w:rPr>
        <w:t>1</w:t>
      </w:r>
      <w:r>
        <w:rPr>
          <w:rFonts w:hint="eastAsia" w:ascii="宋体" w:hAnsi="宋体" w:eastAsia="宋体"/>
          <w:sz w:val="24"/>
          <w:szCs w:val="21"/>
          <w:highlight w:val="none"/>
          <w:lang w:val="en-US" w:eastAsia="zh-CN"/>
        </w:rPr>
        <w:t>5</w:t>
      </w:r>
      <w:r>
        <w:rPr>
          <w:rFonts w:ascii="宋体" w:hAnsi="宋体" w:eastAsia="宋体"/>
          <w:sz w:val="24"/>
          <w:szCs w:val="21"/>
          <w:highlight w:val="none"/>
        </w:rPr>
        <w:t xml:space="preserve">.1 </w:t>
      </w:r>
      <w:r>
        <w:rPr>
          <w:rFonts w:hint="eastAsia" w:ascii="宋体" w:hAnsi="宋体" w:eastAsia="宋体" w:cs="宋体"/>
          <w:sz w:val="24"/>
          <w:szCs w:val="24"/>
          <w:highlight w:val="none"/>
          <w:lang w:val="en-US" w:eastAsia="zh-CN"/>
        </w:rPr>
        <w:t>响应文件递交方式：现场提交或邮寄（遴选文件与报名资料一齐提交即可）</w:t>
      </w:r>
    </w:p>
    <w:p w14:paraId="2E092A90">
      <w:pPr>
        <w:pStyle w:val="2"/>
        <w:pageBreakBefore w:val="0"/>
        <w:kinsoku/>
        <w:wordWrap/>
        <w:overflowPunct/>
        <w:topLinePunct w:val="0"/>
        <w:autoSpaceDE/>
        <w:autoSpaceDN/>
        <w:bidi w:val="0"/>
        <w:snapToGrid/>
        <w:spacing w:after="0" w:afterLines="0"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15.2</w:t>
      </w:r>
      <w:r>
        <w:rPr>
          <w:rFonts w:hint="eastAsia" w:ascii="宋体" w:hAnsi="宋体" w:eastAsia="宋体" w:cs="宋体"/>
          <w:sz w:val="24"/>
          <w:szCs w:val="24"/>
          <w:highlight w:val="none"/>
        </w:rPr>
        <w:t>时间:20</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日-202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日</w:t>
      </w:r>
    </w:p>
    <w:p w14:paraId="073D70A1">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（工作日上午8：30——11:30，下午2:00——5:30）</w:t>
      </w:r>
    </w:p>
    <w:p w14:paraId="06B3FBD1">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地点：广东省开平市长沙街道办事处三江A7区，开平市中心医院张襯</w:t>
      </w:r>
      <w:r>
        <w:rPr>
          <w:rFonts w:hint="eastAsia" w:ascii="宋体" w:hAnsi="宋体" w:eastAsia="宋体" w:cs="宋体"/>
          <w:sz w:val="24"/>
          <w:szCs w:val="24"/>
          <w:highlight w:val="none"/>
          <w:lang w:val="en-US" w:eastAsia="zh-CN"/>
        </w:rPr>
        <w:t>大</w:t>
      </w:r>
      <w:r>
        <w:rPr>
          <w:rFonts w:hint="eastAsia" w:ascii="宋体" w:hAnsi="宋体" w:eastAsia="宋体" w:cs="宋体"/>
          <w:sz w:val="24"/>
          <w:szCs w:val="24"/>
          <w:highlight w:val="none"/>
        </w:rPr>
        <w:t>楼</w:t>
      </w:r>
      <w:r>
        <w:rPr>
          <w:rFonts w:hint="eastAsia" w:ascii="宋体" w:hAnsi="宋体" w:eastAsia="宋体" w:cs="宋体"/>
          <w:sz w:val="24"/>
          <w:szCs w:val="24"/>
          <w:highlight w:val="none"/>
          <w:lang w:val="en-US" w:eastAsia="zh-CN"/>
        </w:rPr>
        <w:t>六楼</w:t>
      </w:r>
      <w:r>
        <w:rPr>
          <w:rFonts w:hint="eastAsia" w:ascii="宋体" w:hAnsi="宋体" w:eastAsia="宋体" w:cs="宋体"/>
          <w:sz w:val="24"/>
          <w:szCs w:val="24"/>
          <w:highlight w:val="none"/>
        </w:rPr>
        <w:t>后勤股</w:t>
      </w:r>
    </w:p>
    <w:p w14:paraId="256637CB">
      <w:pPr>
        <w:pStyle w:val="2"/>
        <w:pageBreakBefore w:val="0"/>
        <w:kinsoku/>
        <w:wordWrap/>
        <w:overflowPunct/>
        <w:topLinePunct w:val="0"/>
        <w:autoSpaceDE/>
        <w:autoSpaceDN/>
        <w:bidi w:val="0"/>
        <w:snapToGrid/>
        <w:spacing w:after="0" w:afterLines="0"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（邮寄收件人：</w:t>
      </w:r>
      <w:r>
        <w:rPr>
          <w:rFonts w:hint="eastAsia" w:ascii="宋体" w:hAnsi="宋体" w:eastAsia="宋体" w:cs="宋体"/>
          <w:color w:val="000000"/>
          <w:sz w:val="24"/>
          <w:szCs w:val="24"/>
          <w:highlight w:val="none"/>
        </w:rPr>
        <w:t>龚小姐，电话：</w:t>
      </w:r>
      <w:r>
        <w:rPr>
          <w:rFonts w:hint="eastAsia" w:ascii="宋体" w:hAnsi="宋体" w:eastAsia="宋体" w:cs="宋体"/>
          <w:color w:val="000000"/>
          <w:sz w:val="24"/>
          <w:szCs w:val="24"/>
          <w:highlight w:val="none"/>
          <w:lang w:val="en-US" w:eastAsia="zh-CN"/>
        </w:rPr>
        <w:t>0750-2371848</w:t>
      </w:r>
      <w:r>
        <w:rPr>
          <w:rFonts w:hint="eastAsia" w:ascii="宋体" w:hAnsi="宋体" w:eastAsia="宋体" w:cs="宋体"/>
          <w:sz w:val="24"/>
          <w:szCs w:val="24"/>
          <w:highlight w:val="none"/>
        </w:rPr>
        <w:t>）</w:t>
      </w:r>
    </w:p>
    <w:p w14:paraId="21A087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lang w:val="en-US" w:eastAsia="zh-CN"/>
        </w:rPr>
        <w:t>5</w:t>
      </w:r>
      <w:r>
        <w:rPr>
          <w:rFonts w:ascii="宋体" w:hAnsi="宋体" w:eastAsia="宋体"/>
          <w:sz w:val="24"/>
          <w:szCs w:val="21"/>
          <w:highlight w:val="none"/>
        </w:rPr>
        <w:t>.</w:t>
      </w:r>
      <w:r>
        <w:rPr>
          <w:rFonts w:hint="eastAsia" w:ascii="宋体" w:hAnsi="宋体" w:eastAsia="宋体"/>
          <w:sz w:val="24"/>
          <w:szCs w:val="21"/>
          <w:highlight w:val="none"/>
          <w:lang w:val="en-US" w:eastAsia="zh-CN"/>
        </w:rPr>
        <w:t>4</w:t>
      </w:r>
      <w:r>
        <w:rPr>
          <w:rFonts w:ascii="宋体" w:hAnsi="宋体" w:eastAsia="宋体"/>
          <w:sz w:val="24"/>
          <w:szCs w:val="21"/>
          <w:highlight w:val="none"/>
        </w:rPr>
        <w:t>采购</w:t>
      </w:r>
      <w:r>
        <w:rPr>
          <w:rFonts w:hint="eastAsia" w:ascii="宋体" w:hAnsi="宋体" w:eastAsia="宋体"/>
          <w:sz w:val="24"/>
          <w:szCs w:val="21"/>
          <w:highlight w:val="none"/>
          <w:lang w:val="en-US" w:eastAsia="zh-CN"/>
        </w:rPr>
        <w:t>人</w:t>
      </w:r>
      <w:r>
        <w:rPr>
          <w:rFonts w:ascii="宋体" w:hAnsi="宋体" w:eastAsia="宋体"/>
          <w:sz w:val="24"/>
          <w:szCs w:val="21"/>
          <w:highlight w:val="none"/>
        </w:rPr>
        <w:t>拒绝接受以下文件：</w:t>
      </w:r>
    </w:p>
    <w:p w14:paraId="1BABBF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highlight w:val="none"/>
        </w:rPr>
      </w:pPr>
      <w:r>
        <w:rPr>
          <w:rFonts w:ascii="宋体" w:hAnsi="宋体" w:eastAsia="宋体"/>
          <w:sz w:val="24"/>
          <w:szCs w:val="21"/>
          <w:highlight w:val="none"/>
        </w:rPr>
        <w:t>（1）提前递交的文件</w:t>
      </w:r>
      <w:r>
        <w:rPr>
          <w:rFonts w:hint="eastAsia" w:ascii="宋体" w:hAnsi="宋体" w:eastAsia="宋体"/>
          <w:sz w:val="24"/>
          <w:szCs w:val="21"/>
          <w:highlight w:val="none"/>
        </w:rPr>
        <w:t>。</w:t>
      </w:r>
    </w:p>
    <w:p w14:paraId="02E4E4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highlight w:val="none"/>
        </w:rPr>
      </w:pPr>
      <w:r>
        <w:rPr>
          <w:rFonts w:ascii="宋体" w:hAnsi="宋体" w:eastAsia="宋体"/>
          <w:sz w:val="24"/>
          <w:szCs w:val="21"/>
          <w:highlight w:val="none"/>
        </w:rPr>
        <w:t>（2）在响应截止时间后递交的响应文件</w:t>
      </w:r>
      <w:r>
        <w:rPr>
          <w:rFonts w:hint="eastAsia" w:ascii="宋体" w:hAnsi="宋体" w:eastAsia="宋体"/>
          <w:sz w:val="24"/>
          <w:szCs w:val="21"/>
          <w:highlight w:val="none"/>
        </w:rPr>
        <w:t>。</w:t>
      </w:r>
    </w:p>
    <w:p w14:paraId="39560C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highlight w:val="none"/>
        </w:rPr>
      </w:pPr>
      <w:r>
        <w:rPr>
          <w:rFonts w:ascii="宋体" w:hAnsi="宋体" w:eastAsia="宋体"/>
          <w:sz w:val="24"/>
          <w:szCs w:val="21"/>
          <w:highlight w:val="none"/>
        </w:rPr>
        <w:t>（3）未按规定包装和密封的响应文件。</w:t>
      </w:r>
    </w:p>
    <w:p w14:paraId="0E4DE5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ascii="宋体" w:hAnsi="宋体" w:eastAsia="宋体"/>
          <w:b/>
          <w:bCs/>
          <w:sz w:val="24"/>
          <w:szCs w:val="21"/>
          <w:highlight w:val="none"/>
          <w:lang w:val="zh-CN"/>
        </w:rPr>
      </w:pPr>
      <w:r>
        <w:rPr>
          <w:rFonts w:ascii="宋体" w:hAnsi="宋体" w:eastAsia="宋体"/>
          <w:sz w:val="24"/>
          <w:szCs w:val="21"/>
          <w:highlight w:val="none"/>
        </w:rPr>
        <w:t>1</w:t>
      </w:r>
      <w:r>
        <w:rPr>
          <w:rFonts w:hint="eastAsia" w:ascii="宋体" w:hAnsi="宋体" w:eastAsia="宋体"/>
          <w:sz w:val="24"/>
          <w:szCs w:val="21"/>
          <w:highlight w:val="none"/>
          <w:lang w:val="en-US" w:eastAsia="zh-CN"/>
        </w:rPr>
        <w:t>5</w:t>
      </w:r>
      <w:r>
        <w:rPr>
          <w:rFonts w:ascii="宋体" w:hAnsi="宋体" w:eastAsia="宋体"/>
          <w:sz w:val="24"/>
          <w:szCs w:val="21"/>
          <w:highlight w:val="none"/>
        </w:rPr>
        <w:t>.</w:t>
      </w:r>
      <w:r>
        <w:rPr>
          <w:rFonts w:hint="eastAsia" w:ascii="宋体" w:hAnsi="宋体" w:eastAsia="宋体"/>
          <w:sz w:val="24"/>
          <w:szCs w:val="21"/>
          <w:highlight w:val="none"/>
          <w:lang w:val="en-US" w:eastAsia="zh-CN"/>
        </w:rPr>
        <w:t>5</w:t>
      </w:r>
      <w:r>
        <w:rPr>
          <w:rFonts w:ascii="宋体" w:hAnsi="宋体" w:eastAsia="宋体"/>
          <w:sz w:val="24"/>
          <w:szCs w:val="21"/>
          <w:highlight w:val="none"/>
        </w:rPr>
        <w:t>响应文件的修改与撤回</w:t>
      </w:r>
    </w:p>
    <w:p w14:paraId="522A01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highlight w:val="none"/>
        </w:rPr>
      </w:pPr>
      <w:r>
        <w:rPr>
          <w:rFonts w:ascii="宋体" w:hAnsi="宋体" w:eastAsia="宋体"/>
          <w:sz w:val="24"/>
          <w:szCs w:val="21"/>
          <w:highlight w:val="none"/>
        </w:rPr>
        <w:t>（1）供应商在递交响应文件后到响应截止时间之前，可以补充、修改或撤回其响应文件，但供应商必须以书面形式通知采购</w:t>
      </w:r>
      <w:r>
        <w:rPr>
          <w:rFonts w:hint="eastAsia" w:ascii="宋体" w:hAnsi="宋体" w:eastAsia="宋体"/>
          <w:sz w:val="24"/>
          <w:szCs w:val="21"/>
          <w:highlight w:val="none"/>
          <w:lang w:val="en-US" w:eastAsia="zh-CN"/>
        </w:rPr>
        <w:t>人</w:t>
      </w:r>
      <w:r>
        <w:rPr>
          <w:rFonts w:ascii="宋体" w:hAnsi="宋体" w:eastAsia="宋体"/>
          <w:sz w:val="24"/>
          <w:szCs w:val="21"/>
          <w:highlight w:val="none"/>
        </w:rPr>
        <w:t>。补充、修改的内容与响应文件不一致的，以补偿、修改的内容为准。</w:t>
      </w:r>
    </w:p>
    <w:p w14:paraId="64DB66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highlight w:val="none"/>
        </w:rPr>
      </w:pPr>
      <w:r>
        <w:rPr>
          <w:rFonts w:ascii="宋体" w:hAnsi="宋体" w:eastAsia="宋体"/>
          <w:sz w:val="24"/>
          <w:szCs w:val="21"/>
          <w:highlight w:val="none"/>
        </w:rPr>
        <w:t>（2）除法律法规允许的情况外，在响应截止时间之后至响应有效期之间的这段时间内，供应商不得对其响应文件做任何修改，亦不得撤回其响应，否则</w:t>
      </w:r>
      <w:r>
        <w:rPr>
          <w:rFonts w:hint="eastAsia" w:ascii="宋体" w:hAnsi="宋体" w:eastAsia="宋体"/>
          <w:sz w:val="24"/>
          <w:szCs w:val="21"/>
          <w:highlight w:val="none"/>
          <w:lang w:val="en-US" w:eastAsia="zh-CN"/>
        </w:rPr>
        <w:t>取消响应资格</w:t>
      </w:r>
      <w:r>
        <w:rPr>
          <w:rFonts w:ascii="宋体" w:hAnsi="宋体" w:eastAsia="宋体"/>
          <w:sz w:val="24"/>
          <w:szCs w:val="21"/>
          <w:highlight w:val="none"/>
        </w:rPr>
        <w:t>。</w:t>
      </w:r>
    </w:p>
    <w:bookmarkEnd w:id="67"/>
    <w:bookmarkEnd w:id="68"/>
    <w:bookmarkEnd w:id="69"/>
    <w:bookmarkEnd w:id="70"/>
    <w:bookmarkEnd w:id="71"/>
    <w:bookmarkEnd w:id="72"/>
    <w:bookmarkEnd w:id="73"/>
    <w:bookmarkEnd w:id="74"/>
    <w:bookmarkEnd w:id="75"/>
    <w:bookmarkEnd w:id="76"/>
    <w:bookmarkEnd w:id="77"/>
    <w:bookmarkEnd w:id="144"/>
    <w:bookmarkEnd w:id="145"/>
    <w:bookmarkEnd w:id="146"/>
    <w:bookmarkEnd w:id="147"/>
    <w:bookmarkEnd w:id="148"/>
    <w:p w14:paraId="300BFE7E">
      <w:pPr>
        <w:rPr>
          <w:rFonts w:ascii="Times New Roman"/>
          <w:sz w:val="36"/>
          <w:szCs w:val="28"/>
          <w:highlight w:val="none"/>
        </w:rPr>
      </w:pPr>
      <w:bookmarkStart w:id="160" w:name="_Toc169861823"/>
      <w:bookmarkStart w:id="161" w:name="_Toc52021538"/>
      <w:bookmarkStart w:id="162" w:name="_Toc51756491"/>
      <w:bookmarkStart w:id="163" w:name="_Toc56353011"/>
      <w:bookmarkStart w:id="164" w:name="_Toc52027926"/>
      <w:bookmarkStart w:id="165" w:name="_Toc51939456"/>
      <w:bookmarkStart w:id="166" w:name="_Toc457975339"/>
      <w:bookmarkStart w:id="167" w:name="_Toc467236766"/>
      <w:bookmarkStart w:id="168" w:name="_Toc476976198"/>
      <w:bookmarkStart w:id="169" w:name="_Toc486671570"/>
      <w:bookmarkStart w:id="170" w:name="_Toc467050236"/>
      <w:bookmarkStart w:id="171" w:name="_Toc467049706"/>
      <w:r>
        <w:rPr>
          <w:rFonts w:ascii="Times New Roman"/>
          <w:sz w:val="36"/>
          <w:szCs w:val="28"/>
          <w:highlight w:val="none"/>
        </w:rPr>
        <w:br w:type="page"/>
      </w:r>
    </w:p>
    <w:p w14:paraId="2EE59E0A">
      <w:pPr>
        <w:pStyle w:val="3"/>
        <w:keepNext w:val="0"/>
        <w:keepLines w:val="0"/>
        <w:spacing w:before="0" w:after="0" w:line="360" w:lineRule="auto"/>
        <w:jc w:val="center"/>
        <w:rPr>
          <w:rFonts w:ascii="Times New Roman"/>
          <w:sz w:val="36"/>
          <w:szCs w:val="28"/>
          <w:highlight w:val="none"/>
        </w:rPr>
      </w:pPr>
      <w:r>
        <w:rPr>
          <w:rFonts w:ascii="Times New Roman"/>
          <w:sz w:val="36"/>
          <w:szCs w:val="28"/>
          <w:highlight w:val="none"/>
        </w:rPr>
        <w:t>第四部分</w:t>
      </w:r>
      <w:r>
        <w:rPr>
          <w:rFonts w:hint="eastAsia" w:ascii="Times New Roman"/>
          <w:sz w:val="36"/>
          <w:szCs w:val="28"/>
          <w:highlight w:val="none"/>
        </w:rPr>
        <w:t xml:space="preserve"> 评审办法</w:t>
      </w:r>
      <w:bookmarkEnd w:id="160"/>
    </w:p>
    <w:p w14:paraId="6D1FB73F">
      <w:pPr>
        <w:pStyle w:val="2"/>
        <w:ind w:firstLine="482" w:firstLineChars="200"/>
        <w:jc w:val="left"/>
        <w:outlineLvl w:val="1"/>
        <w:rPr>
          <w:rFonts w:ascii="Times New Roman" w:eastAsia="宋体"/>
          <w:b/>
          <w:sz w:val="24"/>
          <w:szCs w:val="21"/>
          <w:highlight w:val="none"/>
        </w:rPr>
      </w:pPr>
      <w:r>
        <w:rPr>
          <w:rFonts w:hint="eastAsia" w:ascii="Times New Roman" w:eastAsia="宋体"/>
          <w:b/>
          <w:sz w:val="24"/>
          <w:szCs w:val="21"/>
          <w:highlight w:val="none"/>
        </w:rPr>
        <w:t>一、</w:t>
      </w:r>
      <w:r>
        <w:rPr>
          <w:rFonts w:hint="eastAsia" w:ascii="Times New Roman" w:eastAsia="宋体"/>
          <w:b/>
          <w:sz w:val="24"/>
          <w:szCs w:val="21"/>
          <w:highlight w:val="none"/>
          <w:lang w:eastAsia="zh-CN"/>
        </w:rPr>
        <w:t>遴选</w:t>
      </w:r>
      <w:r>
        <w:rPr>
          <w:rFonts w:hint="eastAsia" w:ascii="Times New Roman" w:eastAsia="宋体"/>
          <w:b/>
          <w:sz w:val="24"/>
          <w:szCs w:val="21"/>
          <w:highlight w:val="none"/>
        </w:rPr>
        <w:t>小组对响应文件进行资格性审查、符合性审查。</w:t>
      </w:r>
    </w:p>
    <w:tbl>
      <w:tblPr>
        <w:tblStyle w:val="42"/>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5893"/>
        <w:gridCol w:w="1236"/>
      </w:tblGrid>
      <w:tr w14:paraId="58E91F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19" w:type="dxa"/>
            <w:tcBorders>
              <w:top w:val="double" w:color="auto" w:sz="4" w:space="0"/>
              <w:left w:val="double" w:color="auto" w:sz="4" w:space="0"/>
              <w:bottom w:val="single" w:color="auto" w:sz="4" w:space="0"/>
              <w:right w:val="single" w:color="auto" w:sz="4" w:space="0"/>
            </w:tcBorders>
            <w:vAlign w:val="center"/>
          </w:tcPr>
          <w:p w14:paraId="5AF0B16B">
            <w:pPr>
              <w:pStyle w:val="91"/>
              <w:spacing w:before="120" w:beforeLines="50" w:after="120" w:afterLines="50" w:line="360" w:lineRule="auto"/>
              <w:ind w:firstLine="0" w:firstLineChars="0"/>
              <w:jc w:val="left"/>
              <w:rPr>
                <w:rFonts w:ascii="Times New Roman" w:hAnsi="Times New Roman"/>
                <w:b/>
                <w:bCs/>
                <w:sz w:val="24"/>
                <w:highlight w:val="none"/>
              </w:rPr>
            </w:pPr>
            <w:r>
              <w:rPr>
                <w:rFonts w:hint="eastAsia" w:ascii="Times New Roman" w:hAnsi="Times New Roman"/>
                <w:b/>
                <w:bCs/>
                <w:sz w:val="24"/>
                <w:highlight w:val="none"/>
              </w:rPr>
              <w:t>审查项目</w:t>
            </w:r>
          </w:p>
        </w:tc>
        <w:tc>
          <w:tcPr>
            <w:tcW w:w="5893" w:type="dxa"/>
            <w:tcBorders>
              <w:top w:val="double" w:color="auto" w:sz="4" w:space="0"/>
              <w:left w:val="single" w:color="auto" w:sz="4" w:space="0"/>
              <w:bottom w:val="single" w:color="auto" w:sz="4" w:space="0"/>
              <w:right w:val="single" w:color="auto" w:sz="4" w:space="0"/>
            </w:tcBorders>
            <w:vAlign w:val="center"/>
          </w:tcPr>
          <w:p w14:paraId="79FA4CC0">
            <w:pPr>
              <w:pStyle w:val="91"/>
              <w:spacing w:before="120" w:beforeLines="50" w:after="120" w:afterLines="50" w:line="360" w:lineRule="auto"/>
              <w:ind w:firstLine="0" w:firstLineChars="0"/>
              <w:jc w:val="left"/>
              <w:rPr>
                <w:rFonts w:ascii="Times New Roman" w:hAnsi="Times New Roman"/>
                <w:b/>
                <w:bCs/>
                <w:sz w:val="24"/>
                <w:highlight w:val="none"/>
              </w:rPr>
            </w:pPr>
            <w:r>
              <w:rPr>
                <w:rFonts w:hint="eastAsia" w:ascii="Times New Roman" w:hAnsi="Times New Roman"/>
                <w:b/>
                <w:bCs/>
                <w:sz w:val="24"/>
                <w:highlight w:val="none"/>
              </w:rPr>
              <w:t>内容</w:t>
            </w:r>
          </w:p>
        </w:tc>
        <w:tc>
          <w:tcPr>
            <w:tcW w:w="1236" w:type="dxa"/>
            <w:tcBorders>
              <w:top w:val="double" w:color="auto" w:sz="4" w:space="0"/>
              <w:left w:val="single" w:color="auto" w:sz="4" w:space="0"/>
              <w:bottom w:val="single" w:color="auto" w:sz="4" w:space="0"/>
              <w:right w:val="double" w:color="auto" w:sz="4" w:space="0"/>
            </w:tcBorders>
            <w:vAlign w:val="center"/>
          </w:tcPr>
          <w:p w14:paraId="5F72257F">
            <w:pPr>
              <w:pStyle w:val="91"/>
              <w:spacing w:before="120" w:beforeLines="50" w:after="120" w:afterLines="50" w:line="360" w:lineRule="auto"/>
              <w:ind w:firstLine="0" w:firstLineChars="0"/>
              <w:jc w:val="left"/>
              <w:rPr>
                <w:rFonts w:ascii="Times New Roman" w:hAnsi="Times New Roman"/>
                <w:b/>
                <w:bCs/>
                <w:sz w:val="24"/>
                <w:highlight w:val="none"/>
              </w:rPr>
            </w:pPr>
            <w:r>
              <w:rPr>
                <w:rFonts w:hint="eastAsia" w:ascii="Times New Roman" w:hAnsi="Times New Roman"/>
                <w:b/>
                <w:bCs/>
                <w:sz w:val="24"/>
                <w:highlight w:val="none"/>
              </w:rPr>
              <w:t>是否符合</w:t>
            </w:r>
          </w:p>
        </w:tc>
      </w:tr>
      <w:tr w14:paraId="1A1E57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19" w:type="dxa"/>
            <w:vMerge w:val="restart"/>
            <w:tcBorders>
              <w:top w:val="single" w:color="auto" w:sz="4" w:space="0"/>
              <w:left w:val="double" w:color="auto" w:sz="4" w:space="0"/>
              <w:right w:val="single" w:color="auto" w:sz="4" w:space="0"/>
            </w:tcBorders>
            <w:vAlign w:val="center"/>
          </w:tcPr>
          <w:p w14:paraId="2813F85B">
            <w:pPr>
              <w:pStyle w:val="91"/>
              <w:adjustRightInd w:val="0"/>
              <w:snapToGrid w:val="0"/>
              <w:spacing w:line="360" w:lineRule="auto"/>
              <w:ind w:firstLine="0" w:firstLineChars="0"/>
              <w:jc w:val="left"/>
              <w:rPr>
                <w:rFonts w:ascii="Times New Roman" w:hAnsi="Times New Roman"/>
                <w:bCs/>
                <w:sz w:val="24"/>
                <w:highlight w:val="none"/>
              </w:rPr>
            </w:pPr>
            <w:r>
              <w:rPr>
                <w:rFonts w:hint="eastAsia" w:ascii="Times New Roman" w:hAnsi="Times New Roman"/>
                <w:bCs/>
                <w:sz w:val="24"/>
                <w:highlight w:val="none"/>
              </w:rPr>
              <w:t>资格性审查</w:t>
            </w:r>
          </w:p>
        </w:tc>
        <w:tc>
          <w:tcPr>
            <w:tcW w:w="5893" w:type="dxa"/>
            <w:tcBorders>
              <w:top w:val="single" w:color="auto" w:sz="4" w:space="0"/>
              <w:left w:val="single" w:color="auto" w:sz="4" w:space="0"/>
              <w:right w:val="single" w:color="auto" w:sz="4" w:space="0"/>
            </w:tcBorders>
            <w:vAlign w:val="center"/>
          </w:tcPr>
          <w:p w14:paraId="21AA9B70">
            <w:pPr>
              <w:keepNext w:val="0"/>
              <w:keepLines w:val="0"/>
              <w:pageBreakBefore w:val="0"/>
              <w:widowControl w:val="0"/>
              <w:kinsoku/>
              <w:overflowPunct/>
              <w:topLinePunct w:val="0"/>
              <w:autoSpaceDE/>
              <w:autoSpaceDN/>
              <w:bidi w:val="0"/>
              <w:spacing w:line="360" w:lineRule="auto"/>
              <w:ind w:firstLine="0" w:firstLineChars="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1.供应商必须具备《中华人民共和国政府采购法》第二十二条规定的条件，并按照相关规定递交资格证明文件</w:t>
            </w:r>
            <w:r>
              <w:rPr>
                <w:rFonts w:hint="eastAsia" w:ascii="宋体" w:hAnsi="宋体" w:eastAsia="宋体" w:cs="宋体"/>
                <w:bCs/>
                <w:color w:val="auto"/>
                <w:sz w:val="24"/>
                <w:szCs w:val="24"/>
                <w:highlight w:val="none"/>
                <w:lang w:eastAsia="zh-CN"/>
              </w:rPr>
              <w:t>。</w:t>
            </w:r>
          </w:p>
        </w:tc>
        <w:tc>
          <w:tcPr>
            <w:tcW w:w="1236" w:type="dxa"/>
            <w:tcBorders>
              <w:top w:val="single" w:color="auto" w:sz="4" w:space="0"/>
              <w:left w:val="single" w:color="auto" w:sz="4" w:space="0"/>
              <w:bottom w:val="single" w:color="auto" w:sz="4" w:space="0"/>
              <w:right w:val="double" w:color="auto" w:sz="4" w:space="0"/>
            </w:tcBorders>
            <w:vAlign w:val="center"/>
          </w:tcPr>
          <w:p w14:paraId="1CD78740">
            <w:pPr>
              <w:pStyle w:val="91"/>
              <w:adjustRightInd w:val="0"/>
              <w:snapToGrid w:val="0"/>
              <w:spacing w:line="360" w:lineRule="auto"/>
              <w:ind w:firstLine="0" w:firstLineChars="0"/>
              <w:jc w:val="left"/>
              <w:rPr>
                <w:rFonts w:ascii="Times New Roman" w:hAnsi="Times New Roman"/>
                <w:bCs/>
                <w:sz w:val="24"/>
                <w:highlight w:val="none"/>
              </w:rPr>
            </w:pPr>
          </w:p>
        </w:tc>
      </w:tr>
      <w:tr w14:paraId="17D0E6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1419" w:type="dxa"/>
            <w:vMerge w:val="continue"/>
            <w:tcBorders>
              <w:left w:val="double" w:color="auto" w:sz="4" w:space="0"/>
              <w:right w:val="single" w:color="auto" w:sz="4" w:space="0"/>
            </w:tcBorders>
            <w:vAlign w:val="center"/>
          </w:tcPr>
          <w:p w14:paraId="158B9208">
            <w:pPr>
              <w:widowControl/>
              <w:spacing w:line="360" w:lineRule="auto"/>
              <w:jc w:val="left"/>
              <w:rPr>
                <w:rFonts w:eastAsia="宋体"/>
                <w:bCs/>
                <w:sz w:val="24"/>
                <w:szCs w:val="22"/>
                <w:highlight w:val="none"/>
              </w:rPr>
            </w:pPr>
          </w:p>
        </w:tc>
        <w:tc>
          <w:tcPr>
            <w:tcW w:w="5893" w:type="dxa"/>
            <w:tcBorders>
              <w:top w:val="single" w:color="auto" w:sz="4" w:space="0"/>
              <w:left w:val="single" w:color="auto" w:sz="4" w:space="0"/>
              <w:bottom w:val="single" w:color="auto" w:sz="4" w:space="0"/>
              <w:right w:val="single" w:color="auto" w:sz="4" w:space="0"/>
            </w:tcBorders>
            <w:vAlign w:val="center"/>
          </w:tcPr>
          <w:p w14:paraId="0BDF0D77">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在“国家企业信用信息公示系统”（http://www.gsxt.gov.cn）网站中查询企业信用信息，不得存在被吊销营业执照或被吊销（撤销、注销、收缴）相应资质（许可、认证）类证书，列入严重违法失信企业名单并在处罚期限内，或存在其它影响遴选响应及履约能力的情形；在“信用中国”（http://www.creditchina.gov.cn）网站中查询“失信被执行人”、“重大税收违法案件当事人名单”、“政府采购不良行为记录”，中国政府采购网（www.ccgp.gov.cn）网站中查询“政府采购严重违法失信行为记录名单”，不得存在被列为失信被执行人的情形，并将查询结果网页打印并加盖公章</w:t>
            </w:r>
            <w:r>
              <w:rPr>
                <w:rFonts w:hint="eastAsia" w:ascii="宋体" w:hAnsi="宋体" w:eastAsia="宋体" w:cs="宋体"/>
                <w:color w:val="auto"/>
                <w:sz w:val="24"/>
                <w:szCs w:val="24"/>
                <w:highlight w:val="none"/>
                <w:lang w:eastAsia="zh-CN"/>
              </w:rPr>
              <w:t>。</w:t>
            </w:r>
          </w:p>
        </w:tc>
        <w:tc>
          <w:tcPr>
            <w:tcW w:w="1236" w:type="dxa"/>
            <w:tcBorders>
              <w:top w:val="single" w:color="auto" w:sz="4" w:space="0"/>
              <w:left w:val="single" w:color="auto" w:sz="4" w:space="0"/>
              <w:bottom w:val="single" w:color="auto" w:sz="4" w:space="0"/>
              <w:right w:val="double" w:color="auto" w:sz="4" w:space="0"/>
            </w:tcBorders>
            <w:vAlign w:val="center"/>
          </w:tcPr>
          <w:p w14:paraId="1B540839">
            <w:pPr>
              <w:adjustRightInd w:val="0"/>
              <w:snapToGrid w:val="0"/>
              <w:spacing w:line="360" w:lineRule="auto"/>
              <w:jc w:val="left"/>
              <w:rPr>
                <w:rFonts w:eastAsia="宋体"/>
                <w:sz w:val="24"/>
                <w:szCs w:val="21"/>
                <w:highlight w:val="none"/>
              </w:rPr>
            </w:pPr>
          </w:p>
        </w:tc>
      </w:tr>
      <w:tr w14:paraId="015198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19" w:type="dxa"/>
            <w:vMerge w:val="continue"/>
            <w:tcBorders>
              <w:left w:val="double" w:color="auto" w:sz="4" w:space="0"/>
              <w:right w:val="single" w:color="auto" w:sz="4" w:space="0"/>
            </w:tcBorders>
            <w:vAlign w:val="center"/>
          </w:tcPr>
          <w:p w14:paraId="09F966DD">
            <w:pPr>
              <w:widowControl/>
              <w:spacing w:line="360" w:lineRule="auto"/>
              <w:jc w:val="left"/>
              <w:rPr>
                <w:rFonts w:eastAsia="宋体"/>
                <w:bCs/>
                <w:sz w:val="24"/>
                <w:szCs w:val="22"/>
                <w:highlight w:val="none"/>
              </w:rPr>
            </w:pPr>
          </w:p>
        </w:tc>
        <w:tc>
          <w:tcPr>
            <w:tcW w:w="5893" w:type="dxa"/>
            <w:tcBorders>
              <w:top w:val="single" w:color="auto" w:sz="4" w:space="0"/>
              <w:left w:val="single" w:color="auto" w:sz="4" w:space="0"/>
              <w:bottom w:val="single" w:color="auto" w:sz="4" w:space="0"/>
              <w:right w:val="single" w:color="auto" w:sz="4" w:space="0"/>
            </w:tcBorders>
            <w:vAlign w:val="center"/>
          </w:tcPr>
          <w:p w14:paraId="2623F077">
            <w:pPr>
              <w:keepNext w:val="0"/>
              <w:keepLines w:val="0"/>
              <w:pageBreakBefore w:val="0"/>
              <w:widowControl w:val="0"/>
              <w:kinsoku/>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不得有商业贿赂和不正当欺诈行为。如</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被证实有以上行为，将被视为不合格</w:t>
            </w:r>
            <w:r>
              <w:rPr>
                <w:rFonts w:hint="eastAsia" w:ascii="宋体" w:hAnsi="宋体" w:eastAsia="宋体" w:cs="宋体"/>
                <w:color w:val="auto"/>
                <w:sz w:val="24"/>
                <w:szCs w:val="24"/>
                <w:highlight w:val="none"/>
              </w:rPr>
              <w:t>。</w:t>
            </w:r>
          </w:p>
        </w:tc>
        <w:tc>
          <w:tcPr>
            <w:tcW w:w="1236" w:type="dxa"/>
            <w:tcBorders>
              <w:top w:val="single" w:color="auto" w:sz="4" w:space="0"/>
              <w:left w:val="single" w:color="auto" w:sz="4" w:space="0"/>
              <w:bottom w:val="single" w:color="auto" w:sz="4" w:space="0"/>
              <w:right w:val="double" w:color="auto" w:sz="4" w:space="0"/>
            </w:tcBorders>
            <w:vAlign w:val="center"/>
          </w:tcPr>
          <w:p w14:paraId="1728F4B4">
            <w:pPr>
              <w:adjustRightInd w:val="0"/>
              <w:snapToGrid w:val="0"/>
              <w:spacing w:line="360" w:lineRule="auto"/>
              <w:jc w:val="left"/>
              <w:rPr>
                <w:rFonts w:eastAsia="宋体"/>
                <w:sz w:val="24"/>
                <w:szCs w:val="21"/>
                <w:highlight w:val="none"/>
              </w:rPr>
            </w:pPr>
          </w:p>
        </w:tc>
      </w:tr>
      <w:tr w14:paraId="303C14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419" w:type="dxa"/>
            <w:vMerge w:val="continue"/>
            <w:tcBorders>
              <w:left w:val="double" w:color="auto" w:sz="4" w:space="0"/>
              <w:right w:val="single" w:color="auto" w:sz="4" w:space="0"/>
            </w:tcBorders>
            <w:vAlign w:val="center"/>
          </w:tcPr>
          <w:p w14:paraId="7D13F146">
            <w:pPr>
              <w:widowControl/>
              <w:spacing w:line="360" w:lineRule="auto"/>
              <w:jc w:val="left"/>
              <w:rPr>
                <w:rFonts w:eastAsia="宋体"/>
                <w:bCs/>
                <w:sz w:val="24"/>
                <w:szCs w:val="22"/>
                <w:highlight w:val="none"/>
              </w:rPr>
            </w:pPr>
          </w:p>
        </w:tc>
        <w:tc>
          <w:tcPr>
            <w:tcW w:w="5893" w:type="dxa"/>
            <w:tcBorders>
              <w:top w:val="single" w:color="auto" w:sz="4" w:space="0"/>
              <w:left w:val="single" w:color="auto" w:sz="4" w:space="0"/>
              <w:bottom w:val="single" w:color="auto" w:sz="4" w:space="0"/>
              <w:right w:val="single" w:color="auto" w:sz="4" w:space="0"/>
            </w:tcBorders>
            <w:vAlign w:val="center"/>
          </w:tcPr>
          <w:p w14:paraId="40A418B2">
            <w:pPr>
              <w:keepNext w:val="0"/>
              <w:keepLines w:val="0"/>
              <w:pageBreakBefore w:val="0"/>
              <w:widowControl w:val="0"/>
              <w:kinsoku/>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经营行为必须符合国家法律、法规和有关规定</w:t>
            </w:r>
            <w:r>
              <w:rPr>
                <w:rFonts w:hint="eastAsia" w:ascii="宋体" w:hAnsi="宋体" w:eastAsia="宋体" w:cs="宋体"/>
                <w:bCs/>
                <w:color w:val="auto"/>
                <w:sz w:val="24"/>
                <w:szCs w:val="24"/>
                <w:highlight w:val="none"/>
                <w:lang w:val="en-US" w:eastAsia="zh-CN"/>
              </w:rPr>
              <w:t>。</w:t>
            </w:r>
          </w:p>
        </w:tc>
        <w:tc>
          <w:tcPr>
            <w:tcW w:w="1236" w:type="dxa"/>
            <w:tcBorders>
              <w:top w:val="single" w:color="auto" w:sz="4" w:space="0"/>
              <w:left w:val="single" w:color="auto" w:sz="4" w:space="0"/>
              <w:bottom w:val="single" w:color="auto" w:sz="4" w:space="0"/>
              <w:right w:val="double" w:color="auto" w:sz="4" w:space="0"/>
            </w:tcBorders>
            <w:vAlign w:val="center"/>
          </w:tcPr>
          <w:p w14:paraId="345A8D2E">
            <w:pPr>
              <w:adjustRightInd w:val="0"/>
              <w:snapToGrid w:val="0"/>
              <w:spacing w:line="360" w:lineRule="auto"/>
              <w:jc w:val="left"/>
              <w:rPr>
                <w:rFonts w:eastAsia="宋体"/>
                <w:sz w:val="24"/>
                <w:szCs w:val="21"/>
                <w:highlight w:val="none"/>
              </w:rPr>
            </w:pPr>
          </w:p>
        </w:tc>
      </w:tr>
      <w:tr w14:paraId="144094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19" w:type="dxa"/>
            <w:vMerge w:val="continue"/>
            <w:tcBorders>
              <w:left w:val="double" w:color="auto" w:sz="4" w:space="0"/>
              <w:right w:val="single" w:color="auto" w:sz="4" w:space="0"/>
            </w:tcBorders>
            <w:vAlign w:val="center"/>
          </w:tcPr>
          <w:p w14:paraId="07505B2B">
            <w:pPr>
              <w:widowControl/>
              <w:spacing w:line="360" w:lineRule="auto"/>
              <w:jc w:val="left"/>
              <w:rPr>
                <w:rFonts w:eastAsia="宋体"/>
                <w:bCs/>
                <w:sz w:val="24"/>
                <w:szCs w:val="22"/>
                <w:highlight w:val="none"/>
              </w:rPr>
            </w:pPr>
          </w:p>
        </w:tc>
        <w:tc>
          <w:tcPr>
            <w:tcW w:w="5893" w:type="dxa"/>
            <w:tcBorders>
              <w:top w:val="single" w:color="auto" w:sz="4" w:space="0"/>
              <w:left w:val="single" w:color="auto" w:sz="4" w:space="0"/>
              <w:bottom w:val="single" w:color="auto" w:sz="4" w:space="0"/>
              <w:right w:val="single" w:color="auto" w:sz="4" w:space="0"/>
            </w:tcBorders>
            <w:vAlign w:val="center"/>
          </w:tcPr>
          <w:p w14:paraId="7ED0B0DF">
            <w:pPr>
              <w:keepNext w:val="0"/>
              <w:keepLines w:val="0"/>
              <w:pageBreakBefore w:val="0"/>
              <w:widowControl w:val="0"/>
              <w:kinsoku/>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次遴选</w:t>
            </w:r>
            <w:r>
              <w:rPr>
                <w:rFonts w:hint="eastAsia" w:ascii="宋体" w:hAnsi="宋体" w:eastAsia="宋体" w:cs="宋体"/>
                <w:color w:val="auto"/>
                <w:sz w:val="24"/>
                <w:szCs w:val="24"/>
                <w:highlight w:val="none"/>
              </w:rPr>
              <w:t>不接受联合体投标。</w:t>
            </w:r>
          </w:p>
        </w:tc>
        <w:tc>
          <w:tcPr>
            <w:tcW w:w="1236" w:type="dxa"/>
            <w:tcBorders>
              <w:top w:val="single" w:color="auto" w:sz="4" w:space="0"/>
              <w:left w:val="single" w:color="auto" w:sz="4" w:space="0"/>
              <w:bottom w:val="single" w:color="auto" w:sz="4" w:space="0"/>
              <w:right w:val="double" w:color="auto" w:sz="4" w:space="0"/>
            </w:tcBorders>
            <w:vAlign w:val="center"/>
          </w:tcPr>
          <w:p w14:paraId="329BCC28">
            <w:pPr>
              <w:adjustRightInd w:val="0"/>
              <w:snapToGrid w:val="0"/>
              <w:spacing w:line="360" w:lineRule="auto"/>
              <w:jc w:val="left"/>
              <w:rPr>
                <w:rFonts w:eastAsia="宋体"/>
                <w:sz w:val="24"/>
                <w:szCs w:val="21"/>
                <w:highlight w:val="none"/>
              </w:rPr>
            </w:pPr>
          </w:p>
        </w:tc>
      </w:tr>
      <w:tr w14:paraId="6362B5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419" w:type="dxa"/>
            <w:vMerge w:val="restart"/>
            <w:tcBorders>
              <w:top w:val="single" w:color="auto" w:sz="4" w:space="0"/>
              <w:left w:val="double" w:color="auto" w:sz="4" w:space="0"/>
              <w:bottom w:val="double" w:color="auto" w:sz="4" w:space="0"/>
              <w:right w:val="single" w:color="auto" w:sz="4" w:space="0"/>
            </w:tcBorders>
            <w:vAlign w:val="center"/>
          </w:tcPr>
          <w:p w14:paraId="2F6D33A6">
            <w:pPr>
              <w:pStyle w:val="91"/>
              <w:adjustRightInd w:val="0"/>
              <w:snapToGrid w:val="0"/>
              <w:spacing w:line="360" w:lineRule="auto"/>
              <w:ind w:firstLine="0" w:firstLineChars="0"/>
              <w:jc w:val="left"/>
              <w:rPr>
                <w:rFonts w:ascii="Times New Roman" w:hAnsi="Times New Roman"/>
                <w:bCs/>
                <w:sz w:val="24"/>
                <w:highlight w:val="none"/>
              </w:rPr>
            </w:pPr>
            <w:r>
              <w:rPr>
                <w:rFonts w:hint="eastAsia" w:ascii="Times New Roman" w:hAnsi="Times New Roman"/>
                <w:bCs/>
                <w:sz w:val="24"/>
                <w:highlight w:val="none"/>
              </w:rPr>
              <w:t>符合性审查</w:t>
            </w:r>
          </w:p>
        </w:tc>
        <w:tc>
          <w:tcPr>
            <w:tcW w:w="5893" w:type="dxa"/>
            <w:tcBorders>
              <w:top w:val="single" w:color="auto" w:sz="4" w:space="0"/>
              <w:left w:val="single" w:color="auto" w:sz="4" w:space="0"/>
              <w:bottom w:val="single" w:color="auto" w:sz="4" w:space="0"/>
              <w:right w:val="single" w:color="auto" w:sz="4" w:space="0"/>
            </w:tcBorders>
            <w:vAlign w:val="center"/>
          </w:tcPr>
          <w:p w14:paraId="3BE74584">
            <w:pPr>
              <w:pStyle w:val="91"/>
              <w:adjustRightInd w:val="0"/>
              <w:snapToGrid w:val="0"/>
              <w:spacing w:line="360" w:lineRule="auto"/>
              <w:ind w:firstLine="0" w:firstLineChars="0"/>
              <w:jc w:val="left"/>
              <w:rPr>
                <w:rFonts w:ascii="Times New Roman" w:hAnsi="Times New Roman"/>
                <w:bCs/>
                <w:sz w:val="24"/>
                <w:highlight w:val="none"/>
              </w:rPr>
            </w:pPr>
            <w:r>
              <w:rPr>
                <w:rFonts w:ascii="Times New Roman" w:hAnsi="Times New Roman"/>
                <w:bCs/>
                <w:sz w:val="24"/>
                <w:highlight w:val="none"/>
              </w:rPr>
              <w:t>1.</w:t>
            </w:r>
            <w:r>
              <w:rPr>
                <w:rFonts w:hint="eastAsia" w:ascii="Times New Roman" w:hAnsi="Times New Roman"/>
                <w:bCs/>
                <w:sz w:val="24"/>
                <w:highlight w:val="none"/>
              </w:rPr>
              <w:t>响应文件资料完整，打印、盖章、签字等情况符合要求。</w:t>
            </w:r>
          </w:p>
        </w:tc>
        <w:tc>
          <w:tcPr>
            <w:tcW w:w="1236" w:type="dxa"/>
            <w:tcBorders>
              <w:top w:val="single" w:color="auto" w:sz="4" w:space="0"/>
              <w:left w:val="single" w:color="auto" w:sz="4" w:space="0"/>
              <w:bottom w:val="single" w:color="auto" w:sz="4" w:space="0"/>
              <w:right w:val="double" w:color="auto" w:sz="4" w:space="0"/>
            </w:tcBorders>
            <w:vAlign w:val="center"/>
          </w:tcPr>
          <w:p w14:paraId="3DDA6791">
            <w:pPr>
              <w:pStyle w:val="91"/>
              <w:adjustRightInd w:val="0"/>
              <w:snapToGrid w:val="0"/>
              <w:spacing w:line="360" w:lineRule="auto"/>
              <w:ind w:firstLine="0" w:firstLineChars="0"/>
              <w:jc w:val="left"/>
              <w:rPr>
                <w:rFonts w:ascii="Times New Roman" w:hAnsi="Times New Roman"/>
                <w:bCs/>
                <w:sz w:val="24"/>
                <w:highlight w:val="none"/>
              </w:rPr>
            </w:pPr>
          </w:p>
        </w:tc>
      </w:tr>
      <w:tr w14:paraId="08BD88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419" w:type="dxa"/>
            <w:vMerge w:val="continue"/>
            <w:tcBorders>
              <w:top w:val="single" w:color="auto" w:sz="4" w:space="0"/>
              <w:left w:val="double" w:color="auto" w:sz="4" w:space="0"/>
              <w:bottom w:val="double" w:color="auto" w:sz="4" w:space="0"/>
              <w:right w:val="single" w:color="auto" w:sz="4" w:space="0"/>
            </w:tcBorders>
            <w:vAlign w:val="center"/>
          </w:tcPr>
          <w:p w14:paraId="5A4F0C60">
            <w:pPr>
              <w:widowControl/>
              <w:spacing w:line="360" w:lineRule="auto"/>
              <w:jc w:val="left"/>
              <w:rPr>
                <w:rFonts w:eastAsia="宋体"/>
                <w:bCs/>
                <w:sz w:val="24"/>
                <w:szCs w:val="22"/>
                <w:highlight w:val="none"/>
              </w:rPr>
            </w:pPr>
          </w:p>
        </w:tc>
        <w:tc>
          <w:tcPr>
            <w:tcW w:w="5893" w:type="dxa"/>
            <w:tcBorders>
              <w:top w:val="single" w:color="auto" w:sz="4" w:space="0"/>
              <w:left w:val="single" w:color="auto" w:sz="4" w:space="0"/>
              <w:bottom w:val="single" w:color="auto" w:sz="4" w:space="0"/>
              <w:right w:val="single" w:color="auto" w:sz="4" w:space="0"/>
            </w:tcBorders>
            <w:vAlign w:val="center"/>
          </w:tcPr>
          <w:p w14:paraId="24C0A2FE">
            <w:pPr>
              <w:pStyle w:val="91"/>
              <w:adjustRightInd w:val="0"/>
              <w:snapToGrid w:val="0"/>
              <w:spacing w:line="360" w:lineRule="auto"/>
              <w:ind w:firstLine="0" w:firstLineChars="0"/>
              <w:jc w:val="left"/>
              <w:rPr>
                <w:rFonts w:ascii="Times New Roman" w:hAnsi="Times New Roman"/>
                <w:bCs/>
                <w:sz w:val="24"/>
                <w:highlight w:val="none"/>
              </w:rPr>
            </w:pPr>
            <w:r>
              <w:rPr>
                <w:rFonts w:ascii="Times New Roman" w:hAnsi="Times New Roman"/>
                <w:bCs/>
                <w:sz w:val="24"/>
                <w:highlight w:val="none"/>
              </w:rPr>
              <w:t>2.</w:t>
            </w:r>
            <w:r>
              <w:rPr>
                <w:rFonts w:hint="eastAsia" w:ascii="Times New Roman" w:hAnsi="Times New Roman"/>
                <w:bCs/>
                <w:sz w:val="24"/>
                <w:highlight w:val="none"/>
              </w:rPr>
              <w:t>有效的法定代表人／授权委托书。</w:t>
            </w:r>
          </w:p>
        </w:tc>
        <w:tc>
          <w:tcPr>
            <w:tcW w:w="1236" w:type="dxa"/>
            <w:tcBorders>
              <w:top w:val="single" w:color="auto" w:sz="4" w:space="0"/>
              <w:left w:val="single" w:color="auto" w:sz="4" w:space="0"/>
              <w:bottom w:val="single" w:color="auto" w:sz="4" w:space="0"/>
              <w:right w:val="double" w:color="auto" w:sz="4" w:space="0"/>
            </w:tcBorders>
            <w:vAlign w:val="center"/>
          </w:tcPr>
          <w:p w14:paraId="3622ACEA">
            <w:pPr>
              <w:pStyle w:val="91"/>
              <w:adjustRightInd w:val="0"/>
              <w:snapToGrid w:val="0"/>
              <w:spacing w:line="360" w:lineRule="auto"/>
              <w:ind w:firstLine="0" w:firstLineChars="0"/>
              <w:jc w:val="left"/>
              <w:rPr>
                <w:rFonts w:ascii="Times New Roman" w:hAnsi="Times New Roman"/>
                <w:bCs/>
                <w:sz w:val="24"/>
                <w:highlight w:val="none"/>
              </w:rPr>
            </w:pPr>
          </w:p>
        </w:tc>
      </w:tr>
      <w:tr w14:paraId="4006F5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419" w:type="dxa"/>
            <w:vMerge w:val="continue"/>
            <w:tcBorders>
              <w:top w:val="single" w:color="auto" w:sz="4" w:space="0"/>
              <w:left w:val="double" w:color="auto" w:sz="4" w:space="0"/>
              <w:bottom w:val="double" w:color="auto" w:sz="4" w:space="0"/>
              <w:right w:val="single" w:color="auto" w:sz="4" w:space="0"/>
            </w:tcBorders>
            <w:vAlign w:val="center"/>
          </w:tcPr>
          <w:p w14:paraId="32329338">
            <w:pPr>
              <w:widowControl/>
              <w:spacing w:line="360" w:lineRule="auto"/>
              <w:jc w:val="left"/>
              <w:rPr>
                <w:rFonts w:eastAsia="宋体"/>
                <w:bCs/>
                <w:sz w:val="24"/>
                <w:szCs w:val="22"/>
                <w:highlight w:val="none"/>
              </w:rPr>
            </w:pPr>
          </w:p>
        </w:tc>
        <w:tc>
          <w:tcPr>
            <w:tcW w:w="5893" w:type="dxa"/>
            <w:tcBorders>
              <w:top w:val="single" w:color="auto" w:sz="4" w:space="0"/>
              <w:left w:val="single" w:color="auto" w:sz="4" w:space="0"/>
              <w:bottom w:val="single" w:color="auto" w:sz="4" w:space="0"/>
              <w:right w:val="single" w:color="auto" w:sz="4" w:space="0"/>
            </w:tcBorders>
            <w:vAlign w:val="center"/>
          </w:tcPr>
          <w:p w14:paraId="49E9A14D">
            <w:pPr>
              <w:pStyle w:val="93"/>
              <w:kinsoku w:val="0"/>
              <w:overflowPunct w:val="0"/>
              <w:spacing w:line="360" w:lineRule="auto"/>
              <w:jc w:val="left"/>
              <w:rPr>
                <w:rFonts w:ascii="宋体" w:cs="宋体"/>
                <w:highlight w:val="none"/>
              </w:rPr>
            </w:pPr>
            <w:r>
              <w:rPr>
                <w:rFonts w:ascii="宋体" w:cs="宋体"/>
                <w:highlight w:val="none"/>
              </w:rPr>
              <w:t>3</w:t>
            </w:r>
            <w:r>
              <w:rPr>
                <w:rFonts w:hint="eastAsia" w:ascii="宋体" w:cs="宋体"/>
                <w:highlight w:val="none"/>
              </w:rPr>
              <w:t>.报价总金额未超过本项目采购项目预算。</w:t>
            </w:r>
          </w:p>
        </w:tc>
        <w:tc>
          <w:tcPr>
            <w:tcW w:w="1236" w:type="dxa"/>
            <w:tcBorders>
              <w:top w:val="single" w:color="auto" w:sz="4" w:space="0"/>
              <w:left w:val="single" w:color="auto" w:sz="4" w:space="0"/>
              <w:bottom w:val="single" w:color="auto" w:sz="4" w:space="0"/>
              <w:right w:val="double" w:color="auto" w:sz="4" w:space="0"/>
            </w:tcBorders>
            <w:vAlign w:val="center"/>
          </w:tcPr>
          <w:p w14:paraId="2DEE52EC">
            <w:pPr>
              <w:pStyle w:val="91"/>
              <w:adjustRightInd w:val="0"/>
              <w:snapToGrid w:val="0"/>
              <w:spacing w:line="360" w:lineRule="auto"/>
              <w:ind w:firstLine="0" w:firstLineChars="0"/>
              <w:jc w:val="left"/>
              <w:rPr>
                <w:rFonts w:ascii="Times New Roman" w:hAnsi="Times New Roman"/>
                <w:bCs/>
                <w:color w:val="FF0000"/>
                <w:sz w:val="24"/>
                <w:highlight w:val="none"/>
              </w:rPr>
            </w:pPr>
          </w:p>
        </w:tc>
      </w:tr>
      <w:tr w14:paraId="44C108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419" w:type="dxa"/>
            <w:vMerge w:val="continue"/>
            <w:tcBorders>
              <w:top w:val="single" w:color="auto" w:sz="4" w:space="0"/>
              <w:left w:val="double" w:color="auto" w:sz="4" w:space="0"/>
              <w:bottom w:val="double" w:color="auto" w:sz="4" w:space="0"/>
              <w:right w:val="single" w:color="auto" w:sz="4" w:space="0"/>
            </w:tcBorders>
            <w:vAlign w:val="center"/>
          </w:tcPr>
          <w:p w14:paraId="587B1761">
            <w:pPr>
              <w:widowControl/>
              <w:spacing w:line="360" w:lineRule="auto"/>
              <w:jc w:val="left"/>
              <w:rPr>
                <w:rFonts w:eastAsia="宋体"/>
                <w:bCs/>
                <w:sz w:val="24"/>
                <w:szCs w:val="22"/>
                <w:highlight w:val="none"/>
              </w:rPr>
            </w:pPr>
          </w:p>
        </w:tc>
        <w:tc>
          <w:tcPr>
            <w:tcW w:w="5893" w:type="dxa"/>
            <w:tcBorders>
              <w:top w:val="single" w:color="auto" w:sz="4" w:space="0"/>
              <w:left w:val="single" w:color="auto" w:sz="4" w:space="0"/>
              <w:bottom w:val="double" w:color="auto" w:sz="4" w:space="0"/>
              <w:right w:val="single" w:color="auto" w:sz="4" w:space="0"/>
            </w:tcBorders>
            <w:vAlign w:val="center"/>
          </w:tcPr>
          <w:p w14:paraId="3E0020DD">
            <w:pPr>
              <w:pStyle w:val="93"/>
              <w:kinsoku w:val="0"/>
              <w:overflowPunct w:val="0"/>
              <w:spacing w:line="360" w:lineRule="auto"/>
              <w:jc w:val="left"/>
              <w:rPr>
                <w:highlight w:val="none"/>
              </w:rPr>
            </w:pPr>
            <w:r>
              <w:rPr>
                <w:highlight w:val="none"/>
              </w:rPr>
              <w:t>4.</w:t>
            </w:r>
            <w:r>
              <w:rPr>
                <w:rFonts w:hint="eastAsia"/>
                <w:highlight w:val="none"/>
              </w:rPr>
              <w:t>没有其他未实质性响应文件要求的。</w:t>
            </w:r>
          </w:p>
        </w:tc>
        <w:tc>
          <w:tcPr>
            <w:tcW w:w="1236" w:type="dxa"/>
            <w:tcBorders>
              <w:top w:val="single" w:color="auto" w:sz="4" w:space="0"/>
              <w:left w:val="single" w:color="auto" w:sz="4" w:space="0"/>
              <w:bottom w:val="double" w:color="auto" w:sz="4" w:space="0"/>
              <w:right w:val="double" w:color="auto" w:sz="4" w:space="0"/>
            </w:tcBorders>
            <w:vAlign w:val="center"/>
          </w:tcPr>
          <w:p w14:paraId="2CA2E9FC">
            <w:pPr>
              <w:pStyle w:val="91"/>
              <w:adjustRightInd w:val="0"/>
              <w:snapToGrid w:val="0"/>
              <w:spacing w:line="360" w:lineRule="auto"/>
              <w:ind w:firstLine="0" w:firstLineChars="0"/>
              <w:jc w:val="left"/>
              <w:rPr>
                <w:rFonts w:ascii="Times New Roman" w:hAnsi="Times New Roman"/>
                <w:bCs/>
                <w:color w:val="FF0000"/>
                <w:sz w:val="24"/>
                <w:highlight w:val="none"/>
              </w:rPr>
            </w:pPr>
          </w:p>
        </w:tc>
      </w:tr>
    </w:tbl>
    <w:p w14:paraId="10ADD4B8">
      <w:pPr>
        <w:spacing w:line="360" w:lineRule="auto"/>
        <w:rPr>
          <w:rFonts w:ascii="宋体" w:hAnsi="宋体" w:eastAsia="宋体"/>
          <w:color w:val="000000"/>
          <w:sz w:val="24"/>
          <w:szCs w:val="24"/>
          <w:highlight w:val="none"/>
        </w:rPr>
      </w:pPr>
      <w:r>
        <w:rPr>
          <w:rFonts w:hint="eastAsia" w:ascii="宋体" w:hAnsi="宋体" w:eastAsia="宋体"/>
          <w:color w:val="000000"/>
          <w:sz w:val="24"/>
          <w:szCs w:val="24"/>
          <w:highlight w:val="none"/>
        </w:rPr>
        <w:t>备注：1. 每一项符合的打“√”，不符合的打“×”。</w:t>
      </w:r>
    </w:p>
    <w:p w14:paraId="6A13637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olor w:val="000000"/>
          <w:sz w:val="24"/>
          <w:szCs w:val="24"/>
          <w:highlight w:val="none"/>
        </w:rPr>
        <w:t xml:space="preserve"> </w:t>
      </w:r>
      <w:r>
        <w:rPr>
          <w:rFonts w:hint="eastAsia" w:ascii="宋体" w:hAnsi="宋体" w:eastAsia="宋体" w:cs="宋体"/>
          <w:color w:val="000000"/>
          <w:sz w:val="24"/>
          <w:szCs w:val="24"/>
          <w:highlight w:val="none"/>
        </w:rPr>
        <w:t xml:space="preserve"> 2.</w:t>
      </w:r>
      <w:r>
        <w:rPr>
          <w:rFonts w:hint="eastAsia" w:ascii="宋体" w:hAnsi="宋体" w:eastAsia="宋体" w:cs="宋体"/>
          <w:sz w:val="24"/>
          <w:szCs w:val="24"/>
          <w:highlight w:val="none"/>
        </w:rPr>
        <w:t>评</w:t>
      </w:r>
      <w:r>
        <w:rPr>
          <w:rFonts w:hint="eastAsia" w:ascii="宋体" w:hAnsi="宋体" w:eastAsia="宋体" w:cs="宋体"/>
          <w:color w:val="000000"/>
          <w:sz w:val="24"/>
          <w:szCs w:val="24"/>
          <w:highlight w:val="none"/>
        </w:rPr>
        <w:t>委认为通过初审的响应文件为有效响应文件，否则视为不通过。通过初审的响应文件方可进入</w:t>
      </w:r>
      <w:r>
        <w:rPr>
          <w:rFonts w:hint="eastAsia" w:ascii="宋体" w:hAnsi="宋体" w:eastAsia="宋体" w:cs="宋体"/>
          <w:color w:val="000000"/>
          <w:sz w:val="24"/>
          <w:szCs w:val="24"/>
          <w:highlight w:val="none"/>
          <w:lang w:val="en-US" w:eastAsia="zh-CN"/>
        </w:rPr>
        <w:t>报价评审</w:t>
      </w:r>
      <w:r>
        <w:rPr>
          <w:rFonts w:hint="eastAsia" w:ascii="宋体" w:hAnsi="宋体" w:eastAsia="宋体" w:cs="宋体"/>
          <w:color w:val="000000"/>
          <w:sz w:val="24"/>
          <w:szCs w:val="24"/>
          <w:highlight w:val="none"/>
        </w:rPr>
        <w:t>程序，视为不通过的响应文件，作无效</w:t>
      </w:r>
      <w:r>
        <w:rPr>
          <w:rFonts w:hint="eastAsia" w:ascii="宋体" w:hAnsi="宋体" w:eastAsia="宋体" w:cs="宋体"/>
          <w:color w:val="000000"/>
          <w:sz w:val="24"/>
          <w:szCs w:val="24"/>
          <w:highlight w:val="none"/>
          <w:lang w:eastAsia="zh-CN"/>
        </w:rPr>
        <w:t>响应</w:t>
      </w:r>
      <w:r>
        <w:rPr>
          <w:rFonts w:hint="eastAsia" w:ascii="宋体" w:hAnsi="宋体" w:eastAsia="宋体" w:cs="宋体"/>
          <w:color w:val="000000"/>
          <w:sz w:val="24"/>
          <w:szCs w:val="24"/>
          <w:highlight w:val="none"/>
        </w:rPr>
        <w:t>处理，由评标委员会出具书面说明。</w:t>
      </w:r>
    </w:p>
    <w:p w14:paraId="763DFAFF">
      <w:pPr>
        <w:pStyle w:val="23"/>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二</w:t>
      </w:r>
      <w:r>
        <w:rPr>
          <w:rFonts w:hint="eastAsia" w:ascii="宋体" w:hAnsi="宋体" w:eastAsia="宋体" w:cs="宋体"/>
          <w:b/>
          <w:sz w:val="24"/>
          <w:szCs w:val="24"/>
          <w:highlight w:val="none"/>
        </w:rPr>
        <w:t>、报价评审</w:t>
      </w:r>
    </w:p>
    <w:p w14:paraId="64810F3F">
      <w:pPr>
        <w:keepNext w:val="0"/>
        <w:keepLines w:val="0"/>
        <w:pageBreakBefore w:val="0"/>
        <w:widowControl w:val="0"/>
        <w:tabs>
          <w:tab w:val="left" w:pos="1365"/>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1.价格核准：</w:t>
      </w:r>
      <w:r>
        <w:rPr>
          <w:rFonts w:hint="eastAsia" w:ascii="宋体" w:hAnsi="宋体" w:eastAsia="宋体" w:cs="宋体"/>
          <w:sz w:val="24"/>
          <w:szCs w:val="24"/>
          <w:highlight w:val="none"/>
          <w:lang w:eastAsia="zh-CN"/>
        </w:rPr>
        <w:t>遴选</w:t>
      </w:r>
      <w:r>
        <w:rPr>
          <w:rFonts w:hint="eastAsia" w:ascii="宋体" w:hAnsi="宋体" w:eastAsia="宋体" w:cs="宋体"/>
          <w:sz w:val="24"/>
          <w:szCs w:val="24"/>
          <w:highlight w:val="none"/>
        </w:rPr>
        <w:t>小组对有效供应商的详细报价进行复核，审查是否有计算上的错误或供货范围上的错误。对错误修正的原则如下：</w:t>
      </w:r>
    </w:p>
    <w:p w14:paraId="7F4389D8">
      <w:pPr>
        <w:keepNext w:val="0"/>
        <w:keepLines w:val="0"/>
        <w:pageBreakBefore w:val="0"/>
        <w:widowControl w:val="0"/>
        <w:tabs>
          <w:tab w:val="left" w:pos="1365"/>
          <w:tab w:val="left" w:pos="1470"/>
        </w:tabs>
        <w:kinsoku/>
        <w:wordWrap/>
        <w:overflowPunct/>
        <w:topLinePunct w:val="0"/>
        <w:autoSpaceDE/>
        <w:autoSpaceDN/>
        <w:bidi w:val="0"/>
        <w:adjustRightInd/>
        <w:snapToGrid/>
        <w:spacing w:line="360" w:lineRule="auto"/>
        <w:ind w:left="0" w:firstLine="480" w:firstLineChars="200"/>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1.1响应文件的大写金额和小写金额不一致的，以大写金额为准。</w:t>
      </w:r>
    </w:p>
    <w:p w14:paraId="1BD6AC25">
      <w:pPr>
        <w:keepNext w:val="0"/>
        <w:keepLines w:val="0"/>
        <w:pageBreakBefore w:val="0"/>
        <w:widowControl w:val="0"/>
        <w:tabs>
          <w:tab w:val="left" w:pos="1365"/>
          <w:tab w:val="left" w:pos="147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1.2当单价和数量的乘积与总价不一致时，以单价为准，并修正总价，但单价金额小数点有明显错误的除外。</w:t>
      </w:r>
    </w:p>
    <w:p w14:paraId="0FFC1239">
      <w:pPr>
        <w:keepNext w:val="0"/>
        <w:keepLines w:val="0"/>
        <w:pageBreakBefore w:val="0"/>
        <w:widowControl w:val="0"/>
        <w:tabs>
          <w:tab w:val="left" w:pos="1365"/>
          <w:tab w:val="left" w:pos="1470"/>
        </w:tabs>
        <w:kinsoku/>
        <w:wordWrap/>
        <w:overflowPunct/>
        <w:topLinePunct w:val="0"/>
        <w:autoSpaceDE/>
        <w:autoSpaceDN/>
        <w:bidi w:val="0"/>
        <w:adjustRightInd/>
        <w:snapToGrid/>
        <w:spacing w:line="360" w:lineRule="auto"/>
        <w:ind w:left="0" w:firstLine="480" w:firstLineChars="200"/>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1.3当分项之和与总价不一致时，以单价为准，并修正总价。</w:t>
      </w:r>
    </w:p>
    <w:p w14:paraId="27898BCB">
      <w:pPr>
        <w:pStyle w:val="23"/>
        <w:keepNext w:val="0"/>
        <w:keepLines w:val="0"/>
        <w:pageBreakBefore w:val="0"/>
        <w:widowControl w:val="0"/>
        <w:tabs>
          <w:tab w:val="left" w:pos="1365"/>
        </w:tabs>
        <w:kinsoku/>
        <w:wordWrap/>
        <w:overflowPunct/>
        <w:topLinePunct w:val="0"/>
        <w:autoSpaceDE/>
        <w:autoSpaceDN/>
        <w:bidi w:val="0"/>
        <w:adjustRightInd/>
        <w:snapToGrid/>
        <w:spacing w:line="360" w:lineRule="auto"/>
        <w:ind w:left="0" w:firstLine="482" w:firstLineChars="200"/>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三</w:t>
      </w:r>
      <w:r>
        <w:rPr>
          <w:rFonts w:hint="eastAsia" w:ascii="宋体" w:hAnsi="宋体" w:eastAsia="宋体" w:cs="宋体"/>
          <w:b/>
          <w:sz w:val="24"/>
          <w:szCs w:val="24"/>
          <w:highlight w:val="none"/>
        </w:rPr>
        <w:t>、成交供应商的确定</w:t>
      </w:r>
    </w:p>
    <w:p w14:paraId="1F717C1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1．采购人将根据符合采购需求、质量和服务均能满足遴选文件实质性要求的有效遴选供应商，按其</w:t>
      </w:r>
      <w:r>
        <w:rPr>
          <w:rFonts w:hint="eastAsia" w:ascii="宋体" w:hAnsi="宋体" w:eastAsia="宋体" w:cs="宋体"/>
          <w:b/>
          <w:bCs/>
          <w:sz w:val="24"/>
          <w:szCs w:val="24"/>
          <w:highlight w:val="none"/>
          <w:u w:val="single"/>
        </w:rPr>
        <w:t>最终报价由低到高的顺序</w:t>
      </w:r>
      <w:r>
        <w:rPr>
          <w:rFonts w:hint="eastAsia" w:ascii="宋体" w:hAnsi="宋体" w:eastAsia="宋体" w:cs="宋体"/>
          <w:sz w:val="24"/>
          <w:szCs w:val="24"/>
          <w:highlight w:val="none"/>
        </w:rPr>
        <w:t>，推荐成交候选供应商名单。</w:t>
      </w:r>
    </w:p>
    <w:p w14:paraId="19C1E15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i w:val="0"/>
          <w:iCs w:val="0"/>
          <w:caps w:val="0"/>
          <w:color w:val="0F1115"/>
          <w:spacing w:val="0"/>
          <w:sz w:val="24"/>
          <w:szCs w:val="24"/>
          <w:highlight w:val="none"/>
          <w:shd w:val="clear" w:fill="FFFFFF"/>
        </w:rPr>
      </w:pPr>
      <w:r>
        <w:rPr>
          <w:rFonts w:hint="eastAsia" w:ascii="宋体" w:hAnsi="宋体" w:eastAsia="宋体" w:cs="宋体"/>
          <w:sz w:val="24"/>
          <w:szCs w:val="24"/>
          <w:highlight w:val="none"/>
        </w:rPr>
        <w:t>2.</w:t>
      </w:r>
      <w:r>
        <w:rPr>
          <w:rFonts w:hint="eastAsia" w:ascii="宋体" w:hAnsi="宋体" w:eastAsia="宋体" w:cs="宋体"/>
          <w:i w:val="0"/>
          <w:iCs w:val="0"/>
          <w:caps w:val="0"/>
          <w:color w:val="0F1115"/>
          <w:spacing w:val="0"/>
          <w:sz w:val="24"/>
          <w:szCs w:val="24"/>
          <w:highlight w:val="none"/>
          <w:shd w:val="clear" w:fill="FFFFFF"/>
        </w:rPr>
        <w:t>采购人将确定</w:t>
      </w:r>
      <w:r>
        <w:rPr>
          <w:rStyle w:val="45"/>
          <w:rFonts w:hint="eastAsia" w:ascii="宋体" w:hAnsi="宋体" w:eastAsia="宋体" w:cs="宋体"/>
          <w:b/>
          <w:bCs/>
          <w:i w:val="0"/>
          <w:iCs w:val="0"/>
          <w:caps w:val="0"/>
          <w:color w:val="0F1115"/>
          <w:spacing w:val="0"/>
          <w:sz w:val="24"/>
          <w:szCs w:val="24"/>
          <w:highlight w:val="none"/>
          <w:shd w:val="clear" w:fill="FFFFFF"/>
        </w:rPr>
        <w:t>排序第一的成交候选供应商</w:t>
      </w:r>
      <w:r>
        <w:rPr>
          <w:rFonts w:hint="eastAsia" w:ascii="宋体" w:hAnsi="宋体" w:eastAsia="宋体" w:cs="宋体"/>
          <w:i w:val="0"/>
          <w:iCs w:val="0"/>
          <w:caps w:val="0"/>
          <w:color w:val="0F1115"/>
          <w:spacing w:val="0"/>
          <w:sz w:val="24"/>
          <w:szCs w:val="24"/>
          <w:highlight w:val="none"/>
          <w:shd w:val="clear" w:fill="FFFFFF"/>
        </w:rPr>
        <w:t>为成交供应商。</w:t>
      </w:r>
    </w:p>
    <w:p w14:paraId="0FCDC8E9">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eastAsia="宋体"/>
          <w:highlight w:val="none"/>
          <w:lang w:val="en-US" w:eastAsia="zh-CN"/>
        </w:rPr>
      </w:pPr>
      <w:r>
        <w:rPr>
          <w:rFonts w:hint="eastAsia" w:ascii="宋体" w:hAnsi="宋体" w:eastAsia="宋体" w:cs="宋体"/>
          <w:i w:val="0"/>
          <w:iCs w:val="0"/>
          <w:caps w:val="0"/>
          <w:color w:val="0F1115"/>
          <w:spacing w:val="0"/>
          <w:sz w:val="24"/>
          <w:szCs w:val="24"/>
          <w:highlight w:val="none"/>
          <w:shd w:val="clear" w:fill="FFFFFF"/>
          <w:lang w:val="en-US" w:eastAsia="zh-CN"/>
        </w:rPr>
        <w:t>3.如出现两家或多家供应商最终报价相同且均排序第一的情况，由评审委员会根据《开平市中心医院采购管理办法》的规定，在监督员监督下以随机抽取方式确定最终排序。</w:t>
      </w:r>
    </w:p>
    <w:p w14:paraId="44FC44C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i w:val="0"/>
          <w:iCs w:val="0"/>
          <w:caps w:val="0"/>
          <w:color w:val="0F1115"/>
          <w:spacing w:val="0"/>
          <w:sz w:val="24"/>
          <w:szCs w:val="24"/>
          <w:highlight w:val="none"/>
          <w:shd w:val="clear" w:fill="FFFFFF"/>
        </w:rPr>
      </w:pPr>
      <w:r>
        <w:rPr>
          <w:rFonts w:hint="eastAsia" w:ascii="宋体" w:hAnsi="宋体" w:eastAsia="宋体" w:cs="宋体"/>
          <w:i w:val="0"/>
          <w:iCs w:val="0"/>
          <w:caps w:val="0"/>
          <w:color w:val="0F1115"/>
          <w:spacing w:val="0"/>
          <w:sz w:val="24"/>
          <w:szCs w:val="24"/>
          <w:highlight w:val="none"/>
          <w:shd w:val="clear" w:fill="FFFFFF"/>
          <w:lang w:val="en-US" w:eastAsia="zh-CN"/>
        </w:rPr>
        <w:t>4.</w:t>
      </w:r>
      <w:r>
        <w:rPr>
          <w:rFonts w:hint="eastAsia" w:ascii="宋体" w:hAnsi="宋体" w:eastAsia="宋体" w:cs="宋体"/>
          <w:i w:val="0"/>
          <w:iCs w:val="0"/>
          <w:caps w:val="0"/>
          <w:color w:val="0F1115"/>
          <w:spacing w:val="0"/>
          <w:sz w:val="24"/>
          <w:szCs w:val="24"/>
          <w:highlight w:val="none"/>
          <w:shd w:val="clear" w:fill="FFFFFF"/>
        </w:rPr>
        <w:t>如排序第一的成交候选供应商因不可抗力或自身原因放弃成交、或被查实存在影响成交结果的违法行为、或未按遴选文件规定签订合同，采购人可以根据排名顺序确定排序次之的候选供应商为成交供应商，或重新开展遴选活动。</w:t>
      </w:r>
    </w:p>
    <w:p w14:paraId="704F9C65">
      <w:pPr>
        <w:spacing w:line="360" w:lineRule="auto"/>
        <w:ind w:firstLine="720" w:firstLineChars="200"/>
        <w:rPr>
          <w:rFonts w:eastAsia="宋体"/>
          <w:sz w:val="24"/>
          <w:szCs w:val="21"/>
          <w:highlight w:val="none"/>
        </w:rPr>
      </w:pPr>
      <w:r>
        <w:rPr>
          <w:sz w:val="36"/>
          <w:szCs w:val="28"/>
          <w:highlight w:val="none"/>
        </w:rPr>
        <w:br w:type="page"/>
      </w:r>
    </w:p>
    <w:p w14:paraId="111A28EC">
      <w:pPr>
        <w:pStyle w:val="3"/>
        <w:keepNext w:val="0"/>
        <w:keepLines w:val="0"/>
        <w:spacing w:before="0" w:after="0" w:line="360" w:lineRule="auto"/>
        <w:jc w:val="center"/>
        <w:rPr>
          <w:rFonts w:ascii="Times New Roman"/>
          <w:sz w:val="36"/>
          <w:szCs w:val="28"/>
          <w:highlight w:val="none"/>
        </w:rPr>
      </w:pPr>
      <w:bookmarkStart w:id="172" w:name="_Toc169861824"/>
      <w:r>
        <w:rPr>
          <w:rFonts w:ascii="Times New Roman"/>
          <w:sz w:val="36"/>
          <w:szCs w:val="28"/>
          <w:highlight w:val="none"/>
        </w:rPr>
        <w:t>第五部分</w:t>
      </w:r>
      <w:bookmarkEnd w:id="161"/>
      <w:bookmarkEnd w:id="162"/>
      <w:bookmarkEnd w:id="163"/>
      <w:bookmarkEnd w:id="164"/>
      <w:bookmarkEnd w:id="165"/>
      <w:bookmarkStart w:id="173" w:name="_Toc231028109"/>
      <w:bookmarkStart w:id="174" w:name="_Toc51939458"/>
      <w:bookmarkStart w:id="175" w:name="_Toc52021540"/>
      <w:bookmarkStart w:id="176" w:name="_Toc51756493"/>
      <w:bookmarkStart w:id="177" w:name="_Toc56353013"/>
      <w:bookmarkStart w:id="178" w:name="_Toc52027928"/>
      <w:r>
        <w:rPr>
          <w:rFonts w:hint="eastAsia" w:ascii="Times New Roman"/>
          <w:sz w:val="36"/>
          <w:szCs w:val="28"/>
          <w:highlight w:val="none"/>
        </w:rPr>
        <w:t xml:space="preserve"> 合同</w:t>
      </w:r>
      <w:r>
        <w:rPr>
          <w:rFonts w:ascii="Times New Roman"/>
          <w:sz w:val="36"/>
          <w:szCs w:val="28"/>
          <w:highlight w:val="none"/>
        </w:rPr>
        <w:t>书格式</w:t>
      </w:r>
      <w:bookmarkEnd w:id="172"/>
      <w:bookmarkEnd w:id="173"/>
      <w:bookmarkEnd w:id="174"/>
      <w:bookmarkEnd w:id="175"/>
      <w:bookmarkEnd w:id="176"/>
      <w:bookmarkEnd w:id="177"/>
      <w:bookmarkEnd w:id="178"/>
    </w:p>
    <w:p w14:paraId="6BBC5512">
      <w:pPr>
        <w:spacing w:line="360" w:lineRule="auto"/>
        <w:jc w:val="center"/>
        <w:outlineLvl w:val="1"/>
        <w:rPr>
          <w:rFonts w:ascii="宋体" w:hAnsi="宋体" w:eastAsia="宋体"/>
          <w:sz w:val="36"/>
          <w:highlight w:val="none"/>
        </w:rPr>
      </w:pPr>
      <w:r>
        <w:rPr>
          <w:rFonts w:hint="eastAsia" w:ascii="宋体" w:hAnsi="宋体" w:eastAsia="宋体"/>
          <w:b/>
          <w:bCs/>
          <w:sz w:val="36"/>
          <w:highlight w:val="none"/>
        </w:rPr>
        <w:t>（</w:t>
      </w:r>
      <w:r>
        <w:rPr>
          <w:rFonts w:hint="eastAsia" w:eastAsia="宋体"/>
          <w:b/>
          <w:kern w:val="44"/>
          <w:sz w:val="36"/>
          <w:szCs w:val="28"/>
          <w:highlight w:val="none"/>
        </w:rPr>
        <w:t>提供参考，具体内容由发包人及承包人协商制定）</w:t>
      </w:r>
    </w:p>
    <w:bookmarkEnd w:id="166"/>
    <w:bookmarkEnd w:id="167"/>
    <w:bookmarkEnd w:id="168"/>
    <w:bookmarkEnd w:id="169"/>
    <w:bookmarkEnd w:id="170"/>
    <w:bookmarkEnd w:id="171"/>
    <w:p w14:paraId="2EE446BC">
      <w:pPr>
        <w:widowControl/>
        <w:jc w:val="left"/>
        <w:rPr>
          <w:rFonts w:ascii="宋体" w:hAnsi="宋体" w:eastAsia="宋体"/>
          <w:color w:val="000000"/>
          <w:sz w:val="24"/>
          <w:szCs w:val="24"/>
          <w:highlight w:val="none"/>
        </w:rPr>
      </w:pPr>
      <w:bookmarkStart w:id="179" w:name="_Toc68692538"/>
      <w:bookmarkStart w:id="180" w:name="_Toc525038118"/>
      <w:bookmarkStart w:id="181" w:name="_Toc179863374"/>
      <w:bookmarkStart w:id="182" w:name="_Toc130700696"/>
      <w:bookmarkStart w:id="183" w:name="_Toc130745579"/>
      <w:bookmarkStart w:id="184" w:name="_Toc463071379"/>
      <w:bookmarkStart w:id="185" w:name="_Toc463067548"/>
      <w:bookmarkStart w:id="186" w:name="_Toc465148449"/>
      <w:bookmarkStart w:id="187" w:name="_Toc206902161"/>
      <w:bookmarkStart w:id="188" w:name="_Toc463071832"/>
      <w:bookmarkStart w:id="189" w:name="_Toc51756507"/>
      <w:bookmarkStart w:id="190" w:name="_Toc52027930"/>
      <w:bookmarkStart w:id="191" w:name="_Toc56353015"/>
      <w:bookmarkStart w:id="192" w:name="_Toc51939472"/>
      <w:bookmarkStart w:id="193" w:name="_Toc52021542"/>
      <w:bookmarkStart w:id="194" w:name="_Toc467236767"/>
      <w:bookmarkStart w:id="195" w:name="_Toc476976199"/>
      <w:bookmarkStart w:id="196" w:name="_Toc454701404"/>
      <w:bookmarkStart w:id="197" w:name="_Toc486671571"/>
      <w:bookmarkStart w:id="198" w:name="_Toc458262637"/>
      <w:r>
        <w:rPr>
          <w:highlight w:val="none"/>
        </w:rPr>
        <w:br w:type="page"/>
      </w:r>
      <w:bookmarkStart w:id="199" w:name="_Toc78354640"/>
    </w:p>
    <w:p w14:paraId="4DEEE443">
      <w:pPr>
        <w:autoSpaceDE w:val="0"/>
        <w:autoSpaceDN w:val="0"/>
        <w:adjustRightInd w:val="0"/>
        <w:spacing w:line="240" w:lineRule="auto"/>
        <w:ind w:firstLine="883" w:firstLineChars="200"/>
        <w:jc w:val="center"/>
        <w:rPr>
          <w:rFonts w:hint="eastAsia" w:ascii="宋体" w:hAnsi="宋体" w:eastAsia="宋体" w:cs="宋体"/>
          <w:b/>
          <w:bCs/>
          <w:kern w:val="0"/>
          <w:sz w:val="44"/>
          <w:szCs w:val="44"/>
          <w:highlight w:val="none"/>
        </w:rPr>
      </w:pPr>
      <w:r>
        <w:rPr>
          <w:rFonts w:hint="eastAsia" w:ascii="宋体" w:hAnsi="宋体" w:eastAsia="宋体" w:cs="宋体"/>
          <w:b/>
          <w:bCs/>
          <w:kern w:val="0"/>
          <w:sz w:val="44"/>
          <w:szCs w:val="44"/>
          <w:highlight w:val="none"/>
          <w:lang w:val="en-US" w:eastAsia="zh-CN"/>
        </w:rPr>
        <w:t>开平市中心医院药剂大楼容灾机房电力输入电缆</w:t>
      </w:r>
      <w:r>
        <w:rPr>
          <w:rFonts w:hint="eastAsia" w:ascii="宋体" w:hAnsi="宋体" w:eastAsia="宋体" w:cs="宋体"/>
          <w:b/>
          <w:bCs/>
          <w:kern w:val="0"/>
          <w:sz w:val="44"/>
          <w:szCs w:val="44"/>
          <w:highlight w:val="none"/>
        </w:rPr>
        <w:t>采购合同</w:t>
      </w:r>
    </w:p>
    <w:p w14:paraId="03964525">
      <w:pPr>
        <w:autoSpaceDE w:val="0"/>
        <w:autoSpaceDN w:val="0"/>
        <w:adjustRightInd w:val="0"/>
        <w:spacing w:line="360" w:lineRule="auto"/>
        <w:ind w:firstLine="480" w:firstLineChars="200"/>
        <w:jc w:val="left"/>
        <w:outlineLvl w:val="1"/>
        <w:rPr>
          <w:rFonts w:hint="eastAsia" w:ascii="宋体" w:hAnsi="宋体" w:eastAsia="宋体" w:cs="宋体"/>
          <w:kern w:val="0"/>
          <w:sz w:val="24"/>
          <w:szCs w:val="24"/>
          <w:highlight w:val="none"/>
        </w:rPr>
      </w:pPr>
    </w:p>
    <w:p w14:paraId="7356EC8D">
      <w:pPr>
        <w:autoSpaceDE w:val="0"/>
        <w:autoSpaceDN w:val="0"/>
        <w:adjustRightInd w:val="0"/>
        <w:spacing w:line="360" w:lineRule="auto"/>
        <w:ind w:firstLine="480" w:firstLineChars="200"/>
        <w:jc w:val="left"/>
        <w:outlineLvl w:val="1"/>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合同名称：</w:t>
      </w:r>
      <w:r>
        <w:rPr>
          <w:rFonts w:hint="eastAsia" w:ascii="宋体" w:hAnsi="宋体" w:eastAsia="宋体" w:cs="宋体"/>
          <w:kern w:val="0"/>
          <w:sz w:val="24"/>
          <w:szCs w:val="24"/>
          <w:highlight w:val="none"/>
          <w:lang w:eastAsia="zh-CN"/>
        </w:rPr>
        <w:t>开平市中心医院药剂大楼容灾机房电力输入电缆采购项目</w:t>
      </w:r>
    </w:p>
    <w:p w14:paraId="501FA97C">
      <w:pPr>
        <w:autoSpaceDE w:val="0"/>
        <w:autoSpaceDN w:val="0"/>
        <w:adjustRightInd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甲方：</w:t>
      </w:r>
      <w:r>
        <w:rPr>
          <w:rFonts w:ascii="宋体" w:hAnsi="宋体" w:eastAsia="宋体" w:cs="宋体"/>
          <w:kern w:val="0"/>
          <w:sz w:val="24"/>
          <w:szCs w:val="24"/>
          <w:highlight w:val="none"/>
        </w:rPr>
        <w:t xml:space="preserve"> </w:t>
      </w:r>
    </w:p>
    <w:p w14:paraId="1DA019A9">
      <w:pPr>
        <w:autoSpaceDE w:val="0"/>
        <w:autoSpaceDN w:val="0"/>
        <w:adjustRightInd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乙方：</w:t>
      </w:r>
      <w:r>
        <w:rPr>
          <w:rFonts w:ascii="宋体" w:hAnsi="宋体" w:eastAsia="宋体" w:cs="宋体"/>
          <w:kern w:val="0"/>
          <w:sz w:val="24"/>
          <w:szCs w:val="24"/>
          <w:highlight w:val="none"/>
        </w:rPr>
        <w:t xml:space="preserve"> </w:t>
      </w:r>
    </w:p>
    <w:p w14:paraId="7EB4C0C5">
      <w:pPr>
        <w:autoSpaceDE w:val="0"/>
        <w:autoSpaceDN w:val="0"/>
        <w:adjustRightInd w:val="0"/>
        <w:spacing w:line="360" w:lineRule="auto"/>
        <w:ind w:firstLine="480" w:firstLineChars="200"/>
        <w:jc w:val="left"/>
        <w:rPr>
          <w:rFonts w:ascii="宋体" w:hAnsi="宋体" w:eastAsia="宋体" w:cs="DejaVuSans"/>
          <w:kern w:val="0"/>
          <w:sz w:val="24"/>
          <w:szCs w:val="24"/>
          <w:highlight w:val="none"/>
        </w:rPr>
      </w:pPr>
      <w:r>
        <w:rPr>
          <w:rFonts w:hint="eastAsia" w:ascii="宋体" w:hAnsi="宋体" w:eastAsia="宋体" w:cs="宋体"/>
          <w:kern w:val="0"/>
          <w:sz w:val="24"/>
          <w:szCs w:val="24"/>
          <w:highlight w:val="none"/>
        </w:rPr>
        <w:t>合同金额</w:t>
      </w:r>
      <w:r>
        <w:rPr>
          <w:rFonts w:ascii="宋体" w:hAnsi="宋体" w:eastAsia="宋体" w:cs="DejaVuSans"/>
          <w:kern w:val="0"/>
          <w:sz w:val="24"/>
          <w:szCs w:val="24"/>
          <w:highlight w:val="none"/>
        </w:rPr>
        <w:t>(</w:t>
      </w:r>
      <w:r>
        <w:rPr>
          <w:rFonts w:hint="eastAsia" w:ascii="宋体" w:hAnsi="宋体" w:eastAsia="宋体" w:cs="宋体"/>
          <w:kern w:val="0"/>
          <w:sz w:val="24"/>
          <w:szCs w:val="24"/>
          <w:highlight w:val="none"/>
        </w:rPr>
        <w:t>元</w:t>
      </w:r>
      <w:r>
        <w:rPr>
          <w:rFonts w:ascii="宋体" w:hAnsi="宋体" w:eastAsia="宋体" w:cs="DejaVuSans"/>
          <w:kern w:val="0"/>
          <w:sz w:val="24"/>
          <w:szCs w:val="24"/>
          <w:highlight w:val="none"/>
        </w:rPr>
        <w:t>)</w:t>
      </w:r>
      <w:r>
        <w:rPr>
          <w:rFonts w:hint="eastAsia" w:ascii="宋体" w:hAnsi="宋体" w:eastAsia="宋体" w:cs="宋体"/>
          <w:kern w:val="0"/>
          <w:sz w:val="24"/>
          <w:szCs w:val="24"/>
          <w:highlight w:val="none"/>
        </w:rPr>
        <w:t>：</w:t>
      </w:r>
    </w:p>
    <w:p w14:paraId="3A4B29D1">
      <w:pPr>
        <w:autoSpaceDE w:val="0"/>
        <w:autoSpaceDN w:val="0"/>
        <w:adjustRightInd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人民币大写：</w:t>
      </w:r>
      <w:r>
        <w:rPr>
          <w:rFonts w:ascii="宋体" w:hAnsi="宋体" w:eastAsia="宋体" w:cs="宋体"/>
          <w:kern w:val="0"/>
          <w:sz w:val="24"/>
          <w:szCs w:val="24"/>
          <w:highlight w:val="none"/>
        </w:rPr>
        <w:t xml:space="preserve"> </w:t>
      </w:r>
    </w:p>
    <w:p w14:paraId="7F0835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甲乙双方根据《中华人民共和国民法典》，在平等互利、协商一致的基础上，买方同意向卖方购买同时卖方同意授予买方以下货物：</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016"/>
        <w:gridCol w:w="1740"/>
        <w:gridCol w:w="1207"/>
        <w:gridCol w:w="1090"/>
        <w:gridCol w:w="1417"/>
        <w:gridCol w:w="1417"/>
      </w:tblGrid>
      <w:tr w14:paraId="5572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661" w:type="dxa"/>
            <w:noWrap w:val="0"/>
            <w:vAlign w:val="center"/>
          </w:tcPr>
          <w:p w14:paraId="424A04FA">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1016" w:type="dxa"/>
            <w:noWrap w:val="0"/>
            <w:vAlign w:val="center"/>
          </w:tcPr>
          <w:p w14:paraId="4CE1B6F9">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产品</w:t>
            </w:r>
          </w:p>
          <w:p w14:paraId="65F3831C">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名称</w:t>
            </w:r>
          </w:p>
        </w:tc>
        <w:tc>
          <w:tcPr>
            <w:tcW w:w="2947" w:type="dxa"/>
            <w:gridSpan w:val="2"/>
            <w:noWrap w:val="0"/>
            <w:vAlign w:val="center"/>
          </w:tcPr>
          <w:p w14:paraId="0623C3DF">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产品参数</w:t>
            </w:r>
          </w:p>
        </w:tc>
        <w:tc>
          <w:tcPr>
            <w:tcW w:w="1090" w:type="dxa"/>
            <w:noWrap w:val="0"/>
            <w:vAlign w:val="center"/>
          </w:tcPr>
          <w:p w14:paraId="0C58EA7E">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数量</w:t>
            </w:r>
          </w:p>
          <w:p w14:paraId="74875A89">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（单位）</w:t>
            </w:r>
          </w:p>
        </w:tc>
        <w:tc>
          <w:tcPr>
            <w:tcW w:w="1417" w:type="dxa"/>
            <w:noWrap w:val="0"/>
            <w:vAlign w:val="center"/>
          </w:tcPr>
          <w:p w14:paraId="19A06B58">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单价（元）</w:t>
            </w:r>
          </w:p>
        </w:tc>
        <w:tc>
          <w:tcPr>
            <w:tcW w:w="1417" w:type="dxa"/>
            <w:noWrap w:val="0"/>
            <w:vAlign w:val="center"/>
          </w:tcPr>
          <w:p w14:paraId="46DE2221">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合计（元）</w:t>
            </w:r>
          </w:p>
        </w:tc>
      </w:tr>
      <w:tr w14:paraId="31E7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jc w:val="center"/>
        </w:trPr>
        <w:tc>
          <w:tcPr>
            <w:tcW w:w="661" w:type="dxa"/>
            <w:noWrap w:val="0"/>
            <w:vAlign w:val="center"/>
          </w:tcPr>
          <w:p w14:paraId="42CF5F8A">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016" w:type="dxa"/>
            <w:noWrap w:val="0"/>
            <w:vAlign w:val="center"/>
          </w:tcPr>
          <w:p w14:paraId="292F8F0C">
            <w:pPr>
              <w:spacing w:line="360" w:lineRule="auto"/>
              <w:jc w:val="center"/>
              <w:rPr>
                <w:rFonts w:hint="default" w:ascii="宋体" w:hAnsi="宋体" w:eastAsia="宋体" w:cs="宋体"/>
                <w:color w:val="000000"/>
                <w:sz w:val="24"/>
                <w:szCs w:val="24"/>
                <w:highlight w:val="none"/>
                <w:lang w:val="en-US" w:eastAsia="zh-CN"/>
              </w:rPr>
            </w:pPr>
          </w:p>
        </w:tc>
        <w:tc>
          <w:tcPr>
            <w:tcW w:w="2947" w:type="dxa"/>
            <w:gridSpan w:val="2"/>
            <w:noWrap w:val="0"/>
            <w:vAlign w:val="center"/>
          </w:tcPr>
          <w:p w14:paraId="3A8D52E7">
            <w:pPr>
              <w:spacing w:line="360" w:lineRule="auto"/>
              <w:jc w:val="center"/>
              <w:rPr>
                <w:rFonts w:hint="eastAsia" w:ascii="宋体" w:hAnsi="宋体" w:eastAsia="宋体" w:cs="宋体"/>
                <w:color w:val="000000"/>
                <w:sz w:val="24"/>
                <w:szCs w:val="24"/>
                <w:highlight w:val="none"/>
              </w:rPr>
            </w:pPr>
          </w:p>
        </w:tc>
        <w:tc>
          <w:tcPr>
            <w:tcW w:w="1090" w:type="dxa"/>
            <w:noWrap w:val="0"/>
            <w:vAlign w:val="center"/>
          </w:tcPr>
          <w:p w14:paraId="7DFECEDE">
            <w:pPr>
              <w:spacing w:line="360" w:lineRule="auto"/>
              <w:jc w:val="center"/>
              <w:rPr>
                <w:rFonts w:hint="eastAsia" w:ascii="宋体" w:hAnsi="宋体" w:eastAsia="宋体" w:cs="宋体"/>
                <w:color w:val="000000"/>
                <w:sz w:val="24"/>
                <w:szCs w:val="24"/>
                <w:highlight w:val="none"/>
              </w:rPr>
            </w:pPr>
          </w:p>
        </w:tc>
        <w:tc>
          <w:tcPr>
            <w:tcW w:w="1417" w:type="dxa"/>
            <w:noWrap w:val="0"/>
            <w:vAlign w:val="center"/>
          </w:tcPr>
          <w:p w14:paraId="52DB1B09">
            <w:pPr>
              <w:spacing w:line="360" w:lineRule="auto"/>
              <w:jc w:val="center"/>
              <w:rPr>
                <w:rFonts w:hint="eastAsia" w:ascii="宋体" w:hAnsi="宋体" w:eastAsia="宋体" w:cs="宋体"/>
                <w:color w:val="000000"/>
                <w:sz w:val="24"/>
                <w:szCs w:val="24"/>
                <w:highlight w:val="none"/>
              </w:rPr>
            </w:pPr>
          </w:p>
        </w:tc>
        <w:tc>
          <w:tcPr>
            <w:tcW w:w="1417" w:type="dxa"/>
            <w:noWrap w:val="0"/>
            <w:vAlign w:val="center"/>
          </w:tcPr>
          <w:p w14:paraId="16C2981E">
            <w:pPr>
              <w:spacing w:line="360" w:lineRule="auto"/>
              <w:jc w:val="center"/>
              <w:rPr>
                <w:rFonts w:hint="eastAsia" w:ascii="宋体" w:hAnsi="宋体" w:eastAsia="宋体" w:cs="宋体"/>
                <w:color w:val="000000"/>
                <w:sz w:val="24"/>
                <w:szCs w:val="24"/>
                <w:highlight w:val="none"/>
              </w:rPr>
            </w:pPr>
          </w:p>
        </w:tc>
      </w:tr>
      <w:tr w14:paraId="35EF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677" w:type="dxa"/>
            <w:gridSpan w:val="2"/>
            <w:noWrap w:val="0"/>
            <w:vAlign w:val="center"/>
          </w:tcPr>
          <w:p w14:paraId="2330D344">
            <w:pPr>
              <w:pStyle w:val="2"/>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交货期</w:t>
            </w:r>
          </w:p>
          <w:p w14:paraId="3784E7D3">
            <w:pPr>
              <w:pStyle w:val="2"/>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自然日</w:t>
            </w:r>
            <w:r>
              <w:rPr>
                <w:rFonts w:hint="eastAsia" w:ascii="宋体" w:hAnsi="宋体" w:eastAsia="宋体" w:cs="宋体"/>
                <w:sz w:val="24"/>
                <w:szCs w:val="24"/>
                <w:highlight w:val="none"/>
              </w:rPr>
              <w:t>）</w:t>
            </w:r>
          </w:p>
        </w:tc>
        <w:tc>
          <w:tcPr>
            <w:tcW w:w="1740" w:type="dxa"/>
            <w:noWrap w:val="0"/>
            <w:vAlign w:val="center"/>
          </w:tcPr>
          <w:p w14:paraId="0E399449">
            <w:pPr>
              <w:pStyle w:val="2"/>
              <w:spacing w:line="360" w:lineRule="auto"/>
              <w:jc w:val="center"/>
              <w:rPr>
                <w:rFonts w:hint="eastAsia" w:ascii="宋体" w:hAnsi="宋体" w:eastAsia="宋体" w:cs="宋体"/>
                <w:sz w:val="24"/>
                <w:szCs w:val="24"/>
                <w:highlight w:val="none"/>
              </w:rPr>
            </w:pPr>
          </w:p>
        </w:tc>
        <w:tc>
          <w:tcPr>
            <w:tcW w:w="1207" w:type="dxa"/>
            <w:noWrap w:val="0"/>
            <w:vAlign w:val="center"/>
          </w:tcPr>
          <w:p w14:paraId="7D54530D">
            <w:pPr>
              <w:pStyle w:val="2"/>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交货地点</w:t>
            </w:r>
          </w:p>
        </w:tc>
        <w:tc>
          <w:tcPr>
            <w:tcW w:w="3924" w:type="dxa"/>
            <w:gridSpan w:val="3"/>
            <w:noWrap w:val="0"/>
            <w:vAlign w:val="center"/>
          </w:tcPr>
          <w:p w14:paraId="5A796E14">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开平市中心医院指定地点</w:t>
            </w:r>
          </w:p>
        </w:tc>
      </w:tr>
      <w:tr w14:paraId="6974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677" w:type="dxa"/>
            <w:gridSpan w:val="2"/>
            <w:noWrap w:val="0"/>
            <w:vAlign w:val="center"/>
          </w:tcPr>
          <w:p w14:paraId="5865D86F">
            <w:pPr>
              <w:pStyle w:val="2"/>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w:t>
            </w:r>
          </w:p>
        </w:tc>
        <w:tc>
          <w:tcPr>
            <w:tcW w:w="6871" w:type="dxa"/>
            <w:gridSpan w:val="5"/>
            <w:noWrap w:val="0"/>
            <w:vAlign w:val="center"/>
          </w:tcPr>
          <w:p w14:paraId="07B193F1">
            <w:pPr>
              <w:spacing w:line="360" w:lineRule="auto"/>
              <w:jc w:val="center"/>
              <w:rPr>
                <w:rFonts w:hint="eastAsia" w:ascii="宋体" w:hAnsi="宋体" w:eastAsia="宋体" w:cs="宋体"/>
                <w:color w:val="000000"/>
                <w:sz w:val="24"/>
                <w:szCs w:val="24"/>
                <w:highlight w:val="none"/>
              </w:rPr>
            </w:pPr>
          </w:p>
        </w:tc>
      </w:tr>
    </w:tbl>
    <w:p w14:paraId="4F1C86CD">
      <w:pPr>
        <w:spacing w:line="360" w:lineRule="auto"/>
        <w:rPr>
          <w:rFonts w:hint="eastAsia" w:ascii="宋体" w:hAnsi="宋体" w:eastAsia="宋体" w:cs="宋体"/>
          <w:b/>
          <w:bCs/>
          <w:sz w:val="24"/>
          <w:szCs w:val="24"/>
          <w:highlight w:val="none"/>
        </w:rPr>
      </w:pPr>
    </w:p>
    <w:p w14:paraId="17F80B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交付期：乙方接到甲方通知</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sz w:val="24"/>
          <w:szCs w:val="24"/>
          <w:highlight w:val="none"/>
        </w:rPr>
        <w:t>天内向甲方交付上述货物。</w:t>
      </w:r>
    </w:p>
    <w:p w14:paraId="15249C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运输、安装和验收</w:t>
      </w:r>
    </w:p>
    <w:p w14:paraId="0CD434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 乙方确保货物安全无损地运抵甲方指定现场，并承担货物的运费、装卸费等费用。乙方还应在发货前通知甲方货物的运输信息以及到货时间，以便甲方做好验货准备。</w:t>
      </w:r>
    </w:p>
    <w:p w14:paraId="1BAFB7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.2甲乙双方对货物进行开箱清点检查验收，如果发现数量不足或有质量、技术等问题，乙方应</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天</w:t>
      </w:r>
      <w:r>
        <w:rPr>
          <w:rFonts w:hint="eastAsia" w:ascii="宋体" w:hAnsi="宋体" w:eastAsia="宋体" w:cs="宋体"/>
          <w:sz w:val="24"/>
          <w:szCs w:val="24"/>
          <w:highlight w:val="none"/>
        </w:rPr>
        <w:t>内，按照甲方的要求，采取补足、更换或退货等处理措施，并承担由此发生的一切损失和费用。</w:t>
      </w:r>
    </w:p>
    <w:p w14:paraId="7AD57E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.3甲、乙双方在符合国家相关技术标准的基础上，根据购置货物的技术标准以及采购或招标时乙方承诺的原厂的技术参数为标准对货物进行技术验收。</w:t>
      </w:r>
    </w:p>
    <w:p w14:paraId="25803E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付款方式</w:t>
      </w:r>
    </w:p>
    <w:p w14:paraId="7E8922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验收合格及正常使用</w:t>
      </w:r>
      <w:r>
        <w:rPr>
          <w:rFonts w:hint="eastAsia" w:ascii="宋体" w:hAnsi="宋体" w:eastAsia="宋体" w:cs="宋体"/>
          <w:sz w:val="24"/>
          <w:szCs w:val="24"/>
          <w:highlight w:val="none"/>
        </w:rPr>
        <w:t>后乙方应向甲方出具与货物总价金额相对应的发票。甲方在收到乙方发票并确认无误后，</w:t>
      </w:r>
      <w:r>
        <w:rPr>
          <w:rFonts w:hint="eastAsia" w:ascii="宋体" w:hAnsi="宋体" w:eastAsia="宋体" w:cs="宋体"/>
          <w:color w:val="000000"/>
          <w:sz w:val="24"/>
          <w:szCs w:val="24"/>
          <w:highlight w:val="none"/>
        </w:rPr>
        <w:t>应在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个工作日</w:t>
      </w:r>
      <w:r>
        <w:rPr>
          <w:rFonts w:hint="eastAsia" w:ascii="宋体" w:hAnsi="宋体" w:eastAsia="宋体" w:cs="宋体"/>
          <w:color w:val="000000"/>
          <w:sz w:val="24"/>
          <w:szCs w:val="24"/>
          <w:highlight w:val="none"/>
        </w:rPr>
        <w:t>内以</w:t>
      </w:r>
      <w:r>
        <w:rPr>
          <w:rFonts w:hint="eastAsia" w:ascii="宋体" w:hAnsi="宋体" w:eastAsia="宋体" w:cs="宋体"/>
          <w:sz w:val="24"/>
          <w:szCs w:val="24"/>
          <w:highlight w:val="none"/>
        </w:rPr>
        <w:t>银行汇款方式向乙方指定银行账户一次性支付货款。</w:t>
      </w:r>
    </w:p>
    <w:p w14:paraId="4A20DA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质量保证及售后服务</w:t>
      </w:r>
    </w:p>
    <w:p w14:paraId="74EE3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乙方应保证所供货物必须是正规渠道提供的的近一年出厂的、全新的、未使用过的，并符合国家有关标准、行业有关标准、制造厂标准及遴选响应文件技术要求。如果在甲方验收合格后，货物的质量或规格仍存在与合同不符，或证实货物是有缺陷的，包括潜在的缺陷或使用不符合要求的材料等，乙方应在接到甲方通知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天</w:t>
      </w:r>
      <w:r>
        <w:rPr>
          <w:rFonts w:hint="eastAsia" w:ascii="宋体" w:hAnsi="宋体" w:eastAsia="宋体" w:cs="宋体"/>
          <w:sz w:val="24"/>
          <w:szCs w:val="24"/>
          <w:highlight w:val="none"/>
        </w:rPr>
        <w:t>内负责采用符合合同规定的规格、质量和性能要求的货物来更换有缺陷的部分，其费用由乙方负担。同时，乙方应按本合同规定，相应延长修补或更换件的质量保证期。</w:t>
      </w:r>
    </w:p>
    <w:p w14:paraId="7F97BC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.2乙方应提供质保期为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个月内出现质量问题，免费调换并承担换货造成的所有费用。质保期的期限应以甲乙双方的验收合格之日起计算。</w:t>
      </w:r>
    </w:p>
    <w:p w14:paraId="127863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.3无条件接受18号令的相关条款规定。</w:t>
      </w:r>
    </w:p>
    <w:p w14:paraId="1844E1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索赔条款</w:t>
      </w:r>
    </w:p>
    <w:p w14:paraId="4D5327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.1如经国家相关部门检验确认货物不符合本合同约定，甲方有权选择下列方式之一要求乙方进行补救：</w:t>
      </w:r>
    </w:p>
    <w:p w14:paraId="4E72D1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.1.1同意甲方退货，及时为甲方办理退货手续，并将全额货款在货物被确认为不符合合同约定之日起</w:t>
      </w:r>
      <w:r>
        <w:rPr>
          <w:rFonts w:hint="eastAsia" w:ascii="宋体" w:hAnsi="宋体" w:eastAsia="宋体" w:cs="宋体"/>
          <w:color w:val="000000"/>
          <w:sz w:val="24"/>
          <w:szCs w:val="24"/>
          <w:highlight w:val="none"/>
          <w:u w:val="single"/>
        </w:rPr>
        <w:t>30</w:t>
      </w:r>
      <w:r>
        <w:rPr>
          <w:rFonts w:hint="eastAsia" w:ascii="宋体" w:hAnsi="宋体" w:eastAsia="宋体" w:cs="宋体"/>
          <w:sz w:val="24"/>
          <w:szCs w:val="24"/>
          <w:highlight w:val="none"/>
        </w:rPr>
        <w:t>日内偿还给甲方，并由乙方负担因退货而发生的一切直接损失和费用。</w:t>
      </w:r>
    </w:p>
    <w:p w14:paraId="2D1B62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.1.2按照货物的疵劣程度、损坏的范围和甲方所遭受的损失，乙方折价收取或在货物被确认为不符合同约定之日</w:t>
      </w:r>
      <w:r>
        <w:rPr>
          <w:rFonts w:hint="eastAsia" w:ascii="宋体" w:hAnsi="宋体" w:eastAsia="宋体" w:cs="宋体"/>
          <w:color w:val="000000"/>
          <w:sz w:val="24"/>
          <w:szCs w:val="24"/>
          <w:highlight w:val="none"/>
        </w:rPr>
        <w:t>起</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日</w:t>
      </w:r>
      <w:r>
        <w:rPr>
          <w:rFonts w:hint="eastAsia" w:ascii="宋体" w:hAnsi="宋体" w:eastAsia="宋体" w:cs="宋体"/>
          <w:sz w:val="24"/>
          <w:szCs w:val="24"/>
          <w:highlight w:val="none"/>
        </w:rPr>
        <w:t>内向甲方返还已收取的部分货款。</w:t>
      </w:r>
    </w:p>
    <w:p w14:paraId="76A10E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.1.3乙方应在货物被确认为不符合约定之日</w:t>
      </w:r>
      <w:r>
        <w:rPr>
          <w:rFonts w:hint="eastAsia" w:ascii="宋体" w:hAnsi="宋体" w:eastAsia="宋体" w:cs="宋体"/>
          <w:color w:val="000000"/>
          <w:sz w:val="24"/>
          <w:szCs w:val="24"/>
          <w:highlight w:val="none"/>
        </w:rPr>
        <w:t>起</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日</w:t>
      </w:r>
      <w:r>
        <w:rPr>
          <w:rFonts w:hint="eastAsia" w:ascii="宋体" w:hAnsi="宋体" w:eastAsia="宋体" w:cs="宋体"/>
          <w:sz w:val="24"/>
          <w:szCs w:val="24"/>
          <w:highlight w:val="none"/>
        </w:rPr>
        <w:t>内调换有瑕疵的货物，换货必须全新并符合本合同规定的规格，质量和性能等，乙方并负责因此而产生的一切费用和甲方的一切直接损失。</w:t>
      </w:r>
    </w:p>
    <w:p w14:paraId="098B0F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2如果乙方没有按照合同规定的时间交货和提供服务，甲方应从货款中扣除误期赔偿费而不影响合同项下的其他补救办法。乙方发生延期交货和延期服务或延期退款的，每逾期一日按货物合同总价的千分之三向甲方支付赔偿金，直至交货或提供服务为止，但误期赔偿费的最高限额不超过合同价的百分之五（5%）。如乙方超过约定期限</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天仍不交货或提供服务的，甲方有权终止合同并要求退货退款，乙方应在甲方要求终止本协议之日</w:t>
      </w:r>
      <w:r>
        <w:rPr>
          <w:rFonts w:hint="eastAsia" w:ascii="宋体" w:hAnsi="宋体" w:eastAsia="宋体" w:cs="宋体"/>
          <w:color w:val="000000"/>
          <w:sz w:val="24"/>
          <w:szCs w:val="24"/>
          <w:highlight w:val="none"/>
        </w:rPr>
        <w:t>起</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sz w:val="24"/>
          <w:szCs w:val="24"/>
          <w:highlight w:val="none"/>
        </w:rPr>
        <w:t>日内将甲方已付货款返还至甲方。</w:t>
      </w:r>
    </w:p>
    <w:p w14:paraId="714785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.3乙方应保证甲方和使用单位在使用该货物或其任何一部分时免受第三方提出侵犯其专利权、商标权或工业产权的起诉。</w:t>
      </w:r>
    </w:p>
    <w:p w14:paraId="0CE54C9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7.</w:t>
      </w:r>
      <w:r>
        <w:rPr>
          <w:rFonts w:hint="eastAsia" w:ascii="宋体" w:hAnsi="宋体" w:eastAsia="宋体" w:cs="宋体"/>
          <w:b/>
          <w:bCs/>
          <w:sz w:val="24"/>
          <w:szCs w:val="24"/>
          <w:highlight w:val="none"/>
        </w:rPr>
        <w:t>争端的解决</w:t>
      </w:r>
    </w:p>
    <w:p w14:paraId="1D6FEE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双方如在履行合同中发生纠纷，首先应友好协商，协商不成，双方均有权向甲方所在地人民法院起诉。</w:t>
      </w:r>
    </w:p>
    <w:p w14:paraId="5103C2F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合同生效</w:t>
      </w:r>
    </w:p>
    <w:p w14:paraId="5C1D91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.1本合同在甲、乙双方签字盖章生效。</w:t>
      </w:r>
    </w:p>
    <w:p w14:paraId="263082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.2本合同一式</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sz w:val="24"/>
          <w:szCs w:val="24"/>
          <w:highlight w:val="none"/>
        </w:rPr>
        <w:t>份，以中文为准，签约双方各执一份，具有相同的法律效应、传真件有效。</w:t>
      </w:r>
    </w:p>
    <w:p w14:paraId="6AA602C0">
      <w:pPr>
        <w:spacing w:line="360" w:lineRule="auto"/>
        <w:ind w:firstLine="420"/>
        <w:rPr>
          <w:rFonts w:hint="eastAsia" w:ascii="宋体" w:hAnsi="宋体" w:eastAsia="宋体" w:cs="宋体"/>
          <w:sz w:val="24"/>
          <w:szCs w:val="24"/>
          <w:highlight w:val="none"/>
        </w:rPr>
      </w:pPr>
    </w:p>
    <w:p w14:paraId="029E101D">
      <w:pPr>
        <w:spacing w:line="360" w:lineRule="auto"/>
        <w:ind w:firstLine="420"/>
        <w:jc w:val="center"/>
        <w:rPr>
          <w:rFonts w:ascii="宋体" w:hAnsi="宋体" w:eastAsia="宋体" w:cs="DejaVuSans"/>
          <w:kern w:val="0"/>
          <w:sz w:val="24"/>
          <w:szCs w:val="24"/>
          <w:highlight w:val="none"/>
        </w:rPr>
      </w:pPr>
      <w:r>
        <w:rPr>
          <w:rFonts w:ascii="宋体" w:hAnsi="宋体" w:eastAsia="宋体" w:cs="DejaVuSans"/>
          <w:kern w:val="0"/>
          <w:sz w:val="24"/>
          <w:szCs w:val="24"/>
          <w:highlight w:val="none"/>
        </w:rPr>
        <w:t>(以下无正文)</w:t>
      </w:r>
    </w:p>
    <w:p w14:paraId="1E046A7A">
      <w:pPr>
        <w:spacing w:line="360" w:lineRule="auto"/>
        <w:ind w:firstLine="420"/>
        <w:rPr>
          <w:rFonts w:hint="eastAsia" w:ascii="宋体" w:hAnsi="宋体" w:eastAsia="宋体" w:cs="DejaVuSans"/>
          <w:kern w:val="0"/>
          <w:sz w:val="24"/>
          <w:szCs w:val="24"/>
          <w:highlight w:val="none"/>
        </w:rPr>
      </w:pPr>
    </w:p>
    <w:p w14:paraId="3B748A8C">
      <w:pPr>
        <w:autoSpaceDE w:val="0"/>
        <w:autoSpaceDN w:val="0"/>
        <w:adjustRightInd w:val="0"/>
        <w:spacing w:line="360" w:lineRule="auto"/>
        <w:ind w:firstLine="480" w:firstLineChars="200"/>
        <w:jc w:val="left"/>
        <w:rPr>
          <w:rFonts w:ascii="宋体" w:hAnsi="宋体" w:eastAsia="宋体" w:cs="DejaVuSans"/>
          <w:kern w:val="0"/>
          <w:sz w:val="24"/>
          <w:szCs w:val="24"/>
          <w:highlight w:val="none"/>
        </w:rPr>
      </w:pPr>
      <w:r>
        <w:rPr>
          <w:rFonts w:hint="eastAsia" w:ascii="宋体" w:hAnsi="宋体" w:eastAsia="宋体" w:cs="DejaVuSans"/>
          <w:kern w:val="0"/>
          <w:sz w:val="24"/>
          <w:szCs w:val="24"/>
          <w:highlight w:val="none"/>
        </w:rPr>
        <w:t>甲方</w:t>
      </w:r>
      <w:r>
        <w:rPr>
          <w:rFonts w:ascii="宋体" w:hAnsi="宋体" w:eastAsia="宋体" w:cs="DejaVuSans"/>
          <w:kern w:val="0"/>
          <w:sz w:val="24"/>
          <w:szCs w:val="24"/>
          <w:highlight w:val="none"/>
        </w:rPr>
        <w:t xml:space="preserve">(盖章)： </w:t>
      </w:r>
    </w:p>
    <w:p w14:paraId="093509EE">
      <w:pPr>
        <w:autoSpaceDE w:val="0"/>
        <w:autoSpaceDN w:val="0"/>
        <w:adjustRightInd w:val="0"/>
        <w:spacing w:line="360" w:lineRule="auto"/>
        <w:ind w:firstLine="480" w:firstLineChars="200"/>
        <w:jc w:val="left"/>
        <w:rPr>
          <w:rFonts w:ascii="宋体" w:hAnsi="宋体" w:eastAsia="宋体" w:cs="DejaVuSans"/>
          <w:kern w:val="0"/>
          <w:sz w:val="24"/>
          <w:szCs w:val="24"/>
          <w:highlight w:val="none"/>
        </w:rPr>
      </w:pPr>
      <w:r>
        <w:rPr>
          <w:rFonts w:hint="eastAsia" w:ascii="宋体" w:hAnsi="宋体" w:eastAsia="宋体" w:cs="DejaVuSans"/>
          <w:kern w:val="0"/>
          <w:sz w:val="24"/>
          <w:szCs w:val="24"/>
          <w:highlight w:val="none"/>
        </w:rPr>
        <w:t>甲方联系人：</w:t>
      </w:r>
      <w:r>
        <w:rPr>
          <w:rFonts w:ascii="宋体" w:hAnsi="宋体" w:eastAsia="宋体" w:cs="DejaVuSans"/>
          <w:kern w:val="0"/>
          <w:sz w:val="24"/>
          <w:szCs w:val="24"/>
          <w:highlight w:val="none"/>
        </w:rPr>
        <w:t xml:space="preserve"> </w:t>
      </w:r>
    </w:p>
    <w:p w14:paraId="781712DA">
      <w:pPr>
        <w:autoSpaceDE w:val="0"/>
        <w:autoSpaceDN w:val="0"/>
        <w:adjustRightInd w:val="0"/>
        <w:spacing w:line="360" w:lineRule="auto"/>
        <w:ind w:firstLine="480" w:firstLineChars="200"/>
        <w:jc w:val="left"/>
        <w:rPr>
          <w:rFonts w:ascii="宋体" w:hAnsi="宋体" w:eastAsia="宋体" w:cs="DejaVuSans"/>
          <w:kern w:val="0"/>
          <w:sz w:val="24"/>
          <w:szCs w:val="24"/>
          <w:highlight w:val="none"/>
        </w:rPr>
      </w:pPr>
      <w:r>
        <w:rPr>
          <w:rFonts w:hint="eastAsia" w:ascii="宋体" w:hAnsi="宋体" w:eastAsia="宋体" w:cs="DejaVuSans"/>
          <w:kern w:val="0"/>
          <w:sz w:val="24"/>
          <w:szCs w:val="24"/>
          <w:highlight w:val="none"/>
        </w:rPr>
        <w:t>联系电话：</w:t>
      </w:r>
    </w:p>
    <w:p w14:paraId="3525EE60">
      <w:pPr>
        <w:autoSpaceDE w:val="0"/>
        <w:autoSpaceDN w:val="0"/>
        <w:adjustRightInd w:val="0"/>
        <w:spacing w:line="360" w:lineRule="auto"/>
        <w:ind w:firstLine="480" w:firstLineChars="200"/>
        <w:jc w:val="left"/>
        <w:rPr>
          <w:rFonts w:ascii="宋体" w:hAnsi="宋体" w:eastAsia="宋体" w:cs="DejaVuSans"/>
          <w:kern w:val="0"/>
          <w:sz w:val="24"/>
          <w:szCs w:val="24"/>
          <w:highlight w:val="none"/>
        </w:rPr>
      </w:pPr>
      <w:r>
        <w:rPr>
          <w:rFonts w:hint="eastAsia" w:ascii="宋体" w:hAnsi="宋体" w:eastAsia="宋体" w:cs="DejaVuSans"/>
          <w:kern w:val="0"/>
          <w:sz w:val="24"/>
          <w:szCs w:val="24"/>
          <w:highlight w:val="none"/>
        </w:rPr>
        <w:t>合同签订日期：</w:t>
      </w:r>
    </w:p>
    <w:p w14:paraId="04C402D7">
      <w:pPr>
        <w:autoSpaceDE w:val="0"/>
        <w:autoSpaceDN w:val="0"/>
        <w:adjustRightInd w:val="0"/>
        <w:spacing w:line="360" w:lineRule="auto"/>
        <w:ind w:firstLine="480" w:firstLineChars="200"/>
        <w:jc w:val="left"/>
        <w:rPr>
          <w:rFonts w:hint="eastAsia" w:ascii="宋体" w:hAnsi="宋体" w:eastAsia="宋体" w:cs="DejaVuSans"/>
          <w:kern w:val="0"/>
          <w:sz w:val="24"/>
          <w:szCs w:val="24"/>
          <w:highlight w:val="none"/>
        </w:rPr>
      </w:pPr>
    </w:p>
    <w:p w14:paraId="2F54F880">
      <w:pPr>
        <w:autoSpaceDE w:val="0"/>
        <w:autoSpaceDN w:val="0"/>
        <w:adjustRightInd w:val="0"/>
        <w:spacing w:line="360" w:lineRule="auto"/>
        <w:ind w:firstLine="480" w:firstLineChars="200"/>
        <w:jc w:val="left"/>
        <w:rPr>
          <w:rFonts w:ascii="宋体" w:hAnsi="宋体" w:eastAsia="宋体" w:cs="DejaVuSans"/>
          <w:kern w:val="0"/>
          <w:sz w:val="24"/>
          <w:szCs w:val="24"/>
          <w:highlight w:val="none"/>
        </w:rPr>
      </w:pPr>
      <w:r>
        <w:rPr>
          <w:rFonts w:hint="eastAsia" w:ascii="宋体" w:hAnsi="宋体" w:eastAsia="宋体" w:cs="DejaVuSans"/>
          <w:kern w:val="0"/>
          <w:sz w:val="24"/>
          <w:szCs w:val="24"/>
          <w:highlight w:val="none"/>
        </w:rPr>
        <w:t>乙方</w:t>
      </w:r>
      <w:r>
        <w:rPr>
          <w:rFonts w:ascii="宋体" w:hAnsi="宋体" w:eastAsia="宋体" w:cs="DejaVuSans"/>
          <w:kern w:val="0"/>
          <w:sz w:val="24"/>
          <w:szCs w:val="24"/>
          <w:highlight w:val="none"/>
        </w:rPr>
        <w:t xml:space="preserve">(盖章)： </w:t>
      </w:r>
    </w:p>
    <w:p w14:paraId="7F50E621">
      <w:pPr>
        <w:autoSpaceDE w:val="0"/>
        <w:autoSpaceDN w:val="0"/>
        <w:adjustRightInd w:val="0"/>
        <w:spacing w:line="360" w:lineRule="auto"/>
        <w:ind w:firstLine="480" w:firstLineChars="200"/>
        <w:jc w:val="left"/>
        <w:rPr>
          <w:rFonts w:ascii="宋体" w:hAnsi="宋体" w:eastAsia="宋体" w:cs="DejaVuSans"/>
          <w:kern w:val="0"/>
          <w:sz w:val="24"/>
          <w:szCs w:val="24"/>
          <w:highlight w:val="none"/>
        </w:rPr>
      </w:pPr>
      <w:r>
        <w:rPr>
          <w:rFonts w:hint="eastAsia" w:ascii="宋体" w:hAnsi="宋体" w:eastAsia="宋体" w:cs="DejaVuSans"/>
          <w:kern w:val="0"/>
          <w:sz w:val="24"/>
          <w:szCs w:val="24"/>
          <w:highlight w:val="none"/>
        </w:rPr>
        <w:t>开户银行：</w:t>
      </w:r>
      <w:r>
        <w:rPr>
          <w:rFonts w:ascii="宋体" w:hAnsi="宋体" w:eastAsia="宋体" w:cs="DejaVuSans"/>
          <w:kern w:val="0"/>
          <w:sz w:val="24"/>
          <w:szCs w:val="24"/>
          <w:highlight w:val="none"/>
        </w:rPr>
        <w:t xml:space="preserve"> </w:t>
      </w:r>
    </w:p>
    <w:p w14:paraId="1CB80113">
      <w:pPr>
        <w:autoSpaceDE w:val="0"/>
        <w:autoSpaceDN w:val="0"/>
        <w:adjustRightInd w:val="0"/>
        <w:spacing w:line="360" w:lineRule="auto"/>
        <w:ind w:firstLine="480" w:firstLineChars="200"/>
        <w:jc w:val="left"/>
        <w:rPr>
          <w:rFonts w:ascii="宋体" w:hAnsi="宋体" w:eastAsia="宋体" w:cs="DejaVuSans"/>
          <w:kern w:val="0"/>
          <w:sz w:val="24"/>
          <w:szCs w:val="24"/>
          <w:highlight w:val="none"/>
        </w:rPr>
      </w:pPr>
      <w:r>
        <w:rPr>
          <w:rFonts w:hint="eastAsia" w:ascii="宋体" w:hAnsi="宋体" w:eastAsia="宋体" w:cs="DejaVuSans"/>
          <w:kern w:val="0"/>
          <w:sz w:val="24"/>
          <w:szCs w:val="24"/>
          <w:highlight w:val="none"/>
        </w:rPr>
        <w:t>银行账号：</w:t>
      </w:r>
    </w:p>
    <w:p w14:paraId="4B233894">
      <w:pPr>
        <w:autoSpaceDE w:val="0"/>
        <w:autoSpaceDN w:val="0"/>
        <w:adjustRightInd w:val="0"/>
        <w:spacing w:line="360" w:lineRule="auto"/>
        <w:ind w:firstLine="480" w:firstLineChars="200"/>
        <w:jc w:val="left"/>
        <w:rPr>
          <w:rFonts w:ascii="宋体" w:hAnsi="宋体" w:eastAsia="宋体" w:cs="DejaVuSans"/>
          <w:kern w:val="0"/>
          <w:sz w:val="24"/>
          <w:szCs w:val="24"/>
          <w:highlight w:val="none"/>
        </w:rPr>
      </w:pPr>
      <w:r>
        <w:rPr>
          <w:rFonts w:hint="eastAsia" w:ascii="宋体" w:hAnsi="宋体" w:eastAsia="宋体" w:cs="DejaVuSans"/>
          <w:kern w:val="0"/>
          <w:sz w:val="24"/>
          <w:szCs w:val="24"/>
          <w:highlight w:val="none"/>
        </w:rPr>
        <w:t>乙方联系人：</w:t>
      </w:r>
      <w:r>
        <w:rPr>
          <w:rFonts w:ascii="宋体" w:hAnsi="宋体" w:eastAsia="宋体" w:cs="DejaVuSans"/>
          <w:kern w:val="0"/>
          <w:sz w:val="24"/>
          <w:szCs w:val="24"/>
          <w:highlight w:val="none"/>
        </w:rPr>
        <w:t xml:space="preserve"> </w:t>
      </w:r>
    </w:p>
    <w:p w14:paraId="0128DC06">
      <w:pPr>
        <w:autoSpaceDE w:val="0"/>
        <w:autoSpaceDN w:val="0"/>
        <w:adjustRightInd w:val="0"/>
        <w:spacing w:line="360" w:lineRule="auto"/>
        <w:ind w:firstLine="480" w:firstLineChars="200"/>
        <w:jc w:val="left"/>
        <w:rPr>
          <w:rFonts w:ascii="宋体" w:hAnsi="宋体" w:eastAsia="宋体" w:cs="DejaVuSans"/>
          <w:kern w:val="0"/>
          <w:sz w:val="24"/>
          <w:szCs w:val="24"/>
          <w:highlight w:val="none"/>
        </w:rPr>
      </w:pPr>
      <w:r>
        <w:rPr>
          <w:rFonts w:hint="eastAsia" w:ascii="宋体" w:hAnsi="宋体" w:eastAsia="宋体" w:cs="DejaVuSans"/>
          <w:kern w:val="0"/>
          <w:sz w:val="24"/>
          <w:szCs w:val="24"/>
          <w:highlight w:val="none"/>
        </w:rPr>
        <w:t>联系电话：</w:t>
      </w:r>
    </w:p>
    <w:p w14:paraId="1D98903B">
      <w:pPr>
        <w:autoSpaceDE w:val="0"/>
        <w:autoSpaceDN w:val="0"/>
        <w:adjustRightInd w:val="0"/>
        <w:spacing w:line="360" w:lineRule="auto"/>
        <w:ind w:firstLine="480" w:firstLineChars="200"/>
        <w:jc w:val="left"/>
        <w:rPr>
          <w:rFonts w:ascii="宋体" w:hAnsi="宋体" w:eastAsia="宋体"/>
          <w:highlight w:val="none"/>
        </w:rPr>
      </w:pPr>
      <w:r>
        <w:rPr>
          <w:rFonts w:hint="eastAsia" w:ascii="宋体" w:hAnsi="宋体" w:eastAsia="宋体" w:cs="DejaVuSans"/>
          <w:kern w:val="0"/>
          <w:sz w:val="24"/>
          <w:szCs w:val="24"/>
          <w:highlight w:val="none"/>
        </w:rPr>
        <w:t>合同签订日期：</w:t>
      </w:r>
      <w:r>
        <w:rPr>
          <w:rFonts w:hint="eastAsia" w:ascii="宋体" w:hAnsi="宋体"/>
          <w:highlight w:val="none"/>
        </w:rPr>
        <w:t xml:space="preserve">           </w:t>
      </w:r>
      <w:r>
        <w:rPr>
          <w:rFonts w:ascii="宋体" w:hAnsi="宋体" w:eastAsia="宋体" w:cs="宋体"/>
          <w:kern w:val="0"/>
          <w:sz w:val="24"/>
          <w:szCs w:val="24"/>
          <w:highlight w:val="none"/>
        </w:rPr>
        <w:br w:type="page"/>
      </w:r>
    </w:p>
    <w:bookmarkEnd w:id="179"/>
    <w:bookmarkEnd w:id="180"/>
    <w:bookmarkEnd w:id="181"/>
    <w:bookmarkEnd w:id="182"/>
    <w:bookmarkEnd w:id="183"/>
    <w:bookmarkEnd w:id="184"/>
    <w:bookmarkEnd w:id="185"/>
    <w:bookmarkEnd w:id="186"/>
    <w:bookmarkEnd w:id="187"/>
    <w:bookmarkEnd w:id="188"/>
    <w:bookmarkEnd w:id="199"/>
    <w:p w14:paraId="6EC41FC1">
      <w:pPr>
        <w:pStyle w:val="40"/>
        <w:spacing w:line="360" w:lineRule="auto"/>
        <w:rPr>
          <w:highlight w:val="none"/>
        </w:rPr>
      </w:pPr>
      <w:bookmarkStart w:id="200" w:name="_Toc169861825"/>
      <w:r>
        <w:rPr>
          <w:sz w:val="36"/>
          <w:highlight w:val="none"/>
        </w:rPr>
        <w:t>第六部分</w:t>
      </w:r>
      <w:bookmarkEnd w:id="189"/>
      <w:bookmarkEnd w:id="190"/>
      <w:bookmarkEnd w:id="191"/>
      <w:bookmarkEnd w:id="192"/>
      <w:bookmarkEnd w:id="193"/>
      <w:r>
        <w:rPr>
          <w:sz w:val="36"/>
          <w:highlight w:val="none"/>
        </w:rPr>
        <w:t xml:space="preserve"> 响应文件格式</w:t>
      </w:r>
      <w:bookmarkEnd w:id="194"/>
      <w:bookmarkEnd w:id="195"/>
      <w:bookmarkEnd w:id="196"/>
      <w:bookmarkEnd w:id="197"/>
      <w:bookmarkEnd w:id="198"/>
      <w:bookmarkEnd w:id="200"/>
    </w:p>
    <w:p w14:paraId="2F477484">
      <w:pPr>
        <w:pStyle w:val="4"/>
        <w:keepNext w:val="0"/>
        <w:keepLines w:val="0"/>
        <w:spacing w:before="0" w:after="0" w:line="360" w:lineRule="auto"/>
        <w:jc w:val="center"/>
        <w:rPr>
          <w:rFonts w:ascii="Times New Roman" w:hAnsi="Times New Roman" w:eastAsia="宋体"/>
          <w:b w:val="0"/>
          <w:sz w:val="24"/>
          <w:szCs w:val="24"/>
          <w:highlight w:val="none"/>
        </w:rPr>
      </w:pPr>
      <w:bookmarkStart w:id="201" w:name="_Toc454701405"/>
      <w:bookmarkStart w:id="202" w:name="_Toc467236768"/>
      <w:bookmarkStart w:id="203" w:name="_Toc486671572"/>
      <w:bookmarkStart w:id="204" w:name="_Toc458262638"/>
      <w:bookmarkStart w:id="205" w:name="_Toc169861826"/>
      <w:bookmarkStart w:id="206" w:name="_Toc476976200"/>
      <w:r>
        <w:rPr>
          <w:rFonts w:ascii="Times New Roman" w:hAnsi="Times New Roman" w:eastAsia="宋体"/>
          <w:bCs/>
          <w:sz w:val="24"/>
          <w:szCs w:val="24"/>
          <w:highlight w:val="none"/>
        </w:rPr>
        <w:t>一、</w:t>
      </w:r>
      <w:r>
        <w:rPr>
          <w:rFonts w:ascii="Times New Roman" w:hAnsi="Times New Roman" w:eastAsia="宋体"/>
          <w:sz w:val="24"/>
          <w:szCs w:val="24"/>
          <w:highlight w:val="none"/>
        </w:rPr>
        <w:t>响应书</w:t>
      </w:r>
      <w:bookmarkEnd w:id="201"/>
      <w:bookmarkEnd w:id="202"/>
      <w:bookmarkEnd w:id="203"/>
      <w:bookmarkEnd w:id="204"/>
      <w:bookmarkEnd w:id="205"/>
      <w:bookmarkEnd w:id="206"/>
    </w:p>
    <w:p w14:paraId="4EFC2C06">
      <w:pPr>
        <w:pStyle w:val="25"/>
        <w:autoSpaceDE/>
        <w:autoSpaceDN/>
        <w:adjustRightInd/>
        <w:spacing w:line="360" w:lineRule="auto"/>
        <w:textAlignment w:val="auto"/>
        <w:rPr>
          <w:rFonts w:hint="eastAsia" w:ascii="Times New Roman" w:eastAsia="宋体"/>
          <w:kern w:val="2"/>
          <w:sz w:val="24"/>
          <w:szCs w:val="21"/>
          <w:highlight w:val="none"/>
          <w:lang w:eastAsia="zh-CN"/>
        </w:rPr>
      </w:pPr>
      <w:r>
        <w:rPr>
          <w:rFonts w:ascii="Times New Roman"/>
          <w:kern w:val="2"/>
          <w:sz w:val="24"/>
          <w:szCs w:val="21"/>
          <w:highlight w:val="none"/>
        </w:rPr>
        <w:t>致：</w:t>
      </w:r>
      <w:r>
        <w:rPr>
          <w:rFonts w:hint="eastAsia" w:ascii="Times New Roman"/>
          <w:kern w:val="2"/>
          <w:sz w:val="24"/>
          <w:szCs w:val="21"/>
          <w:highlight w:val="none"/>
          <w:u w:val="single"/>
          <w:lang w:val="en-US" w:eastAsia="zh-CN"/>
        </w:rPr>
        <w:t>开平市中心医院</w:t>
      </w:r>
    </w:p>
    <w:p w14:paraId="26289D71">
      <w:pPr>
        <w:adjustRightInd w:val="0"/>
        <w:snapToGrid w:val="0"/>
        <w:spacing w:before="100" w:after="100" w:line="360" w:lineRule="auto"/>
        <w:ind w:firstLine="480" w:firstLineChars="200"/>
        <w:rPr>
          <w:rFonts w:eastAsia="宋体"/>
          <w:sz w:val="24"/>
          <w:szCs w:val="21"/>
          <w:highlight w:val="none"/>
        </w:rPr>
      </w:pPr>
      <w:r>
        <w:rPr>
          <w:rFonts w:eastAsia="宋体"/>
          <w:sz w:val="24"/>
          <w:szCs w:val="21"/>
          <w:highlight w:val="none"/>
        </w:rPr>
        <w:t>根据</w:t>
      </w:r>
      <w:r>
        <w:rPr>
          <w:rFonts w:hint="eastAsia" w:eastAsia="宋体"/>
          <w:sz w:val="24"/>
          <w:szCs w:val="21"/>
          <w:highlight w:val="none"/>
          <w:u w:val="single"/>
        </w:rPr>
        <w:t xml:space="preserve"> </w:t>
      </w:r>
      <w:r>
        <w:rPr>
          <w:rFonts w:hint="eastAsia" w:eastAsia="宋体"/>
          <w:sz w:val="24"/>
          <w:szCs w:val="21"/>
          <w:highlight w:val="none"/>
          <w:u w:val="single"/>
          <w:lang w:eastAsia="zh-CN"/>
        </w:rPr>
        <w:t>开平市中心医院药剂大楼容灾机房电力输入电缆采购项目</w:t>
      </w:r>
      <w:r>
        <w:rPr>
          <w:rFonts w:hint="eastAsia" w:eastAsia="宋体"/>
          <w:sz w:val="24"/>
          <w:szCs w:val="21"/>
          <w:highlight w:val="none"/>
        </w:rPr>
        <w:t>项目的</w:t>
      </w:r>
      <w:r>
        <w:rPr>
          <w:rFonts w:hint="eastAsia" w:eastAsia="宋体"/>
          <w:sz w:val="24"/>
          <w:szCs w:val="21"/>
          <w:highlight w:val="none"/>
          <w:lang w:eastAsia="zh-CN"/>
        </w:rPr>
        <w:t>遴选</w:t>
      </w:r>
      <w:r>
        <w:rPr>
          <w:rFonts w:eastAsia="宋体"/>
          <w:sz w:val="24"/>
          <w:szCs w:val="21"/>
          <w:highlight w:val="none"/>
        </w:rPr>
        <w:t>文件，供应商承诺如下：</w:t>
      </w:r>
    </w:p>
    <w:p w14:paraId="4AC6458D">
      <w:pPr>
        <w:spacing w:line="360" w:lineRule="auto"/>
        <w:ind w:firstLine="480" w:firstLineChars="200"/>
        <w:rPr>
          <w:rFonts w:eastAsia="宋体"/>
          <w:sz w:val="24"/>
          <w:szCs w:val="21"/>
          <w:highlight w:val="none"/>
        </w:rPr>
      </w:pPr>
      <w:r>
        <w:rPr>
          <w:rFonts w:eastAsia="宋体"/>
          <w:sz w:val="24"/>
          <w:szCs w:val="21"/>
          <w:highlight w:val="none"/>
        </w:rPr>
        <w:t>1.签字代表</w:t>
      </w:r>
      <w:r>
        <w:rPr>
          <w:rFonts w:eastAsia="宋体"/>
          <w:sz w:val="24"/>
          <w:szCs w:val="21"/>
          <w:highlight w:val="none"/>
          <w:u w:val="single"/>
        </w:rPr>
        <w:t>（姓名、职务）</w:t>
      </w:r>
      <w:r>
        <w:rPr>
          <w:rFonts w:eastAsia="宋体"/>
          <w:sz w:val="24"/>
          <w:szCs w:val="21"/>
          <w:highlight w:val="none"/>
        </w:rPr>
        <w:t>经正式授权并代表供应商</w:t>
      </w:r>
      <w:r>
        <w:rPr>
          <w:rFonts w:eastAsia="宋体"/>
          <w:sz w:val="24"/>
          <w:szCs w:val="21"/>
          <w:highlight w:val="none"/>
          <w:u w:val="single"/>
        </w:rPr>
        <w:t>（供应商名称、地址）</w:t>
      </w:r>
      <w:r>
        <w:rPr>
          <w:rFonts w:eastAsia="宋体"/>
          <w:sz w:val="24"/>
          <w:szCs w:val="21"/>
          <w:highlight w:val="none"/>
        </w:rPr>
        <w:t>提交响应文件正本一份和副本</w:t>
      </w:r>
      <w:r>
        <w:rPr>
          <w:rFonts w:hint="eastAsia" w:eastAsia="宋体"/>
          <w:sz w:val="24"/>
          <w:szCs w:val="21"/>
          <w:highlight w:val="none"/>
        </w:rPr>
        <w:t>二</w:t>
      </w:r>
      <w:r>
        <w:rPr>
          <w:rFonts w:eastAsia="宋体"/>
          <w:sz w:val="24"/>
          <w:szCs w:val="21"/>
          <w:highlight w:val="none"/>
        </w:rPr>
        <w:t>份。</w:t>
      </w:r>
    </w:p>
    <w:p w14:paraId="7CB0FB4D">
      <w:pPr>
        <w:spacing w:line="360" w:lineRule="auto"/>
        <w:ind w:firstLine="480" w:firstLineChars="200"/>
        <w:outlineLvl w:val="2"/>
        <w:rPr>
          <w:rFonts w:eastAsia="宋体"/>
          <w:sz w:val="24"/>
          <w:szCs w:val="21"/>
          <w:highlight w:val="none"/>
        </w:rPr>
      </w:pPr>
      <w:r>
        <w:rPr>
          <w:rFonts w:eastAsia="宋体"/>
          <w:sz w:val="24"/>
          <w:szCs w:val="21"/>
          <w:highlight w:val="none"/>
        </w:rPr>
        <w:t>2.供应商愿意参加响应并在成交后按</w:t>
      </w:r>
      <w:r>
        <w:rPr>
          <w:rFonts w:hint="eastAsia" w:eastAsia="宋体"/>
          <w:sz w:val="24"/>
          <w:szCs w:val="21"/>
          <w:highlight w:val="none"/>
          <w:lang w:eastAsia="zh-CN"/>
        </w:rPr>
        <w:t>遴选</w:t>
      </w:r>
      <w:r>
        <w:rPr>
          <w:rFonts w:eastAsia="宋体"/>
          <w:sz w:val="24"/>
          <w:szCs w:val="21"/>
          <w:highlight w:val="none"/>
        </w:rPr>
        <w:t>文件规定履行义务。</w:t>
      </w:r>
    </w:p>
    <w:p w14:paraId="6F859D65">
      <w:pPr>
        <w:spacing w:line="360" w:lineRule="auto"/>
        <w:ind w:firstLine="480" w:firstLineChars="200"/>
        <w:rPr>
          <w:rFonts w:eastAsia="宋体"/>
          <w:sz w:val="24"/>
          <w:szCs w:val="21"/>
          <w:highlight w:val="none"/>
        </w:rPr>
      </w:pPr>
      <w:r>
        <w:rPr>
          <w:rFonts w:eastAsia="宋体"/>
          <w:sz w:val="24"/>
          <w:szCs w:val="21"/>
          <w:highlight w:val="none"/>
        </w:rPr>
        <w:t>3.供应商已详细审查全部</w:t>
      </w:r>
      <w:r>
        <w:rPr>
          <w:rFonts w:hint="eastAsia" w:eastAsia="宋体"/>
          <w:sz w:val="24"/>
          <w:szCs w:val="21"/>
          <w:highlight w:val="none"/>
          <w:lang w:eastAsia="zh-CN"/>
        </w:rPr>
        <w:t>遴选</w:t>
      </w:r>
      <w:r>
        <w:rPr>
          <w:rFonts w:eastAsia="宋体"/>
          <w:sz w:val="24"/>
          <w:szCs w:val="21"/>
          <w:highlight w:val="none"/>
        </w:rPr>
        <w:t>文件，包括澄清或修改文件（如有的话）等全部资料。供应商完全理解</w:t>
      </w:r>
      <w:r>
        <w:rPr>
          <w:rFonts w:hint="eastAsia" w:eastAsia="宋体"/>
          <w:sz w:val="24"/>
          <w:szCs w:val="21"/>
          <w:highlight w:val="none"/>
          <w:lang w:eastAsia="zh-CN"/>
        </w:rPr>
        <w:t>遴选</w:t>
      </w:r>
      <w:r>
        <w:rPr>
          <w:rFonts w:eastAsia="宋体"/>
          <w:sz w:val="24"/>
          <w:szCs w:val="21"/>
          <w:highlight w:val="none"/>
        </w:rPr>
        <w:t>文件的内容，不存在对</w:t>
      </w:r>
      <w:r>
        <w:rPr>
          <w:rFonts w:hint="eastAsia" w:eastAsia="宋体"/>
          <w:sz w:val="24"/>
          <w:szCs w:val="21"/>
          <w:highlight w:val="none"/>
          <w:lang w:eastAsia="zh-CN"/>
        </w:rPr>
        <w:t>遴选</w:t>
      </w:r>
      <w:r>
        <w:rPr>
          <w:rFonts w:eastAsia="宋体"/>
          <w:sz w:val="24"/>
          <w:szCs w:val="21"/>
          <w:highlight w:val="none"/>
        </w:rPr>
        <w:t>文件不明白和误解。</w:t>
      </w:r>
    </w:p>
    <w:p w14:paraId="71B5D1DB">
      <w:pPr>
        <w:spacing w:line="360" w:lineRule="auto"/>
        <w:ind w:firstLine="480" w:firstLineChars="200"/>
        <w:rPr>
          <w:rFonts w:eastAsia="宋体"/>
          <w:sz w:val="24"/>
          <w:szCs w:val="21"/>
          <w:highlight w:val="none"/>
        </w:rPr>
      </w:pPr>
      <w:r>
        <w:rPr>
          <w:rFonts w:eastAsia="宋体"/>
          <w:sz w:val="24"/>
          <w:szCs w:val="21"/>
          <w:highlight w:val="none"/>
        </w:rPr>
        <w:t>4.响应文件中所提交的所有资料均是准确的和真实的</w:t>
      </w:r>
      <w:r>
        <w:rPr>
          <w:rFonts w:hint="eastAsia" w:eastAsia="宋体"/>
          <w:sz w:val="24"/>
          <w:szCs w:val="21"/>
          <w:highlight w:val="none"/>
        </w:rPr>
        <w:t>，</w:t>
      </w:r>
      <w:r>
        <w:rPr>
          <w:rFonts w:eastAsia="宋体"/>
          <w:sz w:val="24"/>
          <w:szCs w:val="21"/>
          <w:highlight w:val="none"/>
        </w:rPr>
        <w:t>否则，我单位愿意放弃成交的权利和接受政府采购监督管理部门的处罚。</w:t>
      </w:r>
    </w:p>
    <w:p w14:paraId="19DD474B">
      <w:pPr>
        <w:spacing w:line="360" w:lineRule="auto"/>
        <w:ind w:firstLine="480" w:firstLineChars="200"/>
        <w:rPr>
          <w:rFonts w:eastAsia="宋体"/>
          <w:sz w:val="24"/>
          <w:szCs w:val="21"/>
          <w:highlight w:val="none"/>
        </w:rPr>
      </w:pPr>
      <w:r>
        <w:rPr>
          <w:rFonts w:eastAsia="宋体"/>
          <w:sz w:val="24"/>
          <w:szCs w:val="21"/>
          <w:highlight w:val="none"/>
        </w:rPr>
        <w:t>5.参加本项目政府采购活动前3年内，在经营活动中没有重大违法记录。</w:t>
      </w:r>
    </w:p>
    <w:p w14:paraId="566D8640">
      <w:pPr>
        <w:spacing w:line="360" w:lineRule="auto"/>
        <w:ind w:firstLine="480" w:firstLineChars="200"/>
        <w:outlineLvl w:val="2"/>
        <w:rPr>
          <w:rFonts w:eastAsia="宋体"/>
          <w:sz w:val="24"/>
          <w:szCs w:val="21"/>
          <w:highlight w:val="none"/>
        </w:rPr>
      </w:pPr>
      <w:r>
        <w:rPr>
          <w:rFonts w:eastAsia="宋体"/>
          <w:sz w:val="24"/>
          <w:szCs w:val="21"/>
          <w:highlight w:val="none"/>
        </w:rPr>
        <w:t>6.响应有效期为30个工作日，自开启响应文件之日起算。</w:t>
      </w:r>
    </w:p>
    <w:p w14:paraId="35D7C6CE">
      <w:pPr>
        <w:spacing w:line="360" w:lineRule="auto"/>
        <w:ind w:firstLine="480" w:firstLineChars="200"/>
        <w:rPr>
          <w:rFonts w:eastAsia="宋体"/>
          <w:sz w:val="24"/>
          <w:szCs w:val="21"/>
          <w:highlight w:val="none"/>
        </w:rPr>
      </w:pPr>
      <w:r>
        <w:rPr>
          <w:rFonts w:hint="eastAsia" w:eastAsia="宋体"/>
          <w:sz w:val="24"/>
          <w:szCs w:val="21"/>
          <w:highlight w:val="none"/>
          <w:lang w:val="en-US" w:eastAsia="zh-CN"/>
        </w:rPr>
        <w:t>7</w:t>
      </w:r>
      <w:r>
        <w:rPr>
          <w:rFonts w:eastAsia="宋体"/>
          <w:sz w:val="24"/>
          <w:szCs w:val="21"/>
          <w:highlight w:val="none"/>
        </w:rPr>
        <w:t>.如果开启响应文件后，在响应有效期内撤回文件的，我单位愿意承担贵单位由此而产生的损失。</w:t>
      </w:r>
    </w:p>
    <w:p w14:paraId="06BA205F">
      <w:pPr>
        <w:spacing w:line="360" w:lineRule="auto"/>
        <w:ind w:firstLine="480" w:firstLineChars="200"/>
        <w:rPr>
          <w:rFonts w:eastAsia="宋体"/>
          <w:sz w:val="24"/>
          <w:szCs w:val="21"/>
          <w:highlight w:val="none"/>
        </w:rPr>
      </w:pPr>
      <w:r>
        <w:rPr>
          <w:rFonts w:hint="eastAsia" w:eastAsia="宋体"/>
          <w:sz w:val="24"/>
          <w:szCs w:val="21"/>
          <w:highlight w:val="none"/>
          <w:lang w:val="en-US" w:eastAsia="zh-CN"/>
        </w:rPr>
        <w:t>8</w:t>
      </w:r>
      <w:r>
        <w:rPr>
          <w:rFonts w:eastAsia="宋体"/>
          <w:sz w:val="24"/>
          <w:szCs w:val="21"/>
          <w:highlight w:val="none"/>
        </w:rPr>
        <w:t>.供应商同意提供按照贵方可能要求的有关的一切资料，理解贵单位不一定要接受最低价的响应或收到的任何响应。</w:t>
      </w:r>
    </w:p>
    <w:p w14:paraId="15B61E8E">
      <w:pPr>
        <w:spacing w:line="360" w:lineRule="auto"/>
        <w:ind w:firstLine="480" w:firstLineChars="200"/>
        <w:rPr>
          <w:rFonts w:eastAsia="宋体"/>
          <w:sz w:val="24"/>
          <w:szCs w:val="21"/>
          <w:highlight w:val="none"/>
        </w:rPr>
      </w:pPr>
      <w:r>
        <w:rPr>
          <w:rFonts w:hint="eastAsia" w:eastAsia="宋体"/>
          <w:sz w:val="24"/>
          <w:szCs w:val="21"/>
          <w:highlight w:val="none"/>
          <w:lang w:val="en-US" w:eastAsia="zh-CN"/>
        </w:rPr>
        <w:t>9</w:t>
      </w:r>
      <w:r>
        <w:rPr>
          <w:rFonts w:eastAsia="宋体"/>
          <w:sz w:val="24"/>
          <w:szCs w:val="21"/>
          <w:highlight w:val="none"/>
        </w:rPr>
        <w:t>.与本响应有关的一切正式往来通讯请寄：</w:t>
      </w:r>
      <w:r>
        <w:rPr>
          <w:rFonts w:eastAsia="宋体"/>
          <w:sz w:val="24"/>
          <w:szCs w:val="21"/>
          <w:highlight w:val="none"/>
          <w:u w:val="single"/>
        </w:rPr>
        <w:t xml:space="preserve">                            </w:t>
      </w:r>
    </w:p>
    <w:p w14:paraId="1E55FC9E">
      <w:pPr>
        <w:spacing w:line="360" w:lineRule="auto"/>
        <w:ind w:firstLine="480" w:firstLineChars="200"/>
        <w:rPr>
          <w:rFonts w:eastAsia="宋体"/>
          <w:sz w:val="24"/>
          <w:szCs w:val="21"/>
          <w:highlight w:val="none"/>
        </w:rPr>
      </w:pPr>
    </w:p>
    <w:p w14:paraId="68CB05A0">
      <w:pPr>
        <w:spacing w:line="360" w:lineRule="auto"/>
        <w:ind w:firstLine="480" w:firstLineChars="200"/>
        <w:rPr>
          <w:rFonts w:eastAsia="宋体"/>
          <w:sz w:val="24"/>
          <w:szCs w:val="21"/>
          <w:highlight w:val="none"/>
        </w:rPr>
      </w:pPr>
    </w:p>
    <w:p w14:paraId="5FB75DAD">
      <w:pPr>
        <w:spacing w:line="360" w:lineRule="auto"/>
        <w:ind w:firstLine="480" w:firstLineChars="200"/>
        <w:rPr>
          <w:rFonts w:eastAsia="宋体"/>
          <w:sz w:val="24"/>
          <w:szCs w:val="21"/>
          <w:highlight w:val="none"/>
        </w:rPr>
      </w:pPr>
      <w:r>
        <w:rPr>
          <w:rFonts w:eastAsia="宋体"/>
          <w:sz w:val="24"/>
          <w:szCs w:val="21"/>
          <w:highlight w:val="none"/>
        </w:rPr>
        <w:t>供应商名称：</w:t>
      </w:r>
      <w:r>
        <w:rPr>
          <w:rFonts w:eastAsia="宋体"/>
          <w:sz w:val="24"/>
          <w:szCs w:val="21"/>
          <w:highlight w:val="none"/>
          <w:u w:val="single"/>
        </w:rPr>
        <w:t xml:space="preserve">            （盖公章）                   </w:t>
      </w:r>
    </w:p>
    <w:p w14:paraId="7468A3A6">
      <w:pPr>
        <w:spacing w:line="360" w:lineRule="auto"/>
        <w:ind w:firstLine="480" w:firstLineChars="200"/>
        <w:rPr>
          <w:rFonts w:eastAsia="宋体"/>
          <w:sz w:val="24"/>
          <w:szCs w:val="21"/>
          <w:highlight w:val="none"/>
          <w:u w:val="single"/>
        </w:rPr>
      </w:pPr>
      <w:r>
        <w:rPr>
          <w:rFonts w:eastAsia="宋体"/>
          <w:sz w:val="24"/>
          <w:szCs w:val="21"/>
          <w:highlight w:val="none"/>
        </w:rPr>
        <w:t>供应商代表姓名、职务（印刷体）：</w:t>
      </w:r>
      <w:r>
        <w:rPr>
          <w:rFonts w:eastAsia="宋体"/>
          <w:sz w:val="24"/>
          <w:szCs w:val="21"/>
          <w:highlight w:val="none"/>
          <w:u w:val="single"/>
        </w:rPr>
        <w:t xml:space="preserve">                      </w:t>
      </w:r>
    </w:p>
    <w:p w14:paraId="2EFC83B7">
      <w:pPr>
        <w:spacing w:line="360" w:lineRule="auto"/>
        <w:ind w:firstLine="480" w:firstLineChars="200"/>
        <w:rPr>
          <w:rFonts w:eastAsia="宋体"/>
          <w:sz w:val="24"/>
          <w:szCs w:val="21"/>
          <w:highlight w:val="none"/>
        </w:rPr>
      </w:pPr>
      <w:r>
        <w:rPr>
          <w:rFonts w:eastAsia="宋体"/>
          <w:sz w:val="24"/>
          <w:szCs w:val="21"/>
          <w:highlight w:val="none"/>
        </w:rPr>
        <w:t>供应商联系电话：</w:t>
      </w:r>
      <w:r>
        <w:rPr>
          <w:rFonts w:eastAsia="宋体"/>
          <w:sz w:val="24"/>
          <w:szCs w:val="21"/>
          <w:highlight w:val="none"/>
          <w:u w:val="single"/>
        </w:rPr>
        <w:t xml:space="preserve">                               </w:t>
      </w:r>
    </w:p>
    <w:p w14:paraId="039DA838">
      <w:pPr>
        <w:spacing w:line="360" w:lineRule="auto"/>
        <w:ind w:firstLine="480" w:firstLineChars="200"/>
        <w:rPr>
          <w:rFonts w:eastAsia="宋体"/>
          <w:sz w:val="24"/>
          <w:szCs w:val="21"/>
          <w:highlight w:val="none"/>
        </w:rPr>
      </w:pPr>
      <w:r>
        <w:rPr>
          <w:rFonts w:eastAsia="宋体"/>
          <w:sz w:val="24"/>
          <w:szCs w:val="21"/>
          <w:highlight w:val="none"/>
        </w:rPr>
        <w:t>日期：</w:t>
      </w:r>
      <w:r>
        <w:rPr>
          <w:rFonts w:eastAsia="宋体"/>
          <w:sz w:val="24"/>
          <w:szCs w:val="21"/>
          <w:highlight w:val="none"/>
          <w:u w:val="single"/>
        </w:rPr>
        <w:t xml:space="preserve">     </w:t>
      </w:r>
      <w:r>
        <w:rPr>
          <w:rFonts w:eastAsia="宋体"/>
          <w:sz w:val="24"/>
          <w:szCs w:val="21"/>
          <w:highlight w:val="none"/>
        </w:rPr>
        <w:t>年</w:t>
      </w:r>
      <w:r>
        <w:rPr>
          <w:rFonts w:eastAsia="宋体"/>
          <w:sz w:val="24"/>
          <w:szCs w:val="21"/>
          <w:highlight w:val="none"/>
          <w:u w:val="single"/>
        </w:rPr>
        <w:t xml:space="preserve">      </w:t>
      </w:r>
      <w:r>
        <w:rPr>
          <w:rFonts w:eastAsia="宋体"/>
          <w:sz w:val="24"/>
          <w:szCs w:val="21"/>
          <w:highlight w:val="none"/>
        </w:rPr>
        <w:t>月</w:t>
      </w:r>
      <w:r>
        <w:rPr>
          <w:rFonts w:eastAsia="宋体"/>
          <w:sz w:val="24"/>
          <w:szCs w:val="21"/>
          <w:highlight w:val="none"/>
          <w:u w:val="single"/>
        </w:rPr>
        <w:t xml:space="preserve">      </w:t>
      </w:r>
      <w:r>
        <w:rPr>
          <w:rFonts w:eastAsia="宋体"/>
          <w:sz w:val="24"/>
          <w:szCs w:val="21"/>
          <w:highlight w:val="none"/>
        </w:rPr>
        <w:t>日</w:t>
      </w:r>
    </w:p>
    <w:p w14:paraId="2A500CF8">
      <w:pPr>
        <w:pStyle w:val="4"/>
        <w:keepNext w:val="0"/>
        <w:keepLines w:val="0"/>
        <w:spacing w:before="0" w:after="0" w:line="360" w:lineRule="auto"/>
        <w:jc w:val="center"/>
        <w:rPr>
          <w:rFonts w:ascii="Times New Roman" w:hAnsi="Times New Roman" w:eastAsia="宋体"/>
          <w:bCs/>
          <w:sz w:val="24"/>
          <w:szCs w:val="21"/>
          <w:highlight w:val="none"/>
        </w:rPr>
      </w:pPr>
      <w:bookmarkStart w:id="207" w:name="_Toc454701406"/>
      <w:bookmarkStart w:id="208" w:name="_Toc467236769"/>
      <w:bookmarkStart w:id="209" w:name="_Toc486671573"/>
      <w:bookmarkStart w:id="210" w:name="_Toc458262639"/>
      <w:bookmarkStart w:id="211" w:name="_Toc476976201"/>
      <w:r>
        <w:rPr>
          <w:rFonts w:ascii="Times New Roman" w:hAnsi="Times New Roman" w:eastAsia="宋体"/>
          <w:bCs/>
          <w:sz w:val="24"/>
          <w:szCs w:val="21"/>
          <w:highlight w:val="none"/>
        </w:rPr>
        <w:br w:type="page"/>
      </w:r>
      <w:bookmarkStart w:id="212" w:name="_Toc169861827"/>
      <w:r>
        <w:rPr>
          <w:rFonts w:ascii="Times New Roman" w:hAnsi="Times New Roman" w:eastAsia="宋体"/>
          <w:bCs/>
          <w:sz w:val="24"/>
          <w:szCs w:val="21"/>
          <w:highlight w:val="none"/>
        </w:rPr>
        <w:t>二、报价一览表</w:t>
      </w:r>
      <w:bookmarkEnd w:id="207"/>
      <w:bookmarkEnd w:id="208"/>
      <w:bookmarkEnd w:id="209"/>
      <w:bookmarkEnd w:id="210"/>
      <w:bookmarkEnd w:id="211"/>
      <w:bookmarkEnd w:id="212"/>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2251"/>
        <w:gridCol w:w="4947"/>
      </w:tblGrid>
      <w:tr w14:paraId="325D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350" w:type="dxa"/>
            <w:vAlign w:val="center"/>
          </w:tcPr>
          <w:p w14:paraId="11038840">
            <w:pPr>
              <w:autoSpaceDE w:val="0"/>
              <w:autoSpaceDN w:val="0"/>
              <w:adjustRightInd w:val="0"/>
              <w:jc w:val="center"/>
              <w:rPr>
                <w:rFonts w:ascii="宋体" w:hAnsi="宋体" w:eastAsia="宋体" w:cs="宋体"/>
                <w:b/>
                <w:kern w:val="0"/>
                <w:sz w:val="32"/>
                <w:szCs w:val="32"/>
                <w:highlight w:val="none"/>
              </w:rPr>
            </w:pPr>
            <w:r>
              <w:rPr>
                <w:rFonts w:hint="eastAsia" w:ascii="宋体" w:hAnsi="宋体" w:eastAsia="宋体" w:cs="宋体"/>
                <w:kern w:val="0"/>
                <w:sz w:val="24"/>
                <w:szCs w:val="24"/>
                <w:highlight w:val="none"/>
              </w:rPr>
              <w:t>项目名称</w:t>
            </w:r>
          </w:p>
        </w:tc>
        <w:tc>
          <w:tcPr>
            <w:tcW w:w="7198" w:type="dxa"/>
            <w:gridSpan w:val="2"/>
            <w:vAlign w:val="center"/>
          </w:tcPr>
          <w:p w14:paraId="71E652CB">
            <w:pPr>
              <w:autoSpaceDE w:val="0"/>
              <w:autoSpaceDN w:val="0"/>
              <w:adjustRightInd w:val="0"/>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开平市中心医院药剂大楼容灾机房电力输入电缆采购项目</w:t>
            </w:r>
            <w:r>
              <w:rPr>
                <w:rFonts w:hint="eastAsia" w:ascii="宋体" w:hAnsi="宋体" w:eastAsia="宋体" w:cs="宋体"/>
                <w:kern w:val="0"/>
                <w:sz w:val="24"/>
                <w:szCs w:val="24"/>
                <w:highlight w:val="none"/>
              </w:rPr>
              <w:t xml:space="preserve"> </w:t>
            </w:r>
          </w:p>
        </w:tc>
      </w:tr>
      <w:tr w14:paraId="62E0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350" w:type="dxa"/>
            <w:vAlign w:val="center"/>
          </w:tcPr>
          <w:p w14:paraId="1FA27819">
            <w:pPr>
              <w:autoSpaceDE w:val="0"/>
              <w:autoSpaceDN w:val="0"/>
              <w:adjustRightInd w:val="0"/>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数量</w:t>
            </w:r>
          </w:p>
        </w:tc>
        <w:tc>
          <w:tcPr>
            <w:tcW w:w="7198" w:type="dxa"/>
            <w:gridSpan w:val="2"/>
            <w:vAlign w:val="center"/>
          </w:tcPr>
          <w:p w14:paraId="6988EB6F">
            <w:pPr>
              <w:autoSpaceDE w:val="0"/>
              <w:autoSpaceDN w:val="0"/>
              <w:adjustRightInd w:val="0"/>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195米</w:t>
            </w:r>
          </w:p>
        </w:tc>
      </w:tr>
      <w:tr w14:paraId="0924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350" w:type="dxa"/>
            <w:vAlign w:val="center"/>
          </w:tcPr>
          <w:p w14:paraId="01E39696">
            <w:pPr>
              <w:autoSpaceDE w:val="0"/>
              <w:autoSpaceDN w:val="0"/>
              <w:adjustRightInd w:val="0"/>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单价</w:t>
            </w:r>
          </w:p>
        </w:tc>
        <w:tc>
          <w:tcPr>
            <w:tcW w:w="7198" w:type="dxa"/>
            <w:gridSpan w:val="2"/>
            <w:vAlign w:val="center"/>
          </w:tcPr>
          <w:p w14:paraId="5480259E">
            <w:pPr>
              <w:autoSpaceDE w:val="0"/>
              <w:autoSpaceDN w:val="0"/>
              <w:adjustRightInd w:val="0"/>
              <w:ind w:firstLine="1200" w:firstLineChars="500"/>
              <w:jc w:val="both"/>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元</w:t>
            </w:r>
            <w:r>
              <w:rPr>
                <w:rFonts w:hint="eastAsia" w:ascii="宋体" w:hAnsi="宋体" w:eastAsia="宋体" w:cs="宋体"/>
                <w:kern w:val="0"/>
                <w:sz w:val="24"/>
                <w:szCs w:val="24"/>
                <w:highlight w:val="none"/>
                <w:lang w:val="en-US" w:eastAsia="zh-CN"/>
              </w:rPr>
              <w:t xml:space="preserve">  大写：</w:t>
            </w:r>
            <w:r>
              <w:rPr>
                <w:rFonts w:hint="eastAsia" w:ascii="宋体" w:hAnsi="宋体" w:eastAsia="宋体" w:cs="宋体"/>
                <w:kern w:val="0"/>
                <w:sz w:val="24"/>
                <w:szCs w:val="24"/>
                <w:highlight w:val="none"/>
                <w:u w:val="single"/>
                <w:lang w:val="en-US" w:eastAsia="zh-CN"/>
              </w:rPr>
              <w:t xml:space="preserve">人民币              </w:t>
            </w:r>
          </w:p>
        </w:tc>
      </w:tr>
      <w:tr w14:paraId="3A09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350" w:type="dxa"/>
            <w:vMerge w:val="restart"/>
            <w:vAlign w:val="center"/>
          </w:tcPr>
          <w:p w14:paraId="3A91694D">
            <w:pPr>
              <w:autoSpaceDE w:val="0"/>
              <w:autoSpaceDN w:val="0"/>
              <w:adjustRightInd w:val="0"/>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总报价</w:t>
            </w:r>
          </w:p>
        </w:tc>
        <w:tc>
          <w:tcPr>
            <w:tcW w:w="2251" w:type="dxa"/>
            <w:vAlign w:val="center"/>
          </w:tcPr>
          <w:p w14:paraId="59BB8B4D">
            <w:pPr>
              <w:autoSpaceDE w:val="0"/>
              <w:autoSpaceDN w:val="0"/>
              <w:adjustRightInd w:val="0"/>
              <w:jc w:val="center"/>
              <w:rPr>
                <w:rFonts w:ascii="宋体" w:hAnsi="宋体" w:eastAsia="宋体" w:cs="宋体"/>
                <w:b/>
                <w:kern w:val="0"/>
                <w:sz w:val="32"/>
                <w:szCs w:val="32"/>
                <w:highlight w:val="none"/>
              </w:rPr>
            </w:pPr>
            <w:r>
              <w:rPr>
                <w:rFonts w:hint="eastAsia" w:ascii="宋体" w:hAnsi="宋体" w:eastAsia="宋体" w:cs="宋体"/>
                <w:kern w:val="0"/>
                <w:sz w:val="24"/>
                <w:szCs w:val="24"/>
                <w:highlight w:val="none"/>
              </w:rPr>
              <w:t>小写（人民币）</w:t>
            </w:r>
            <w:r>
              <w:rPr>
                <w:rFonts w:ascii="宋体" w:hAnsi="宋体" w:eastAsia="宋体" w:cs="宋体"/>
                <w:kern w:val="0"/>
                <w:sz w:val="24"/>
                <w:szCs w:val="24"/>
                <w:highlight w:val="none"/>
              </w:rPr>
              <w:t xml:space="preserve"> </w:t>
            </w:r>
          </w:p>
        </w:tc>
        <w:tc>
          <w:tcPr>
            <w:tcW w:w="4947" w:type="dxa"/>
            <w:vAlign w:val="center"/>
          </w:tcPr>
          <w:p w14:paraId="5C4A2EEC">
            <w:pPr>
              <w:autoSpaceDE w:val="0"/>
              <w:autoSpaceDN w:val="0"/>
              <w:adjustRightInd w:val="0"/>
              <w:jc w:val="center"/>
              <w:rPr>
                <w:rFonts w:ascii="宋体" w:hAnsi="宋体" w:eastAsia="宋体" w:cs="宋体"/>
                <w:b/>
                <w:kern w:val="0"/>
                <w:sz w:val="32"/>
                <w:szCs w:val="32"/>
                <w:highlight w:val="none"/>
              </w:rPr>
            </w:pP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元</w:t>
            </w:r>
          </w:p>
        </w:tc>
      </w:tr>
      <w:tr w14:paraId="6D2B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350" w:type="dxa"/>
            <w:vMerge w:val="continue"/>
            <w:vAlign w:val="center"/>
          </w:tcPr>
          <w:p w14:paraId="3293AD32">
            <w:pPr>
              <w:autoSpaceDE w:val="0"/>
              <w:autoSpaceDN w:val="0"/>
              <w:adjustRightInd w:val="0"/>
              <w:jc w:val="center"/>
              <w:rPr>
                <w:rFonts w:ascii="宋体" w:hAnsi="宋体" w:eastAsia="宋体" w:cs="宋体"/>
                <w:b/>
                <w:kern w:val="0"/>
                <w:sz w:val="32"/>
                <w:szCs w:val="32"/>
                <w:highlight w:val="none"/>
              </w:rPr>
            </w:pPr>
          </w:p>
        </w:tc>
        <w:tc>
          <w:tcPr>
            <w:tcW w:w="2251" w:type="dxa"/>
            <w:vAlign w:val="center"/>
          </w:tcPr>
          <w:p w14:paraId="4340AECA">
            <w:pPr>
              <w:autoSpaceDE w:val="0"/>
              <w:autoSpaceDN w:val="0"/>
              <w:adjustRightInd w:val="0"/>
              <w:jc w:val="center"/>
              <w:rPr>
                <w:rFonts w:ascii="宋体" w:hAnsi="宋体" w:eastAsia="宋体" w:cs="宋体"/>
                <w:b/>
                <w:kern w:val="0"/>
                <w:sz w:val="32"/>
                <w:szCs w:val="32"/>
                <w:highlight w:val="none"/>
              </w:rPr>
            </w:pPr>
            <w:r>
              <w:rPr>
                <w:rFonts w:hint="eastAsia" w:ascii="宋体" w:hAnsi="宋体" w:eastAsia="宋体" w:cs="宋体"/>
                <w:kern w:val="0"/>
                <w:sz w:val="24"/>
                <w:szCs w:val="24"/>
                <w:highlight w:val="none"/>
              </w:rPr>
              <w:t>大写（人民币）</w:t>
            </w:r>
          </w:p>
        </w:tc>
        <w:tc>
          <w:tcPr>
            <w:tcW w:w="4947" w:type="dxa"/>
            <w:vAlign w:val="center"/>
          </w:tcPr>
          <w:p w14:paraId="53DD9E0C">
            <w:pPr>
              <w:autoSpaceDE w:val="0"/>
              <w:autoSpaceDN w:val="0"/>
              <w:adjustRightInd w:val="0"/>
              <w:jc w:val="center"/>
              <w:rPr>
                <w:rFonts w:ascii="宋体" w:hAnsi="宋体" w:eastAsia="宋体" w:cs="宋体"/>
                <w:b/>
                <w:kern w:val="0"/>
                <w:sz w:val="32"/>
                <w:szCs w:val="32"/>
                <w:highlight w:val="none"/>
              </w:rPr>
            </w:pPr>
          </w:p>
        </w:tc>
      </w:tr>
      <w:tr w14:paraId="5B2F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0" w:type="dxa"/>
            <w:vAlign w:val="center"/>
          </w:tcPr>
          <w:p w14:paraId="01FD0D90">
            <w:pPr>
              <w:autoSpaceDE w:val="0"/>
              <w:autoSpaceDN w:val="0"/>
              <w:adjustRightInd w:val="0"/>
              <w:jc w:val="center"/>
              <w:rPr>
                <w:rFonts w:ascii="宋体" w:hAnsi="宋体" w:eastAsia="宋体" w:cs="宋体"/>
                <w:b/>
                <w:kern w:val="0"/>
                <w:sz w:val="32"/>
                <w:szCs w:val="32"/>
                <w:highlight w:val="none"/>
              </w:rPr>
            </w:pPr>
            <w:r>
              <w:rPr>
                <w:rFonts w:hint="eastAsia" w:ascii="宋体" w:hAnsi="宋体" w:eastAsia="宋体" w:cs="宋体"/>
                <w:kern w:val="0"/>
                <w:sz w:val="24"/>
                <w:szCs w:val="24"/>
                <w:highlight w:val="none"/>
                <w:lang w:val="en-US" w:eastAsia="zh-CN"/>
              </w:rPr>
              <w:t>交货期</w:t>
            </w:r>
          </w:p>
        </w:tc>
        <w:tc>
          <w:tcPr>
            <w:tcW w:w="7198" w:type="dxa"/>
            <w:gridSpan w:val="2"/>
            <w:vAlign w:val="center"/>
          </w:tcPr>
          <w:p w14:paraId="524AC137">
            <w:pPr>
              <w:autoSpaceDE w:val="0"/>
              <w:autoSpaceDN w:val="0"/>
              <w:adjustRightInd w:val="0"/>
              <w:jc w:val="center"/>
              <w:rPr>
                <w:rFonts w:hint="default" w:ascii="宋体" w:hAnsi="宋体" w:eastAsia="宋体" w:cs="宋体"/>
                <w:b/>
                <w:kern w:val="0"/>
                <w:sz w:val="32"/>
                <w:szCs w:val="32"/>
                <w:highlight w:val="none"/>
                <w:lang w:val="en-US" w:eastAsia="zh-CN"/>
              </w:rPr>
            </w:pPr>
            <w:r>
              <w:rPr>
                <w:rFonts w:hint="eastAsia" w:ascii="宋体" w:hAnsi="宋体" w:eastAsia="宋体" w:cs="宋体"/>
                <w:b w:val="0"/>
                <w:bCs/>
                <w:kern w:val="0"/>
                <w:sz w:val="24"/>
                <w:szCs w:val="24"/>
                <w:highlight w:val="none"/>
                <w:lang w:val="en-US" w:eastAsia="zh-CN"/>
              </w:rPr>
              <w:t>（自然日）</w:t>
            </w:r>
          </w:p>
        </w:tc>
      </w:tr>
    </w:tbl>
    <w:p w14:paraId="142EBF64">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highlight w:val="none"/>
        </w:rPr>
      </w:pPr>
    </w:p>
    <w:p w14:paraId="48F7BB36">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highlight w:val="none"/>
        </w:rPr>
      </w:pPr>
      <w:r>
        <w:rPr>
          <w:rFonts w:eastAsia="宋体"/>
          <w:sz w:val="24"/>
          <w:szCs w:val="21"/>
          <w:highlight w:val="none"/>
        </w:rPr>
        <w:t>要求：</w:t>
      </w:r>
    </w:p>
    <w:p w14:paraId="5E76FAC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eastAsia="宋体"/>
          <w:sz w:val="24"/>
          <w:szCs w:val="21"/>
          <w:highlight w:val="none"/>
        </w:rPr>
      </w:pPr>
      <w:r>
        <w:rPr>
          <w:rFonts w:eastAsia="宋体"/>
          <w:sz w:val="24"/>
          <w:szCs w:val="21"/>
          <w:highlight w:val="none"/>
        </w:rPr>
        <w:t>1</w:t>
      </w:r>
      <w:r>
        <w:rPr>
          <w:rFonts w:hint="eastAsia" w:eastAsia="宋体"/>
          <w:sz w:val="24"/>
          <w:szCs w:val="21"/>
          <w:highlight w:val="none"/>
          <w:lang w:val="en-US" w:eastAsia="zh-CN"/>
        </w:rPr>
        <w:t>.</w:t>
      </w:r>
      <w:r>
        <w:rPr>
          <w:rFonts w:eastAsia="宋体"/>
          <w:sz w:val="24"/>
          <w:szCs w:val="21"/>
          <w:highlight w:val="none"/>
        </w:rPr>
        <w:t>响应报价应为人民币含税全包价，</w:t>
      </w:r>
      <w:r>
        <w:rPr>
          <w:rFonts w:hint="eastAsia" w:eastAsia="宋体"/>
          <w:sz w:val="24"/>
          <w:szCs w:val="21"/>
          <w:highlight w:val="none"/>
        </w:rPr>
        <w:t>包含项目所发生的人工费、材料费、机械费、管理费、利润、项目措施费、规费、税金、配合费、预留金以及施工合同包含的所有风险、责任等各项应有费用</w:t>
      </w:r>
      <w:r>
        <w:rPr>
          <w:rFonts w:eastAsia="宋体"/>
          <w:sz w:val="24"/>
          <w:szCs w:val="21"/>
          <w:highlight w:val="none"/>
        </w:rPr>
        <w:t>。</w:t>
      </w:r>
    </w:p>
    <w:p w14:paraId="3AC49F6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eastAsia="宋体"/>
          <w:sz w:val="24"/>
          <w:szCs w:val="21"/>
          <w:highlight w:val="none"/>
        </w:rPr>
      </w:pPr>
      <w:r>
        <w:rPr>
          <w:rFonts w:hint="eastAsia" w:eastAsia="宋体"/>
          <w:sz w:val="24"/>
          <w:szCs w:val="21"/>
          <w:highlight w:val="none"/>
          <w:lang w:val="en-US" w:eastAsia="zh-CN"/>
        </w:rPr>
        <w:t>2.</w:t>
      </w:r>
      <w:r>
        <w:rPr>
          <w:rFonts w:eastAsia="宋体"/>
          <w:sz w:val="24"/>
          <w:szCs w:val="21"/>
          <w:highlight w:val="none"/>
        </w:rPr>
        <w:t>供应商认为有必要说明而本表中无相应栏目的，请在“备注”一栏中说明。</w:t>
      </w:r>
    </w:p>
    <w:p w14:paraId="52575119">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highlight w:val="none"/>
        </w:rPr>
      </w:pPr>
      <w:r>
        <w:rPr>
          <w:rFonts w:eastAsia="宋体"/>
          <w:sz w:val="24"/>
          <w:szCs w:val="21"/>
          <w:highlight w:val="none"/>
        </w:rPr>
        <w:t xml:space="preserve">  </w:t>
      </w:r>
    </w:p>
    <w:p w14:paraId="0BADC227">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highlight w:val="none"/>
        </w:rPr>
      </w:pPr>
    </w:p>
    <w:p w14:paraId="53C9B144">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highlight w:val="none"/>
        </w:rPr>
      </w:pPr>
    </w:p>
    <w:p w14:paraId="683290CA">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bookmarkStart w:id="213" w:name="_Toc51041295"/>
      <w:r>
        <w:rPr>
          <w:rFonts w:hint="eastAsia" w:ascii="宋体" w:hAnsi="宋体" w:eastAsia="宋体"/>
          <w:color w:val="000000" w:themeColor="text1"/>
          <w:sz w:val="24"/>
          <w:highlight w:val="none"/>
          <w14:textFill>
            <w14:solidFill>
              <w14:schemeClr w14:val="tx1"/>
            </w14:solidFill>
          </w14:textFill>
        </w:rPr>
        <w:t>供应商名称：</w:t>
      </w:r>
      <w:r>
        <w:rPr>
          <w:rFonts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（盖公章）</w:t>
      </w:r>
      <w:r>
        <w:rPr>
          <w:rFonts w:ascii="宋体" w:hAnsi="宋体" w:eastAsia="宋体"/>
          <w:color w:val="000000" w:themeColor="text1"/>
          <w:sz w:val="24"/>
          <w:highlight w:val="none"/>
          <w14:textFill>
            <w14:solidFill>
              <w14:schemeClr w14:val="tx1"/>
            </w14:solidFill>
          </w14:textFill>
        </w:rPr>
        <w:t xml:space="preserve"> </w:t>
      </w:r>
    </w:p>
    <w:p w14:paraId="3DB81977">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供应商法定代表人（或授权代表）签字或盖章：</w:t>
      </w:r>
      <w:r>
        <w:rPr>
          <w:rFonts w:hint="eastAsia" w:ascii="宋体" w:hAnsi="宋体" w:eastAsia="宋体"/>
          <w:color w:val="000000" w:themeColor="text1"/>
          <w:sz w:val="24"/>
          <w:highlight w:val="none"/>
          <w:u w:val="single"/>
          <w14:textFill>
            <w14:solidFill>
              <w14:schemeClr w14:val="tx1"/>
            </w14:solidFill>
          </w14:textFill>
        </w:rPr>
        <w:t xml:space="preserve">               </w:t>
      </w:r>
    </w:p>
    <w:p w14:paraId="6F35235E">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日期：</w:t>
      </w:r>
      <w:r>
        <w:rPr>
          <w:rFonts w:hint="eastAsia" w:ascii="宋体" w:hAnsi="宋体" w:eastAsia="宋体"/>
          <w:color w:val="000000" w:themeColor="text1"/>
          <w:sz w:val="24"/>
          <w:highlight w:val="none"/>
          <w:u w:val="single"/>
          <w14:textFill>
            <w14:solidFill>
              <w14:schemeClr w14:val="tx1"/>
            </w14:solidFill>
          </w14:textFill>
        </w:rPr>
        <w:t xml:space="preserve"> </w:t>
      </w:r>
      <w:r>
        <w:rPr>
          <w:rFonts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年</w:t>
      </w:r>
      <w:r>
        <w:rPr>
          <w:rFonts w:hint="eastAsia" w:ascii="宋体" w:hAnsi="宋体" w:eastAsia="宋体"/>
          <w:color w:val="000000" w:themeColor="text1"/>
          <w:sz w:val="24"/>
          <w:highlight w:val="none"/>
          <w:u w:val="single"/>
          <w14:textFill>
            <w14:solidFill>
              <w14:schemeClr w14:val="tx1"/>
            </w14:solidFill>
          </w14:textFill>
        </w:rPr>
        <w:t xml:space="preserve"> </w:t>
      </w:r>
      <w:r>
        <w:rPr>
          <w:rFonts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月</w:t>
      </w:r>
      <w:r>
        <w:rPr>
          <w:rFonts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日</w:t>
      </w:r>
    </w:p>
    <w:p w14:paraId="6EABE17F">
      <w:pPr>
        <w:spacing w:line="360" w:lineRule="auto"/>
        <w:rPr>
          <w:rFonts w:eastAsia="宋体"/>
          <w:b/>
          <w:sz w:val="24"/>
          <w:szCs w:val="21"/>
          <w:highlight w:val="none"/>
        </w:rPr>
      </w:pPr>
    </w:p>
    <w:p w14:paraId="1B577DDA">
      <w:pPr>
        <w:spacing w:line="360" w:lineRule="auto"/>
        <w:rPr>
          <w:rFonts w:eastAsia="宋体"/>
          <w:b/>
          <w:sz w:val="24"/>
          <w:szCs w:val="21"/>
          <w:highlight w:val="none"/>
        </w:rPr>
      </w:pPr>
    </w:p>
    <w:p w14:paraId="6BDEDFC8">
      <w:pPr>
        <w:spacing w:line="360" w:lineRule="auto"/>
        <w:rPr>
          <w:rFonts w:eastAsia="宋体"/>
          <w:b/>
          <w:sz w:val="24"/>
          <w:szCs w:val="21"/>
          <w:highlight w:val="none"/>
        </w:rPr>
      </w:pPr>
    </w:p>
    <w:p w14:paraId="65F96862">
      <w:pPr>
        <w:spacing w:line="360" w:lineRule="auto"/>
        <w:rPr>
          <w:rFonts w:eastAsia="宋体"/>
          <w:b/>
          <w:sz w:val="24"/>
          <w:szCs w:val="21"/>
          <w:highlight w:val="none"/>
        </w:rPr>
      </w:pPr>
    </w:p>
    <w:p w14:paraId="409AFA0B">
      <w:pPr>
        <w:spacing w:line="360" w:lineRule="auto"/>
        <w:rPr>
          <w:rFonts w:eastAsia="宋体"/>
          <w:b/>
          <w:sz w:val="24"/>
          <w:szCs w:val="21"/>
          <w:highlight w:val="none"/>
        </w:rPr>
      </w:pPr>
    </w:p>
    <w:p w14:paraId="6DA71621">
      <w:pPr>
        <w:spacing w:line="360" w:lineRule="auto"/>
        <w:rPr>
          <w:rFonts w:eastAsia="宋体"/>
          <w:b/>
          <w:sz w:val="24"/>
          <w:szCs w:val="21"/>
          <w:highlight w:val="none"/>
        </w:rPr>
      </w:pPr>
    </w:p>
    <w:p w14:paraId="371375C9">
      <w:pPr>
        <w:spacing w:line="360" w:lineRule="auto"/>
        <w:rPr>
          <w:rFonts w:eastAsia="宋体"/>
          <w:b/>
          <w:sz w:val="24"/>
          <w:szCs w:val="21"/>
          <w:highlight w:val="none"/>
        </w:rPr>
      </w:pPr>
    </w:p>
    <w:p w14:paraId="7AFC6C42">
      <w:pPr>
        <w:spacing w:line="360" w:lineRule="auto"/>
        <w:rPr>
          <w:rFonts w:eastAsia="宋体"/>
          <w:b/>
          <w:sz w:val="24"/>
          <w:szCs w:val="21"/>
          <w:highlight w:val="none"/>
        </w:rPr>
      </w:pPr>
    </w:p>
    <w:bookmarkEnd w:id="213"/>
    <w:p w14:paraId="1CE5F9C9">
      <w:pPr>
        <w:rPr>
          <w:rFonts w:eastAsia="宋体"/>
          <w:b/>
          <w:sz w:val="24"/>
          <w:szCs w:val="21"/>
          <w:highlight w:val="none"/>
        </w:rPr>
      </w:pPr>
    </w:p>
    <w:p w14:paraId="34D37C8B">
      <w:pPr>
        <w:spacing w:line="360" w:lineRule="auto"/>
        <w:rPr>
          <w:rFonts w:eastAsia="宋体"/>
          <w:b/>
          <w:sz w:val="24"/>
          <w:szCs w:val="21"/>
          <w:highlight w:val="none"/>
        </w:rPr>
      </w:pPr>
    </w:p>
    <w:p w14:paraId="6FB6885F">
      <w:pPr>
        <w:widowControl/>
        <w:jc w:val="left"/>
        <w:rPr>
          <w:rFonts w:eastAsia="宋体"/>
          <w:b/>
          <w:sz w:val="24"/>
          <w:szCs w:val="21"/>
          <w:highlight w:val="none"/>
        </w:rPr>
      </w:pPr>
      <w:r>
        <w:rPr>
          <w:rFonts w:eastAsia="宋体"/>
          <w:b/>
          <w:sz w:val="24"/>
          <w:szCs w:val="21"/>
          <w:highlight w:val="none"/>
        </w:rPr>
        <w:br w:type="page"/>
      </w:r>
    </w:p>
    <w:p w14:paraId="533690E5">
      <w:pPr>
        <w:pStyle w:val="4"/>
        <w:snapToGrid w:val="0"/>
        <w:spacing w:before="120" w:beforeLines="50" w:after="120" w:afterLines="50" w:line="360" w:lineRule="auto"/>
        <w:jc w:val="center"/>
        <w:rPr>
          <w:rFonts w:ascii="Times New Roman" w:hAnsi="Times New Roman" w:eastAsia="宋体"/>
          <w:bCs/>
          <w:sz w:val="24"/>
          <w:szCs w:val="21"/>
          <w:highlight w:val="none"/>
        </w:rPr>
      </w:pPr>
      <w:bookmarkStart w:id="214" w:name="_Toc169861832"/>
      <w:r>
        <w:rPr>
          <w:rFonts w:hint="eastAsia" w:ascii="Times New Roman" w:hAnsi="Times New Roman" w:eastAsia="宋体"/>
          <w:bCs/>
          <w:sz w:val="24"/>
          <w:szCs w:val="21"/>
          <w:highlight w:val="none"/>
          <w:lang w:val="en-US" w:eastAsia="zh-CN"/>
        </w:rPr>
        <w:t>三</w:t>
      </w:r>
      <w:r>
        <w:rPr>
          <w:rFonts w:ascii="Times New Roman" w:hAnsi="Times New Roman" w:eastAsia="宋体"/>
          <w:bCs/>
          <w:sz w:val="24"/>
          <w:szCs w:val="21"/>
          <w:highlight w:val="none"/>
        </w:rPr>
        <w:t>、</w:t>
      </w:r>
      <w:r>
        <w:rPr>
          <w:rFonts w:hint="eastAsia" w:ascii="Times New Roman" w:hAnsi="Times New Roman" w:eastAsia="宋体"/>
          <w:bCs/>
          <w:sz w:val="24"/>
          <w:szCs w:val="21"/>
          <w:highlight w:val="none"/>
        </w:rPr>
        <w:t>法定代表人证明书</w:t>
      </w:r>
      <w:bookmarkEnd w:id="214"/>
    </w:p>
    <w:p w14:paraId="60A54CF7">
      <w:pPr>
        <w:pStyle w:val="5"/>
        <w:rPr>
          <w:highlight w:val="none"/>
        </w:rPr>
      </w:pPr>
    </w:p>
    <w:p w14:paraId="07D342C4">
      <w:pPr>
        <w:pStyle w:val="5"/>
        <w:rPr>
          <w:highlight w:val="none"/>
        </w:rPr>
      </w:pPr>
    </w:p>
    <w:p w14:paraId="52A34FED">
      <w:pPr>
        <w:adjustRightInd w:val="0"/>
        <w:snapToGrid w:val="0"/>
        <w:spacing w:line="360" w:lineRule="auto"/>
        <w:ind w:firstLine="480" w:firstLineChars="200"/>
        <w:rPr>
          <w:rFonts w:eastAsia="宋体"/>
          <w:sz w:val="24"/>
          <w:szCs w:val="21"/>
          <w:highlight w:val="none"/>
        </w:rPr>
      </w:pPr>
      <w:r>
        <w:rPr>
          <w:rFonts w:hint="eastAsia" w:eastAsia="宋体"/>
          <w:sz w:val="24"/>
          <w:szCs w:val="21"/>
          <w:highlight w:val="none"/>
        </w:rPr>
        <w:t>______________同志，现任我单位</w:t>
      </w:r>
      <w:r>
        <w:rPr>
          <w:rFonts w:eastAsia="宋体"/>
          <w:sz w:val="24"/>
          <w:szCs w:val="21"/>
          <w:highlight w:val="none"/>
          <w:u w:val="single"/>
        </w:rPr>
        <w:t xml:space="preserve">         </w:t>
      </w:r>
      <w:r>
        <w:rPr>
          <w:rFonts w:hint="eastAsia" w:eastAsia="宋体"/>
          <w:sz w:val="24"/>
          <w:szCs w:val="21"/>
          <w:highlight w:val="none"/>
        </w:rPr>
        <w:t>职务，为法定代表人，特此证明。</w:t>
      </w:r>
    </w:p>
    <w:p w14:paraId="110EDDF1">
      <w:pPr>
        <w:adjustRightInd w:val="0"/>
        <w:snapToGrid w:val="0"/>
        <w:spacing w:line="360" w:lineRule="auto"/>
        <w:ind w:firstLine="480" w:firstLineChars="200"/>
        <w:rPr>
          <w:rFonts w:eastAsia="宋体"/>
          <w:sz w:val="24"/>
          <w:szCs w:val="21"/>
          <w:highlight w:val="none"/>
        </w:rPr>
      </w:pPr>
      <w:r>
        <w:rPr>
          <w:rFonts w:hint="eastAsia" w:eastAsia="宋体"/>
          <w:sz w:val="24"/>
          <w:szCs w:val="21"/>
          <w:highlight w:val="none"/>
        </w:rPr>
        <w:t>本证明书自签发之日起生效，有效期与本公司响应文件中标注的响应有效期相同。</w:t>
      </w:r>
    </w:p>
    <w:p w14:paraId="33FB4501">
      <w:pPr>
        <w:adjustRightInd w:val="0"/>
        <w:snapToGrid w:val="0"/>
        <w:spacing w:line="360" w:lineRule="auto"/>
        <w:ind w:firstLine="480" w:firstLineChars="200"/>
        <w:rPr>
          <w:rFonts w:eastAsia="宋体"/>
          <w:sz w:val="24"/>
          <w:szCs w:val="21"/>
          <w:highlight w:val="none"/>
        </w:rPr>
      </w:pPr>
    </w:p>
    <w:p w14:paraId="373BAFBF">
      <w:pPr>
        <w:adjustRightInd w:val="0"/>
        <w:snapToGrid w:val="0"/>
        <w:spacing w:line="360" w:lineRule="auto"/>
        <w:ind w:firstLine="480" w:firstLineChars="200"/>
        <w:rPr>
          <w:rFonts w:eastAsia="宋体"/>
          <w:sz w:val="24"/>
          <w:szCs w:val="21"/>
          <w:highlight w:val="none"/>
        </w:rPr>
      </w:pPr>
    </w:p>
    <w:p w14:paraId="51DF59DF">
      <w:pPr>
        <w:adjustRightInd w:val="0"/>
        <w:snapToGrid w:val="0"/>
        <w:spacing w:line="360" w:lineRule="auto"/>
        <w:ind w:firstLine="480" w:firstLineChars="200"/>
        <w:rPr>
          <w:rFonts w:eastAsia="宋体"/>
          <w:sz w:val="24"/>
          <w:szCs w:val="21"/>
          <w:highlight w:val="none"/>
        </w:rPr>
      </w:pPr>
    </w:p>
    <w:p w14:paraId="2C874E32">
      <w:pPr>
        <w:adjustRightInd w:val="0"/>
        <w:snapToGrid w:val="0"/>
        <w:spacing w:line="360" w:lineRule="auto"/>
        <w:ind w:firstLine="480" w:firstLineChars="200"/>
        <w:rPr>
          <w:rFonts w:eastAsia="宋体"/>
          <w:sz w:val="24"/>
          <w:szCs w:val="21"/>
          <w:highlight w:val="none"/>
        </w:rPr>
      </w:pPr>
    </w:p>
    <w:p w14:paraId="22F512E3">
      <w:pPr>
        <w:adjustRightInd w:val="0"/>
        <w:snapToGrid w:val="0"/>
        <w:spacing w:line="360" w:lineRule="auto"/>
        <w:ind w:firstLine="480" w:firstLineChars="200"/>
        <w:rPr>
          <w:rFonts w:eastAsia="宋体"/>
          <w:sz w:val="24"/>
          <w:szCs w:val="21"/>
          <w:highlight w:val="none"/>
        </w:rPr>
      </w:pPr>
      <w:r>
        <w:rPr>
          <w:rFonts w:hint="eastAsia" w:eastAsia="宋体"/>
          <w:sz w:val="24"/>
          <w:szCs w:val="21"/>
          <w:highlight w:val="none"/>
          <w:lang w:eastAsia="zh-CN"/>
        </w:rPr>
        <w:t>供应商</w:t>
      </w:r>
      <w:r>
        <w:rPr>
          <w:rFonts w:hint="eastAsia" w:eastAsia="宋体"/>
          <w:sz w:val="24"/>
          <w:szCs w:val="21"/>
          <w:highlight w:val="none"/>
        </w:rPr>
        <w:t>名称（加盖公章）：</w:t>
      </w:r>
    </w:p>
    <w:p w14:paraId="2386F66A">
      <w:pPr>
        <w:adjustRightInd w:val="0"/>
        <w:snapToGrid w:val="0"/>
        <w:spacing w:line="360" w:lineRule="auto"/>
        <w:ind w:firstLine="480" w:firstLineChars="200"/>
        <w:rPr>
          <w:rFonts w:eastAsia="宋体"/>
          <w:sz w:val="24"/>
          <w:szCs w:val="21"/>
          <w:highlight w:val="none"/>
        </w:rPr>
      </w:pPr>
      <w:r>
        <w:rPr>
          <w:rFonts w:hint="eastAsia" w:eastAsia="宋体"/>
          <w:sz w:val="24"/>
          <w:szCs w:val="21"/>
          <w:highlight w:val="none"/>
        </w:rPr>
        <w:t>日期： 年 月 日</w:t>
      </w:r>
    </w:p>
    <w:p w14:paraId="1CDCE9ED">
      <w:pPr>
        <w:adjustRightInd w:val="0"/>
        <w:snapToGrid w:val="0"/>
        <w:spacing w:line="360" w:lineRule="auto"/>
        <w:ind w:firstLine="480" w:firstLineChars="200"/>
        <w:rPr>
          <w:rFonts w:eastAsia="宋体"/>
          <w:sz w:val="24"/>
          <w:szCs w:val="21"/>
          <w:highlight w:val="none"/>
        </w:rPr>
      </w:pPr>
    </w:p>
    <w:p w14:paraId="71B55CE8">
      <w:pPr>
        <w:tabs>
          <w:tab w:val="left" w:pos="3780"/>
        </w:tabs>
        <w:spacing w:line="360" w:lineRule="auto"/>
        <w:jc w:val="center"/>
        <w:outlineLvl w:val="2"/>
        <w:rPr>
          <w:rFonts w:eastAsia="宋体"/>
          <w:bCs/>
          <w:sz w:val="24"/>
          <w:szCs w:val="21"/>
          <w:highlight w:val="none"/>
        </w:rPr>
      </w:pPr>
      <w:r>
        <w:rPr>
          <w:rFonts w:hint="eastAsia" w:eastAsia="宋体"/>
          <w:bCs/>
          <w:sz w:val="24"/>
          <w:szCs w:val="21"/>
          <w:highlight w:val="none"/>
        </w:rPr>
        <w:t>附：法人身份证粘贴处（正反面）</w:t>
      </w:r>
    </w:p>
    <w:p w14:paraId="4DA9C0E5">
      <w:pPr>
        <w:tabs>
          <w:tab w:val="left" w:pos="3780"/>
        </w:tabs>
        <w:spacing w:line="360" w:lineRule="auto"/>
        <w:rPr>
          <w:rFonts w:eastAsia="宋体"/>
          <w:bCs/>
          <w:sz w:val="24"/>
          <w:szCs w:val="21"/>
          <w:highlight w:val="none"/>
        </w:rPr>
      </w:pPr>
      <w:r>
        <w:rPr>
          <w:rFonts w:eastAsia="宋体"/>
          <w:sz w:val="24"/>
          <w:szCs w:val="21"/>
          <w:highlight w:val="none"/>
        </w:rPr>
        <mc:AlternateContent>
          <mc:Choice Requires="wpg">
            <w:drawing>
              <wp:anchor distT="0" distB="0" distL="114300" distR="114300" simplePos="0" relativeHeight="251660288" behindDoc="0" locked="0" layoutInCell="1" allowOverlap="1">
                <wp:simplePos x="0" y="0"/>
                <wp:positionH relativeFrom="column">
                  <wp:posOffset>200025</wp:posOffset>
                </wp:positionH>
                <wp:positionV relativeFrom="paragraph">
                  <wp:posOffset>106680</wp:posOffset>
                </wp:positionV>
                <wp:extent cx="5553075" cy="1748790"/>
                <wp:effectExtent l="7620" t="12065" r="11430" b="10795"/>
                <wp:wrapNone/>
                <wp:docPr id="1" name="组合 12"/>
                <wp:cNvGraphicFramePr/>
                <a:graphic xmlns:a="http://schemas.openxmlformats.org/drawingml/2006/main">
                  <a:graphicData uri="http://schemas.microsoft.com/office/word/2010/wordprocessingGroup">
                    <wpg:wgp>
                      <wpg:cNvGrpSpPr/>
                      <wpg:grpSpPr>
                        <a:xfrm>
                          <a:off x="0" y="0"/>
                          <a:ext cx="5553075" cy="1748790"/>
                          <a:chOff x="1500" y="7300"/>
                          <a:chExt cx="8745" cy="2754"/>
                        </a:xfrm>
                      </wpg:grpSpPr>
                      <wps:wsp>
                        <wps:cNvPr id="2" name="矩形 13"/>
                        <wps:cNvSpPr>
                          <a:spLocks noChangeArrowheads="1"/>
                        </wps:cNvSpPr>
                        <wps:spPr bwMode="auto">
                          <a:xfrm>
                            <a:off x="1500" y="7300"/>
                            <a:ext cx="4275" cy="2754"/>
                          </a:xfrm>
                          <a:prstGeom prst="rect">
                            <a:avLst/>
                          </a:prstGeom>
                          <a:solidFill>
                            <a:srgbClr val="FFFFFF"/>
                          </a:solidFill>
                          <a:ln w="9525">
                            <a:solidFill>
                              <a:srgbClr val="000000"/>
                            </a:solidFill>
                            <a:miter lim="800000"/>
                          </a:ln>
                        </wps:spPr>
                        <wps:txb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wps:txbx>
                        <wps:bodyPr rot="0" vert="horz" wrap="square" lIns="91440" tIns="45720" rIns="91440" bIns="45720" anchor="t" anchorCtr="0" upright="1">
                          <a:noAutofit/>
                        </wps:bodyPr>
                      </wps:wsp>
                      <wps:wsp>
                        <wps:cNvPr id="3" name="矩形 14"/>
                        <wps:cNvSpPr>
                          <a:spLocks noChangeArrowheads="1"/>
                        </wps:cNvSpPr>
                        <wps:spPr bwMode="auto">
                          <a:xfrm>
                            <a:off x="5956" y="7300"/>
                            <a:ext cx="4289" cy="2754"/>
                          </a:xfrm>
                          <a:prstGeom prst="rect">
                            <a:avLst/>
                          </a:prstGeom>
                          <a:solidFill>
                            <a:srgbClr val="FFFFFF"/>
                          </a:solidFill>
                          <a:ln w="9525">
                            <a:solidFill>
                              <a:srgbClr val="000000"/>
                            </a:solidFill>
                            <a:miter lim="800000"/>
                          </a:ln>
                        </wps:spPr>
                        <wps:txb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wps:txbx>
                        <wps:bodyPr rot="0" vert="horz" wrap="square" lIns="91440" tIns="45720" rIns="91440" bIns="45720" anchor="t" anchorCtr="0" upright="1">
                          <a:noAutofit/>
                        </wps:bodyPr>
                      </wps:wsp>
                    </wpg:wgp>
                  </a:graphicData>
                </a:graphic>
              </wp:anchor>
            </w:drawing>
          </mc:Choice>
          <mc:Fallback>
            <w:pict>
              <v:group id="组合 12" o:spid="_x0000_s1026" o:spt="203" style="position:absolute;left:0pt;margin-left:15.75pt;margin-top:8.4pt;height:137.7pt;width:437.25pt;z-index:251660288;mso-width-relative:page;mso-height-relative:page;" coordorigin="1500,7300" coordsize="8745,2754" o:gfxdata="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Kl2nvdkAAAAJAQAADwAAAAAAAAABACAAAAAiAAAAZHJzL2Rvd25yZXYueG1sUEsB&#10;AhQAFAAAAAgAh07iQLg3n23YAgAATAgAAA4AAAAAAAAAAQAgAAAAKAEAAGRycy9lMm9Eb2MueG1s&#10;UEsFBgAAAAAGAAYAWQEAAHIGAAAAAA==&#10;">
                <o:lock v:ext="edit" aspectratio="f"/>
                <v:rect id="矩形 13" o:spid="_x0000_s1026" o:spt="1" style="position:absolute;left:1500;top:7300;height:2754;width:4275;"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v:textbox>
                </v:rect>
                <v:rect id="矩形 14" o:spid="_x0000_s1026" o:spt="1" style="position:absolute;left:5956;top:7300;height:2754;width:428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v:textbox>
                </v:rect>
              </v:group>
            </w:pict>
          </mc:Fallback>
        </mc:AlternateContent>
      </w:r>
    </w:p>
    <w:p w14:paraId="2F01779D">
      <w:pPr>
        <w:tabs>
          <w:tab w:val="left" w:pos="3780"/>
        </w:tabs>
        <w:spacing w:line="360" w:lineRule="auto"/>
        <w:rPr>
          <w:rFonts w:eastAsia="宋体"/>
          <w:bCs/>
          <w:sz w:val="24"/>
          <w:szCs w:val="21"/>
          <w:highlight w:val="none"/>
        </w:rPr>
      </w:pPr>
    </w:p>
    <w:p w14:paraId="2182FABB">
      <w:pPr>
        <w:tabs>
          <w:tab w:val="left" w:pos="3780"/>
        </w:tabs>
        <w:spacing w:line="360" w:lineRule="auto"/>
        <w:rPr>
          <w:rFonts w:eastAsia="宋体"/>
          <w:bCs/>
          <w:sz w:val="24"/>
          <w:szCs w:val="21"/>
          <w:highlight w:val="none"/>
        </w:rPr>
      </w:pPr>
    </w:p>
    <w:p w14:paraId="1884C10E">
      <w:pPr>
        <w:tabs>
          <w:tab w:val="left" w:pos="3780"/>
        </w:tabs>
        <w:spacing w:line="360" w:lineRule="auto"/>
        <w:rPr>
          <w:rFonts w:eastAsia="宋体"/>
          <w:bCs/>
          <w:sz w:val="24"/>
          <w:szCs w:val="21"/>
          <w:highlight w:val="none"/>
        </w:rPr>
      </w:pPr>
    </w:p>
    <w:p w14:paraId="6B26D29F">
      <w:pPr>
        <w:tabs>
          <w:tab w:val="left" w:pos="3780"/>
        </w:tabs>
        <w:spacing w:line="360" w:lineRule="auto"/>
        <w:rPr>
          <w:rFonts w:eastAsia="宋体"/>
          <w:bCs/>
          <w:sz w:val="24"/>
          <w:szCs w:val="21"/>
          <w:highlight w:val="none"/>
        </w:rPr>
      </w:pPr>
    </w:p>
    <w:p w14:paraId="72962575">
      <w:pPr>
        <w:tabs>
          <w:tab w:val="left" w:pos="3780"/>
        </w:tabs>
        <w:spacing w:line="360" w:lineRule="auto"/>
        <w:rPr>
          <w:rFonts w:eastAsia="宋体"/>
          <w:bCs/>
          <w:sz w:val="24"/>
          <w:szCs w:val="21"/>
          <w:highlight w:val="none"/>
        </w:rPr>
      </w:pPr>
    </w:p>
    <w:p w14:paraId="64B7DF29">
      <w:pPr>
        <w:tabs>
          <w:tab w:val="left" w:pos="3780"/>
        </w:tabs>
        <w:spacing w:line="360" w:lineRule="auto"/>
        <w:rPr>
          <w:rFonts w:eastAsia="宋体"/>
          <w:bCs/>
          <w:sz w:val="24"/>
          <w:szCs w:val="21"/>
          <w:highlight w:val="none"/>
        </w:rPr>
      </w:pPr>
    </w:p>
    <w:p w14:paraId="2780766A">
      <w:pPr>
        <w:spacing w:line="360" w:lineRule="auto"/>
        <w:rPr>
          <w:rFonts w:eastAsia="宋体"/>
          <w:b/>
          <w:sz w:val="24"/>
          <w:szCs w:val="21"/>
          <w:highlight w:val="none"/>
        </w:rPr>
      </w:pPr>
    </w:p>
    <w:p w14:paraId="353D72CD">
      <w:pPr>
        <w:pStyle w:val="4"/>
        <w:keepNext w:val="0"/>
        <w:keepLines w:val="0"/>
        <w:spacing w:before="0" w:after="0" w:line="360" w:lineRule="auto"/>
        <w:jc w:val="center"/>
        <w:rPr>
          <w:rFonts w:ascii="Times New Roman" w:hAnsi="Times New Roman" w:eastAsia="宋体"/>
          <w:bCs/>
          <w:sz w:val="24"/>
          <w:szCs w:val="21"/>
          <w:highlight w:val="none"/>
        </w:rPr>
      </w:pPr>
      <w:r>
        <w:rPr>
          <w:rFonts w:ascii="Times New Roman" w:hAnsi="Times New Roman" w:eastAsia="宋体"/>
          <w:bCs/>
          <w:sz w:val="24"/>
          <w:szCs w:val="21"/>
          <w:highlight w:val="none"/>
        </w:rPr>
        <w:br w:type="page"/>
      </w:r>
      <w:bookmarkStart w:id="215" w:name="_Toc50736477"/>
      <w:bookmarkStart w:id="216" w:name="_Toc275865607"/>
      <w:bookmarkStart w:id="217" w:name="_Toc410736181"/>
      <w:bookmarkStart w:id="218" w:name="_Toc50737297"/>
      <w:bookmarkStart w:id="219" w:name="_Toc52165081"/>
      <w:bookmarkStart w:id="220" w:name="_Toc410738980"/>
      <w:bookmarkStart w:id="221" w:name="_Toc416770259"/>
      <w:bookmarkStart w:id="222" w:name="_Toc169861833"/>
      <w:bookmarkStart w:id="223" w:name="_Toc416771369"/>
      <w:bookmarkStart w:id="224" w:name="_Toc50737329"/>
      <w:r>
        <w:rPr>
          <w:rFonts w:hint="eastAsia" w:ascii="Times New Roman" w:hAnsi="Times New Roman" w:eastAsia="宋体"/>
          <w:bCs/>
          <w:sz w:val="24"/>
          <w:szCs w:val="21"/>
          <w:highlight w:val="none"/>
          <w:lang w:val="en-US" w:eastAsia="zh-CN"/>
        </w:rPr>
        <w:t>四</w:t>
      </w:r>
      <w:r>
        <w:rPr>
          <w:rFonts w:ascii="Times New Roman" w:hAnsi="Times New Roman" w:eastAsia="宋体"/>
          <w:bCs/>
          <w:sz w:val="24"/>
          <w:szCs w:val="21"/>
          <w:highlight w:val="none"/>
        </w:rPr>
        <w:t>、</w:t>
      </w:r>
      <w:r>
        <w:rPr>
          <w:rFonts w:hint="eastAsia" w:ascii="Times New Roman" w:hAnsi="Times New Roman" w:eastAsia="宋体"/>
          <w:bCs/>
          <w:sz w:val="24"/>
          <w:szCs w:val="21"/>
          <w:highlight w:val="none"/>
        </w:rPr>
        <w:t>法定代表人授权委托书</w:t>
      </w:r>
      <w:bookmarkEnd w:id="215"/>
      <w:bookmarkEnd w:id="216"/>
      <w:bookmarkEnd w:id="217"/>
      <w:bookmarkEnd w:id="218"/>
      <w:bookmarkEnd w:id="219"/>
      <w:bookmarkEnd w:id="220"/>
      <w:bookmarkEnd w:id="221"/>
      <w:bookmarkEnd w:id="222"/>
      <w:bookmarkEnd w:id="223"/>
      <w:bookmarkEnd w:id="224"/>
    </w:p>
    <w:p w14:paraId="55A71AFF">
      <w:pPr>
        <w:adjustRightInd w:val="0"/>
        <w:snapToGrid w:val="0"/>
        <w:spacing w:line="360" w:lineRule="auto"/>
        <w:ind w:firstLine="420" w:firstLineChars="200"/>
        <w:rPr>
          <w:rFonts w:ascii="宋体" w:hAnsi="Courier New" w:eastAsia="宋体"/>
          <w:sz w:val="21"/>
          <w:szCs w:val="24"/>
          <w:highlight w:val="none"/>
        </w:rPr>
      </w:pPr>
    </w:p>
    <w:p w14:paraId="3E22B622">
      <w:pPr>
        <w:adjustRightInd w:val="0"/>
        <w:snapToGrid w:val="0"/>
        <w:spacing w:line="360" w:lineRule="auto"/>
        <w:ind w:firstLine="480" w:firstLineChars="200"/>
        <w:rPr>
          <w:rFonts w:ascii="宋体" w:hAnsi="Courier New" w:eastAsia="宋体"/>
          <w:sz w:val="24"/>
          <w:szCs w:val="24"/>
          <w:highlight w:val="none"/>
        </w:rPr>
      </w:pPr>
      <w:r>
        <w:rPr>
          <w:rFonts w:hint="eastAsia" w:ascii="宋体" w:hAnsi="Courier New" w:eastAsia="宋体"/>
          <w:sz w:val="24"/>
          <w:szCs w:val="24"/>
          <w:highlight w:val="none"/>
        </w:rPr>
        <w:t>本授权书声明：注册于</w:t>
      </w:r>
      <w:r>
        <w:rPr>
          <w:rFonts w:hint="eastAsia" w:ascii="宋体" w:hAnsi="Courier New" w:eastAsia="宋体"/>
          <w:sz w:val="24"/>
          <w:szCs w:val="24"/>
          <w:highlight w:val="none"/>
          <w:u w:val="single"/>
        </w:rPr>
        <w:t>（国家或地区的名称）</w:t>
      </w:r>
      <w:r>
        <w:rPr>
          <w:rFonts w:hint="eastAsia" w:ascii="宋体" w:hAnsi="Courier New" w:eastAsia="宋体"/>
          <w:sz w:val="24"/>
          <w:szCs w:val="24"/>
          <w:highlight w:val="none"/>
        </w:rPr>
        <w:t>的</w:t>
      </w:r>
      <w:r>
        <w:rPr>
          <w:rFonts w:hint="eastAsia" w:ascii="宋体" w:hAnsi="Courier New" w:eastAsia="宋体"/>
          <w:sz w:val="24"/>
          <w:szCs w:val="24"/>
          <w:highlight w:val="none"/>
          <w:u w:val="single"/>
        </w:rPr>
        <w:t>（供应商名称）</w:t>
      </w:r>
      <w:r>
        <w:rPr>
          <w:rFonts w:hint="eastAsia" w:ascii="宋体" w:hAnsi="Courier New" w:eastAsia="宋体"/>
          <w:sz w:val="24"/>
          <w:szCs w:val="24"/>
          <w:highlight w:val="none"/>
        </w:rPr>
        <w:t>的在下面签字（或签章）的</w:t>
      </w:r>
      <w:r>
        <w:rPr>
          <w:rFonts w:hint="eastAsia" w:ascii="宋体" w:hAnsi="Courier New" w:eastAsia="宋体"/>
          <w:sz w:val="24"/>
          <w:szCs w:val="24"/>
          <w:highlight w:val="none"/>
          <w:u w:val="single"/>
        </w:rPr>
        <w:t>（法定代表人姓名、职务）</w:t>
      </w:r>
      <w:r>
        <w:rPr>
          <w:rFonts w:hint="eastAsia" w:ascii="宋体" w:hAnsi="Courier New" w:eastAsia="宋体"/>
          <w:sz w:val="24"/>
          <w:szCs w:val="24"/>
          <w:highlight w:val="none"/>
        </w:rPr>
        <w:t>代表本公司授权</w:t>
      </w:r>
      <w:r>
        <w:rPr>
          <w:rFonts w:hint="eastAsia" w:ascii="宋体" w:hAnsi="Courier New" w:eastAsia="宋体"/>
          <w:sz w:val="24"/>
          <w:szCs w:val="24"/>
          <w:highlight w:val="none"/>
          <w:u w:val="single"/>
        </w:rPr>
        <w:t xml:space="preserve"> （单位名称）</w:t>
      </w:r>
      <w:r>
        <w:rPr>
          <w:rFonts w:hint="eastAsia" w:ascii="宋体" w:hAnsi="Courier New" w:eastAsia="宋体"/>
          <w:sz w:val="24"/>
          <w:szCs w:val="24"/>
          <w:highlight w:val="none"/>
        </w:rPr>
        <w:t>的在下面签字的</w:t>
      </w:r>
      <w:r>
        <w:rPr>
          <w:rFonts w:hint="eastAsia" w:ascii="宋体" w:hAnsi="Courier New" w:eastAsia="宋体"/>
          <w:sz w:val="24"/>
          <w:szCs w:val="24"/>
          <w:highlight w:val="none"/>
          <w:u w:val="single"/>
        </w:rPr>
        <w:t>（被授权人的姓名、职务）</w:t>
      </w:r>
      <w:r>
        <w:rPr>
          <w:rFonts w:hint="eastAsia" w:ascii="宋体" w:hAnsi="Courier New" w:eastAsia="宋体"/>
          <w:sz w:val="24"/>
          <w:szCs w:val="24"/>
          <w:highlight w:val="none"/>
        </w:rPr>
        <w:t xml:space="preserve">为本公司的合法代理人，就 </w:t>
      </w:r>
      <w:r>
        <w:rPr>
          <w:rFonts w:hint="eastAsia" w:ascii="宋体" w:hAnsi="Courier New" w:eastAsia="宋体"/>
          <w:sz w:val="24"/>
          <w:szCs w:val="24"/>
          <w:highlight w:val="none"/>
          <w:u w:val="single"/>
          <w:lang w:eastAsia="zh-CN"/>
        </w:rPr>
        <w:t>开平市中心医院药剂大楼容灾机房电力输入电缆采购项目</w:t>
      </w:r>
      <w:r>
        <w:rPr>
          <w:rFonts w:hint="eastAsia" w:ascii="宋体" w:hAnsi="Courier New" w:eastAsia="宋体"/>
          <w:sz w:val="24"/>
          <w:szCs w:val="24"/>
          <w:highlight w:val="none"/>
          <w:u w:val="single"/>
        </w:rPr>
        <w:t xml:space="preserve"> </w:t>
      </w:r>
      <w:r>
        <w:rPr>
          <w:rFonts w:hint="eastAsia" w:ascii="宋体" w:hAnsi="Courier New" w:eastAsia="宋体"/>
          <w:sz w:val="24"/>
          <w:szCs w:val="24"/>
          <w:highlight w:val="none"/>
        </w:rPr>
        <w:t>项目的</w:t>
      </w:r>
      <w:r>
        <w:rPr>
          <w:rFonts w:hint="eastAsia" w:ascii="宋体" w:hAnsi="Courier New" w:eastAsia="宋体"/>
          <w:sz w:val="24"/>
          <w:szCs w:val="24"/>
          <w:highlight w:val="none"/>
          <w:lang w:eastAsia="zh-CN"/>
        </w:rPr>
        <w:t>响应</w:t>
      </w:r>
      <w:r>
        <w:rPr>
          <w:rFonts w:hint="eastAsia" w:ascii="宋体" w:hAnsi="Courier New" w:eastAsia="宋体"/>
          <w:sz w:val="24"/>
          <w:szCs w:val="24"/>
          <w:highlight w:val="none"/>
        </w:rPr>
        <w:t>，以本公司名义处理一切与之有关的事务。</w:t>
      </w:r>
    </w:p>
    <w:p w14:paraId="1E63E726">
      <w:pPr>
        <w:adjustRightInd w:val="0"/>
        <w:snapToGrid w:val="0"/>
        <w:spacing w:line="360" w:lineRule="auto"/>
        <w:ind w:firstLine="480" w:firstLineChars="200"/>
        <w:rPr>
          <w:rFonts w:eastAsia="宋体"/>
          <w:sz w:val="24"/>
          <w:szCs w:val="21"/>
          <w:highlight w:val="none"/>
        </w:rPr>
      </w:pPr>
      <w:r>
        <w:rPr>
          <w:rFonts w:hint="eastAsia" w:eastAsia="宋体"/>
          <w:sz w:val="24"/>
          <w:szCs w:val="21"/>
          <w:highlight w:val="none"/>
        </w:rPr>
        <w:t>被授权人（供应商授权代表）无转委托权限。</w:t>
      </w:r>
    </w:p>
    <w:p w14:paraId="71F03546">
      <w:pPr>
        <w:snapToGrid w:val="0"/>
        <w:spacing w:line="360" w:lineRule="auto"/>
        <w:ind w:firstLine="480" w:firstLineChars="200"/>
        <w:rPr>
          <w:rFonts w:eastAsia="宋体"/>
          <w:sz w:val="24"/>
          <w:szCs w:val="21"/>
          <w:highlight w:val="none"/>
        </w:rPr>
      </w:pPr>
      <w:r>
        <w:rPr>
          <w:rFonts w:hint="eastAsia" w:eastAsia="宋体"/>
          <w:sz w:val="24"/>
          <w:szCs w:val="21"/>
          <w:highlight w:val="none"/>
        </w:rPr>
        <w:t>本授权书自法定代表人签字（盖章）之日起生效，特此声明。</w:t>
      </w:r>
    </w:p>
    <w:p w14:paraId="31CDEE3A">
      <w:pPr>
        <w:spacing w:line="360" w:lineRule="auto"/>
        <w:ind w:left="3" w:leftChars="1" w:firstLine="1365" w:firstLineChars="650"/>
        <w:rPr>
          <w:rFonts w:ascii="宋体" w:hAnsi="宋体" w:eastAsia="宋体"/>
          <w:sz w:val="21"/>
          <w:szCs w:val="24"/>
          <w:highlight w:val="none"/>
        </w:rPr>
      </w:pPr>
    </w:p>
    <w:p w14:paraId="030212D6">
      <w:pPr>
        <w:spacing w:line="360" w:lineRule="auto"/>
        <w:rPr>
          <w:rFonts w:ascii="宋体" w:hAnsi="Calibri" w:eastAsia="宋体"/>
          <w:sz w:val="21"/>
          <w:szCs w:val="24"/>
          <w:highlight w:val="none"/>
        </w:rPr>
      </w:pPr>
    </w:p>
    <w:p w14:paraId="4609AB4F">
      <w:pPr>
        <w:spacing w:line="360" w:lineRule="auto"/>
        <w:rPr>
          <w:rFonts w:eastAsia="宋体"/>
          <w:sz w:val="24"/>
          <w:szCs w:val="21"/>
          <w:highlight w:val="none"/>
        </w:rPr>
      </w:pPr>
      <w:r>
        <w:rPr>
          <w:rFonts w:hint="eastAsia" w:eastAsia="宋体"/>
          <w:sz w:val="24"/>
          <w:szCs w:val="21"/>
          <w:highlight w:val="none"/>
        </w:rPr>
        <w:t>供应商名称（盖公章）：</w:t>
      </w:r>
      <w:r>
        <w:rPr>
          <w:rFonts w:hint="eastAsia" w:eastAsia="宋体"/>
          <w:sz w:val="24"/>
          <w:szCs w:val="21"/>
          <w:highlight w:val="none"/>
          <w:u w:val="single"/>
        </w:rPr>
        <w:t xml:space="preserve"> </w:t>
      </w:r>
      <w:r>
        <w:rPr>
          <w:rFonts w:eastAsia="宋体"/>
          <w:sz w:val="24"/>
          <w:szCs w:val="21"/>
          <w:highlight w:val="none"/>
          <w:u w:val="single"/>
        </w:rPr>
        <w:t xml:space="preserve">                </w:t>
      </w:r>
    </w:p>
    <w:p w14:paraId="626D72DD">
      <w:pPr>
        <w:spacing w:line="360" w:lineRule="auto"/>
        <w:rPr>
          <w:rFonts w:eastAsia="宋体"/>
          <w:sz w:val="24"/>
          <w:szCs w:val="21"/>
          <w:highlight w:val="none"/>
        </w:rPr>
      </w:pPr>
      <w:r>
        <w:rPr>
          <w:rFonts w:hint="eastAsia" w:eastAsia="宋体"/>
          <w:sz w:val="24"/>
          <w:szCs w:val="21"/>
          <w:highlight w:val="none"/>
        </w:rPr>
        <w:t>地      址：</w:t>
      </w:r>
      <w:r>
        <w:rPr>
          <w:rFonts w:hint="eastAsia" w:eastAsia="宋体"/>
          <w:sz w:val="24"/>
          <w:szCs w:val="21"/>
          <w:highlight w:val="none"/>
          <w:u w:val="single"/>
        </w:rPr>
        <w:t xml:space="preserve">                            </w:t>
      </w:r>
    </w:p>
    <w:p w14:paraId="7A1A6246">
      <w:pPr>
        <w:tabs>
          <w:tab w:val="left" w:pos="3780"/>
        </w:tabs>
        <w:spacing w:line="360" w:lineRule="auto"/>
        <w:rPr>
          <w:rFonts w:eastAsia="宋体"/>
          <w:sz w:val="24"/>
          <w:szCs w:val="21"/>
          <w:highlight w:val="none"/>
        </w:rPr>
      </w:pPr>
      <w:r>
        <w:rPr>
          <w:rFonts w:hint="eastAsia" w:eastAsia="宋体"/>
          <w:sz w:val="24"/>
          <w:szCs w:val="21"/>
          <w:highlight w:val="none"/>
        </w:rPr>
        <w:t>法定代表人（签字或盖章）：</w:t>
      </w:r>
      <w:r>
        <w:rPr>
          <w:rFonts w:hint="eastAsia" w:eastAsia="宋体"/>
          <w:sz w:val="24"/>
          <w:szCs w:val="21"/>
          <w:highlight w:val="none"/>
          <w:u w:val="single"/>
        </w:rPr>
        <w:t xml:space="preserve">                 </w:t>
      </w:r>
      <w:r>
        <w:rPr>
          <w:rFonts w:hint="eastAsia" w:eastAsia="宋体"/>
          <w:sz w:val="24"/>
          <w:szCs w:val="21"/>
          <w:highlight w:val="none"/>
        </w:rPr>
        <w:t xml:space="preserve">   </w:t>
      </w:r>
    </w:p>
    <w:p w14:paraId="43BD2C8B">
      <w:pPr>
        <w:tabs>
          <w:tab w:val="left" w:pos="3780"/>
        </w:tabs>
        <w:spacing w:line="360" w:lineRule="auto"/>
        <w:rPr>
          <w:rFonts w:eastAsia="宋体"/>
          <w:sz w:val="24"/>
          <w:szCs w:val="21"/>
          <w:highlight w:val="none"/>
        </w:rPr>
      </w:pPr>
      <w:r>
        <w:rPr>
          <w:rFonts w:hint="eastAsia" w:eastAsia="宋体"/>
          <w:sz w:val="24"/>
          <w:szCs w:val="21"/>
          <w:highlight w:val="none"/>
        </w:rPr>
        <w:t>日期：</w:t>
      </w:r>
      <w:r>
        <w:rPr>
          <w:rFonts w:hint="eastAsia" w:eastAsia="宋体"/>
          <w:sz w:val="24"/>
          <w:szCs w:val="21"/>
          <w:highlight w:val="none"/>
          <w:u w:val="single"/>
        </w:rPr>
        <w:t xml:space="preserve">     </w:t>
      </w:r>
      <w:r>
        <w:rPr>
          <w:rFonts w:hint="eastAsia" w:eastAsia="宋体"/>
          <w:sz w:val="24"/>
          <w:szCs w:val="21"/>
          <w:highlight w:val="none"/>
        </w:rPr>
        <w:t>年</w:t>
      </w:r>
      <w:r>
        <w:rPr>
          <w:rFonts w:hint="eastAsia" w:eastAsia="宋体"/>
          <w:sz w:val="24"/>
          <w:szCs w:val="21"/>
          <w:highlight w:val="none"/>
          <w:u w:val="single"/>
        </w:rPr>
        <w:t xml:space="preserve">   </w:t>
      </w:r>
      <w:r>
        <w:rPr>
          <w:rFonts w:hint="eastAsia" w:eastAsia="宋体"/>
          <w:sz w:val="24"/>
          <w:szCs w:val="21"/>
          <w:highlight w:val="none"/>
        </w:rPr>
        <w:t>月</w:t>
      </w:r>
      <w:r>
        <w:rPr>
          <w:rFonts w:hint="eastAsia" w:eastAsia="宋体"/>
          <w:sz w:val="24"/>
          <w:szCs w:val="21"/>
          <w:highlight w:val="none"/>
          <w:u w:val="single"/>
        </w:rPr>
        <w:t xml:space="preserve">   </w:t>
      </w:r>
      <w:r>
        <w:rPr>
          <w:rFonts w:hint="eastAsia" w:eastAsia="宋体"/>
          <w:sz w:val="24"/>
          <w:szCs w:val="21"/>
          <w:highlight w:val="none"/>
        </w:rPr>
        <w:t>日</w:t>
      </w:r>
      <w:bookmarkStart w:id="225" w:name="_Toc479991624"/>
      <w:bookmarkStart w:id="226" w:name="_Toc468606072"/>
      <w:bookmarkStart w:id="227" w:name="_Toc467987864"/>
      <w:bookmarkStart w:id="228" w:name="_Toc35233731"/>
      <w:bookmarkStart w:id="229" w:name="_Toc464021124"/>
      <w:bookmarkStart w:id="230" w:name="_Toc480021092"/>
      <w:bookmarkStart w:id="231" w:name="_Toc467236781"/>
      <w:bookmarkStart w:id="232" w:name="_Toc468157577"/>
      <w:bookmarkStart w:id="233" w:name="_Toc480010749"/>
      <w:bookmarkStart w:id="234" w:name="_Toc467035692"/>
      <w:bookmarkStart w:id="235" w:name="_Toc480020296"/>
      <w:bookmarkStart w:id="236" w:name="_Toc480171921"/>
    </w:p>
    <w:p w14:paraId="04B472EF">
      <w:pPr>
        <w:tabs>
          <w:tab w:val="left" w:pos="3780"/>
        </w:tabs>
        <w:spacing w:line="360" w:lineRule="auto"/>
        <w:rPr>
          <w:rFonts w:eastAsia="宋体"/>
          <w:sz w:val="24"/>
          <w:szCs w:val="21"/>
          <w:highlight w:val="none"/>
        </w:rPr>
      </w:pPr>
    </w:p>
    <w:p w14:paraId="16918C67">
      <w:pPr>
        <w:tabs>
          <w:tab w:val="left" w:pos="3780"/>
        </w:tabs>
        <w:spacing w:line="360" w:lineRule="auto"/>
        <w:rPr>
          <w:rFonts w:ascii="宋体" w:hAnsi="宋体" w:eastAsia="宋体"/>
          <w:sz w:val="24"/>
          <w:szCs w:val="24"/>
          <w:highlight w:val="none"/>
        </w:rPr>
      </w:pPr>
      <w:r>
        <w:rPr>
          <w:rFonts w:hint="eastAsia" w:ascii="宋体" w:hAnsi="宋体" w:eastAsia="宋体"/>
          <w:sz w:val="24"/>
          <w:szCs w:val="24"/>
          <w:highlight w:val="none"/>
        </w:rPr>
        <w:t>附：被授权人身份证（正、反面）复印件（或扫描件）：</w:t>
      </w:r>
    </w:p>
    <w:p w14:paraId="64F8D04C">
      <w:pPr>
        <w:tabs>
          <w:tab w:val="left" w:pos="3780"/>
        </w:tabs>
        <w:spacing w:line="360" w:lineRule="auto"/>
        <w:rPr>
          <w:rFonts w:ascii="宋体" w:hAnsi="宋体" w:eastAsia="宋体"/>
          <w:sz w:val="21"/>
          <w:szCs w:val="24"/>
          <w:highlight w:val="none"/>
        </w:rPr>
      </w:pPr>
    </w:p>
    <w:p w14:paraId="6210ECF8">
      <w:pPr>
        <w:tabs>
          <w:tab w:val="left" w:pos="3780"/>
        </w:tabs>
        <w:spacing w:line="360" w:lineRule="auto"/>
        <w:rPr>
          <w:rFonts w:ascii="宋体" w:hAnsi="宋体" w:eastAsia="宋体"/>
          <w:sz w:val="21"/>
          <w:szCs w:val="24"/>
          <w:highlight w:val="none"/>
        </w:rPr>
      </w:pPr>
      <w:r>
        <w:rPr>
          <w:rFonts w:eastAsia="宋体"/>
          <w:bCs/>
          <w:sz w:val="24"/>
          <w:szCs w:val="21"/>
          <w:highlight w:val="none"/>
        </w:rPr>
        <mc:AlternateContent>
          <mc:Choice Requires="wpg">
            <w:drawing>
              <wp:anchor distT="0" distB="0" distL="114300" distR="114300" simplePos="0" relativeHeight="251659264" behindDoc="0" locked="0" layoutInCell="1" allowOverlap="1">
                <wp:simplePos x="0" y="0"/>
                <wp:positionH relativeFrom="column">
                  <wp:posOffset>38100</wp:posOffset>
                </wp:positionH>
                <wp:positionV relativeFrom="paragraph">
                  <wp:posOffset>144145</wp:posOffset>
                </wp:positionV>
                <wp:extent cx="5486400" cy="1751965"/>
                <wp:effectExtent l="7620" t="6350" r="11430" b="13335"/>
                <wp:wrapNone/>
                <wp:docPr id="4" name="组合 9"/>
                <wp:cNvGraphicFramePr/>
                <a:graphic xmlns:a="http://schemas.openxmlformats.org/drawingml/2006/main">
                  <a:graphicData uri="http://schemas.microsoft.com/office/word/2010/wordprocessingGroup">
                    <wpg:wgp>
                      <wpg:cNvGrpSpPr/>
                      <wpg:grpSpPr>
                        <a:xfrm>
                          <a:off x="0" y="0"/>
                          <a:ext cx="5486400" cy="1751965"/>
                          <a:chOff x="1350" y="9286"/>
                          <a:chExt cx="8640" cy="2759"/>
                        </a:xfrm>
                      </wpg:grpSpPr>
                      <wps:wsp>
                        <wps:cNvPr id="5" name="矩形 10"/>
                        <wps:cNvSpPr>
                          <a:spLocks noChangeArrowheads="1"/>
                        </wps:cNvSpPr>
                        <wps:spPr bwMode="auto">
                          <a:xfrm>
                            <a:off x="1350" y="9286"/>
                            <a:ext cx="4260" cy="2759"/>
                          </a:xfrm>
                          <a:prstGeom prst="rect">
                            <a:avLst/>
                          </a:prstGeom>
                          <a:solidFill>
                            <a:srgbClr val="FFFFFF"/>
                          </a:solidFill>
                          <a:ln w="9525">
                            <a:solidFill>
                              <a:srgbClr val="000000"/>
                            </a:solidFill>
                            <a:miter lim="800000"/>
                          </a:ln>
                        </wps:spPr>
                        <wps:txb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wps:txbx>
                        <wps:bodyPr rot="0" vert="horz" wrap="square" lIns="91440" tIns="45720" rIns="91440" bIns="45720" anchor="t" anchorCtr="0" upright="1">
                          <a:noAutofit/>
                        </wps:bodyPr>
                      </wps:wsp>
                      <wps:wsp>
                        <wps:cNvPr id="6" name="矩形 11"/>
                        <wps:cNvSpPr>
                          <a:spLocks noChangeArrowheads="1"/>
                        </wps:cNvSpPr>
                        <wps:spPr bwMode="auto">
                          <a:xfrm>
                            <a:off x="5754" y="9286"/>
                            <a:ext cx="4236" cy="2759"/>
                          </a:xfrm>
                          <a:prstGeom prst="rect">
                            <a:avLst/>
                          </a:prstGeom>
                          <a:solidFill>
                            <a:srgbClr val="FFFFFF"/>
                          </a:solidFill>
                          <a:ln w="9525">
                            <a:solidFill>
                              <a:srgbClr val="000000"/>
                            </a:solidFill>
                            <a:miter lim="800000"/>
                          </a:ln>
                        </wps:spPr>
                        <wps:txb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wps:txbx>
                        <wps:bodyPr rot="0" vert="horz" wrap="square" lIns="91440" tIns="45720" rIns="91440" bIns="45720" anchor="t" anchorCtr="0" upright="1">
                          <a:noAutofit/>
                        </wps:bodyPr>
                      </wps:wsp>
                    </wpg:wgp>
                  </a:graphicData>
                </a:graphic>
              </wp:anchor>
            </w:drawing>
          </mc:Choice>
          <mc:Fallback>
            <w:pict>
              <v:group id="组合 9" o:spid="_x0000_s1026" o:spt="203" style="position:absolute;left:0pt;margin-left:3pt;margin-top:11.35pt;height:137.95pt;width:432pt;z-index:251659264;mso-width-relative:page;mso-height-relative:page;" coordorigin="1350,9286" coordsize="8640,2759" o:gfxdata="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EfO5T9gAAAAIAQAADwAAAAAAAAABACAAAAAiAAAAZHJzL2Rvd25yZXYueG1sUEsBAhQA&#10;FAAAAAgAh07iQAGzyEPWAgAASwgAAA4AAAAAAAAAAQAgAAAAJwEAAGRycy9lMm9Eb2MueG1sUEsF&#10;BgAAAAAGAAYAWQEAAG8GAAAAAA==&#10;">
                <o:lock v:ext="edit" aspectratio="f"/>
                <v:rect id="矩形 10" o:spid="_x0000_s1026" o:spt="1" style="position:absolute;left:1350;top:9286;height:2759;width:4260;"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v:textbox>
                </v:rect>
                <v:rect id="矩形 11" o:spid="_x0000_s1026" o:spt="1" style="position:absolute;left:5754;top:9286;height:2759;width:423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v:textbox>
                </v:rect>
              </v:group>
            </w:pict>
          </mc:Fallback>
        </mc:AlternateContent>
      </w:r>
    </w:p>
    <w:p w14:paraId="161FF245">
      <w:pPr>
        <w:tabs>
          <w:tab w:val="left" w:pos="3780"/>
        </w:tabs>
        <w:spacing w:line="360" w:lineRule="auto"/>
        <w:rPr>
          <w:rFonts w:ascii="宋体" w:hAnsi="宋体" w:eastAsia="宋体"/>
          <w:sz w:val="21"/>
          <w:szCs w:val="24"/>
          <w:highlight w:val="none"/>
        </w:rPr>
      </w:pPr>
    </w:p>
    <w:p w14:paraId="39FF3652">
      <w:pPr>
        <w:tabs>
          <w:tab w:val="left" w:pos="3780"/>
        </w:tabs>
        <w:spacing w:line="360" w:lineRule="auto"/>
        <w:rPr>
          <w:rFonts w:ascii="宋体" w:hAnsi="宋体" w:eastAsia="宋体"/>
          <w:sz w:val="21"/>
          <w:szCs w:val="24"/>
          <w:highlight w:val="none"/>
        </w:rPr>
      </w:pPr>
    </w:p>
    <w:p w14:paraId="494EDB55">
      <w:pPr>
        <w:tabs>
          <w:tab w:val="left" w:pos="3780"/>
        </w:tabs>
        <w:spacing w:line="360" w:lineRule="auto"/>
        <w:rPr>
          <w:rFonts w:ascii="宋体" w:hAnsi="宋体" w:eastAsia="宋体"/>
          <w:sz w:val="21"/>
          <w:szCs w:val="24"/>
          <w:highlight w:val="none"/>
        </w:rPr>
      </w:pPr>
    </w:p>
    <w:p w14:paraId="077A1289">
      <w:pPr>
        <w:tabs>
          <w:tab w:val="left" w:pos="3780"/>
        </w:tabs>
        <w:spacing w:line="360" w:lineRule="auto"/>
        <w:rPr>
          <w:rFonts w:ascii="宋体" w:hAnsi="宋体" w:eastAsia="宋体"/>
          <w:sz w:val="21"/>
          <w:szCs w:val="24"/>
          <w:highlight w:val="none"/>
        </w:rPr>
      </w:pPr>
    </w:p>
    <w:p w14:paraId="4B40607D">
      <w:pPr>
        <w:tabs>
          <w:tab w:val="left" w:pos="3780"/>
        </w:tabs>
        <w:spacing w:line="360" w:lineRule="auto"/>
        <w:rPr>
          <w:rFonts w:ascii="宋体" w:hAnsi="宋体" w:eastAsia="宋体"/>
          <w:sz w:val="21"/>
          <w:szCs w:val="24"/>
          <w:highlight w:val="none"/>
        </w:rPr>
      </w:pPr>
    </w:p>
    <w:p w14:paraId="47FE257C">
      <w:pPr>
        <w:tabs>
          <w:tab w:val="left" w:pos="3780"/>
        </w:tabs>
        <w:spacing w:line="360" w:lineRule="auto"/>
        <w:rPr>
          <w:rFonts w:ascii="宋体" w:hAnsi="宋体" w:eastAsia="宋体"/>
          <w:sz w:val="21"/>
          <w:szCs w:val="24"/>
          <w:highlight w:val="none"/>
        </w:rPr>
      </w:pPr>
    </w:p>
    <w:p w14:paraId="0F69AA46">
      <w:pPr>
        <w:tabs>
          <w:tab w:val="left" w:pos="3780"/>
        </w:tabs>
        <w:spacing w:line="360" w:lineRule="auto"/>
        <w:rPr>
          <w:rFonts w:ascii="宋体" w:hAnsi="宋体" w:eastAsia="宋体"/>
          <w:sz w:val="21"/>
          <w:szCs w:val="24"/>
          <w:highlight w:val="none"/>
        </w:rPr>
      </w:pPr>
    </w:p>
    <w:p w14:paraId="45D5F892">
      <w:pPr>
        <w:tabs>
          <w:tab w:val="left" w:pos="3780"/>
        </w:tabs>
        <w:spacing w:line="360" w:lineRule="auto"/>
        <w:rPr>
          <w:rFonts w:ascii="宋体" w:hAnsi="宋体" w:eastAsia="宋体"/>
          <w:sz w:val="21"/>
          <w:szCs w:val="24"/>
          <w:highlight w:val="none"/>
        </w:rPr>
      </w:pPr>
    </w:p>
    <w:p w14:paraId="11C42328">
      <w:pPr>
        <w:tabs>
          <w:tab w:val="left" w:pos="3780"/>
        </w:tabs>
        <w:spacing w:line="360" w:lineRule="auto"/>
        <w:rPr>
          <w:rFonts w:ascii="宋体" w:hAnsi="宋体" w:eastAsia="宋体"/>
          <w:sz w:val="21"/>
          <w:szCs w:val="24"/>
          <w:highlight w:val="none"/>
        </w:rPr>
      </w:pPr>
    </w:p>
    <w:p w14:paraId="1F37DA71">
      <w:pPr>
        <w:tabs>
          <w:tab w:val="left" w:pos="3780"/>
        </w:tabs>
        <w:spacing w:line="360" w:lineRule="auto"/>
        <w:rPr>
          <w:rFonts w:ascii="宋体" w:hAnsi="宋体" w:eastAsia="宋体"/>
          <w:sz w:val="21"/>
          <w:szCs w:val="24"/>
          <w:highlight w:val="none"/>
        </w:rPr>
      </w:pPr>
    </w:p>
    <w:p w14:paraId="5F388187">
      <w:pPr>
        <w:tabs>
          <w:tab w:val="left" w:pos="3780"/>
        </w:tabs>
        <w:spacing w:line="360" w:lineRule="auto"/>
        <w:rPr>
          <w:rFonts w:ascii="宋体" w:hAnsi="宋体" w:eastAsia="宋体"/>
          <w:sz w:val="21"/>
          <w:szCs w:val="24"/>
          <w:highlight w:val="none"/>
        </w:rPr>
      </w:pPr>
    </w:p>
    <w:p w14:paraId="3728B695">
      <w:pPr>
        <w:pStyle w:val="4"/>
        <w:snapToGrid w:val="0"/>
        <w:spacing w:before="120" w:beforeLines="50" w:after="120" w:afterLines="50" w:line="360" w:lineRule="auto"/>
        <w:jc w:val="center"/>
        <w:outlineLvl w:val="9"/>
        <w:rPr>
          <w:rFonts w:eastAsia="宋体"/>
          <w:bCs/>
          <w:sz w:val="24"/>
          <w:szCs w:val="21"/>
          <w:highlight w:val="none"/>
        </w:rPr>
      </w:pPr>
      <w:r>
        <w:rPr>
          <w:rFonts w:ascii="Times New Roman" w:hAnsi="Times New Roman" w:eastAsia="宋体"/>
          <w:bCs/>
          <w:sz w:val="24"/>
          <w:szCs w:val="21"/>
          <w:highlight w:val="none"/>
        </w:rPr>
        <w:br w:type="page"/>
      </w:r>
    </w:p>
    <w:p w14:paraId="3C542A2B">
      <w:pPr>
        <w:pStyle w:val="4"/>
        <w:snapToGrid w:val="0"/>
        <w:spacing w:before="120" w:beforeLines="50" w:after="120" w:afterLines="50" w:line="360" w:lineRule="auto"/>
        <w:jc w:val="center"/>
        <w:rPr>
          <w:rFonts w:ascii="Times New Roman" w:hAnsi="Times New Roman" w:eastAsia="宋体"/>
          <w:bCs/>
          <w:sz w:val="24"/>
          <w:szCs w:val="21"/>
          <w:highlight w:val="none"/>
        </w:rPr>
      </w:pPr>
      <w:bookmarkStart w:id="237" w:name="_Toc169861834"/>
      <w:r>
        <w:rPr>
          <w:rFonts w:hint="eastAsia" w:ascii="Times New Roman" w:hAnsi="Times New Roman" w:eastAsia="宋体"/>
          <w:bCs/>
          <w:sz w:val="24"/>
          <w:szCs w:val="21"/>
          <w:highlight w:val="none"/>
          <w:lang w:val="en-US" w:eastAsia="zh-CN"/>
        </w:rPr>
        <w:t>五</w:t>
      </w:r>
      <w:r>
        <w:rPr>
          <w:rFonts w:hint="eastAsia" w:ascii="Times New Roman" w:hAnsi="Times New Roman" w:eastAsia="宋体"/>
          <w:bCs/>
          <w:sz w:val="24"/>
          <w:szCs w:val="21"/>
          <w:highlight w:val="none"/>
        </w:rPr>
        <w:t>、关于资格的声明函</w:t>
      </w:r>
      <w:bookmarkEnd w:id="237"/>
    </w:p>
    <w:p w14:paraId="5148E12C">
      <w:pPr>
        <w:spacing w:line="360" w:lineRule="auto"/>
        <w:ind w:firstLine="480" w:firstLineChars="200"/>
        <w:rPr>
          <w:rFonts w:hint="eastAsia" w:ascii="宋体" w:hAnsi="宋体" w:eastAsia="宋体" w:cs="Calibri"/>
          <w:sz w:val="24"/>
          <w:highlight w:val="none"/>
          <w:lang w:eastAsia="zh-CN"/>
        </w:rPr>
      </w:pPr>
      <w:r>
        <w:rPr>
          <w:rFonts w:ascii="宋体" w:hAnsi="宋体" w:eastAsia="宋体" w:cs="Calibri"/>
          <w:sz w:val="24"/>
          <w:highlight w:val="none"/>
        </w:rPr>
        <w:t>致：</w:t>
      </w:r>
      <w:r>
        <w:rPr>
          <w:rFonts w:hint="eastAsia" w:ascii="宋体" w:hAnsi="宋体" w:eastAsia="宋体" w:cs="Calibri"/>
          <w:sz w:val="24"/>
          <w:highlight w:val="none"/>
          <w:u w:val="single"/>
          <w:lang w:val="en-US" w:eastAsia="zh-CN"/>
        </w:rPr>
        <w:t>开平市中心医院</w:t>
      </w:r>
    </w:p>
    <w:p w14:paraId="3BCABB95">
      <w:pPr>
        <w:pStyle w:val="23"/>
        <w:spacing w:line="480" w:lineRule="exact"/>
        <w:ind w:firstLine="480" w:firstLineChars="200"/>
        <w:rPr>
          <w:rFonts w:hAnsi="宋体"/>
          <w:sz w:val="24"/>
          <w:highlight w:val="none"/>
        </w:rPr>
      </w:pPr>
      <w:r>
        <w:rPr>
          <w:rFonts w:hint="eastAsia" w:hAnsi="宋体"/>
          <w:sz w:val="24"/>
          <w:highlight w:val="none"/>
        </w:rPr>
        <w:t>关于贵</w:t>
      </w:r>
      <w:r>
        <w:rPr>
          <w:rFonts w:hint="eastAsia" w:hAnsi="宋体"/>
          <w:sz w:val="24"/>
          <w:highlight w:val="none"/>
          <w:lang w:val="en-US" w:eastAsia="zh-CN"/>
        </w:rPr>
        <w:t>单位</w:t>
      </w:r>
      <w:r>
        <w:rPr>
          <w:rFonts w:hint="eastAsia" w:hAnsi="宋体"/>
          <w:sz w:val="24"/>
          <w:highlight w:val="none"/>
        </w:rPr>
        <w:t>的</w:t>
      </w:r>
      <w:r>
        <w:rPr>
          <w:rFonts w:hint="eastAsia" w:hAnsi="宋体"/>
          <w:sz w:val="24"/>
          <w:highlight w:val="none"/>
          <w:u w:val="single"/>
        </w:rPr>
        <w:t>（</w:t>
      </w:r>
      <w:r>
        <w:rPr>
          <w:rFonts w:hint="eastAsia" w:hAnsi="宋体"/>
          <w:sz w:val="24"/>
          <w:highlight w:val="none"/>
          <w:u w:val="single"/>
          <w:lang w:eastAsia="zh-CN"/>
        </w:rPr>
        <w:t>开平市中心医院药剂大楼容灾机房电力输入电缆采购项目</w:t>
      </w:r>
      <w:r>
        <w:rPr>
          <w:rFonts w:hint="eastAsia" w:hAnsi="宋体"/>
          <w:sz w:val="24"/>
          <w:highlight w:val="none"/>
          <w:u w:val="single"/>
        </w:rPr>
        <w:t>）</w:t>
      </w:r>
      <w:r>
        <w:rPr>
          <w:rFonts w:hint="eastAsia" w:hAnsi="宋体"/>
          <w:sz w:val="24"/>
          <w:highlight w:val="none"/>
        </w:rPr>
        <w:t>的</w:t>
      </w:r>
      <w:r>
        <w:rPr>
          <w:rFonts w:hint="eastAsia" w:hAnsi="宋体"/>
          <w:sz w:val="24"/>
          <w:highlight w:val="none"/>
          <w:lang w:eastAsia="zh-CN"/>
        </w:rPr>
        <w:t>遴选</w:t>
      </w:r>
      <w:r>
        <w:rPr>
          <w:rFonts w:hint="eastAsia" w:hAnsi="宋体"/>
          <w:sz w:val="24"/>
          <w:highlight w:val="none"/>
        </w:rPr>
        <w:t>邀请，我单位自愿参加本次</w:t>
      </w:r>
      <w:r>
        <w:rPr>
          <w:rFonts w:hint="eastAsia" w:hAnsi="宋体"/>
          <w:sz w:val="24"/>
          <w:highlight w:val="none"/>
          <w:lang w:eastAsia="zh-CN"/>
        </w:rPr>
        <w:t>遴选</w:t>
      </w:r>
      <w:r>
        <w:rPr>
          <w:rFonts w:hint="eastAsia" w:hAnsi="宋体"/>
          <w:sz w:val="24"/>
          <w:highlight w:val="none"/>
        </w:rPr>
        <w:t>，并声明：</w:t>
      </w:r>
    </w:p>
    <w:p w14:paraId="4013046C">
      <w:pPr>
        <w:pStyle w:val="23"/>
        <w:spacing w:line="480" w:lineRule="exact"/>
        <w:ind w:firstLine="480" w:firstLineChars="200"/>
        <w:rPr>
          <w:rFonts w:hAnsi="宋体"/>
          <w:sz w:val="24"/>
          <w:highlight w:val="none"/>
        </w:rPr>
      </w:pPr>
      <w:r>
        <w:rPr>
          <w:rFonts w:hint="eastAsia" w:hAnsi="宋体"/>
          <w:sz w:val="24"/>
          <w:highlight w:val="none"/>
        </w:rPr>
        <w:t>本单位具备《中华人民共和国政府采购法》第二十二条资格条件，已清楚</w:t>
      </w:r>
      <w:r>
        <w:rPr>
          <w:rFonts w:hint="eastAsia" w:hAnsi="宋体"/>
          <w:sz w:val="24"/>
          <w:highlight w:val="none"/>
          <w:lang w:val="en-US" w:eastAsia="zh-CN"/>
        </w:rPr>
        <w:t>遴选</w:t>
      </w:r>
      <w:r>
        <w:rPr>
          <w:rFonts w:hint="eastAsia" w:hAnsi="宋体"/>
          <w:sz w:val="24"/>
          <w:highlight w:val="none"/>
        </w:rPr>
        <w:t>文件的要求及有关文件规定，并满足以下要求：</w:t>
      </w:r>
    </w:p>
    <w:p w14:paraId="3340497A">
      <w:pPr>
        <w:pStyle w:val="23"/>
        <w:spacing w:line="480" w:lineRule="exact"/>
        <w:ind w:firstLine="480" w:firstLineChars="200"/>
        <w:rPr>
          <w:rFonts w:hAnsi="宋体"/>
          <w:sz w:val="24"/>
          <w:highlight w:val="none"/>
        </w:rPr>
      </w:pPr>
      <w:r>
        <w:rPr>
          <w:rFonts w:hint="eastAsia" w:hAnsi="宋体"/>
          <w:sz w:val="24"/>
          <w:highlight w:val="none"/>
        </w:rPr>
        <w:t>（</w:t>
      </w:r>
      <w:r>
        <w:rPr>
          <w:rFonts w:hAnsi="宋体"/>
          <w:sz w:val="24"/>
          <w:highlight w:val="none"/>
        </w:rPr>
        <w:t>1</w:t>
      </w:r>
      <w:r>
        <w:rPr>
          <w:rFonts w:hint="eastAsia" w:hAnsi="宋体"/>
          <w:sz w:val="24"/>
          <w:highlight w:val="none"/>
        </w:rPr>
        <w:t>）具有独立承担民事责任的能力；</w:t>
      </w:r>
    </w:p>
    <w:p w14:paraId="7B760D50">
      <w:pPr>
        <w:pStyle w:val="23"/>
        <w:spacing w:line="480" w:lineRule="exact"/>
        <w:ind w:firstLine="480" w:firstLineChars="200"/>
        <w:rPr>
          <w:rFonts w:hAnsi="宋体"/>
          <w:sz w:val="24"/>
          <w:highlight w:val="none"/>
        </w:rPr>
      </w:pPr>
      <w:r>
        <w:rPr>
          <w:rFonts w:hint="eastAsia" w:hAnsi="宋体"/>
          <w:sz w:val="24"/>
          <w:highlight w:val="none"/>
        </w:rPr>
        <w:t>（</w:t>
      </w:r>
      <w:r>
        <w:rPr>
          <w:rFonts w:hAnsi="宋体"/>
          <w:sz w:val="24"/>
          <w:highlight w:val="none"/>
        </w:rPr>
        <w:t>2</w:t>
      </w:r>
      <w:r>
        <w:rPr>
          <w:rFonts w:hint="eastAsia" w:hAnsi="宋体"/>
          <w:sz w:val="24"/>
          <w:highlight w:val="none"/>
        </w:rPr>
        <w:t>）具有良好的商业信誉和健全的财务会计制度；</w:t>
      </w:r>
    </w:p>
    <w:p w14:paraId="2FE1AE9C">
      <w:pPr>
        <w:pStyle w:val="23"/>
        <w:spacing w:line="480" w:lineRule="exact"/>
        <w:ind w:firstLine="480" w:firstLineChars="200"/>
        <w:rPr>
          <w:rFonts w:hAnsi="宋体"/>
          <w:sz w:val="24"/>
          <w:highlight w:val="none"/>
        </w:rPr>
      </w:pPr>
      <w:r>
        <w:rPr>
          <w:rFonts w:hint="eastAsia" w:hAnsi="宋体"/>
          <w:sz w:val="24"/>
          <w:highlight w:val="none"/>
        </w:rPr>
        <w:t>（</w:t>
      </w:r>
      <w:r>
        <w:rPr>
          <w:rFonts w:hAnsi="宋体"/>
          <w:sz w:val="24"/>
          <w:highlight w:val="none"/>
        </w:rPr>
        <w:t>3</w:t>
      </w:r>
      <w:r>
        <w:rPr>
          <w:rFonts w:hint="eastAsia" w:hAnsi="宋体"/>
          <w:sz w:val="24"/>
          <w:highlight w:val="none"/>
        </w:rPr>
        <w:t>）具有履行合同所必需的设备和专业技术能力；</w:t>
      </w:r>
    </w:p>
    <w:p w14:paraId="6C9B45FC">
      <w:pPr>
        <w:pStyle w:val="23"/>
        <w:spacing w:line="480" w:lineRule="exact"/>
        <w:ind w:firstLine="480" w:firstLineChars="200"/>
        <w:rPr>
          <w:rFonts w:hAnsi="宋体"/>
          <w:sz w:val="24"/>
          <w:highlight w:val="none"/>
        </w:rPr>
      </w:pPr>
      <w:r>
        <w:rPr>
          <w:rFonts w:hint="eastAsia" w:hAnsi="宋体"/>
          <w:sz w:val="24"/>
          <w:highlight w:val="none"/>
        </w:rPr>
        <w:t>（</w:t>
      </w:r>
      <w:r>
        <w:rPr>
          <w:rFonts w:hAnsi="宋体"/>
          <w:sz w:val="24"/>
          <w:highlight w:val="none"/>
        </w:rPr>
        <w:t>4</w:t>
      </w:r>
      <w:r>
        <w:rPr>
          <w:rFonts w:hint="eastAsia" w:hAnsi="宋体"/>
          <w:sz w:val="24"/>
          <w:highlight w:val="none"/>
        </w:rPr>
        <w:t>）有依法缴纳税收和社会保障资金的良好记录；</w:t>
      </w:r>
    </w:p>
    <w:p w14:paraId="620FEADF">
      <w:pPr>
        <w:pStyle w:val="23"/>
        <w:spacing w:line="480" w:lineRule="exact"/>
        <w:ind w:firstLine="480" w:firstLineChars="200"/>
        <w:rPr>
          <w:rFonts w:hAnsi="宋体"/>
          <w:sz w:val="24"/>
          <w:highlight w:val="none"/>
        </w:rPr>
      </w:pPr>
      <w:r>
        <w:rPr>
          <w:rFonts w:hint="eastAsia" w:hAnsi="宋体"/>
          <w:sz w:val="24"/>
          <w:highlight w:val="none"/>
        </w:rPr>
        <w:t>（</w:t>
      </w:r>
      <w:r>
        <w:rPr>
          <w:rFonts w:hAnsi="宋体"/>
          <w:sz w:val="24"/>
          <w:highlight w:val="none"/>
        </w:rPr>
        <w:t>5</w:t>
      </w:r>
      <w:r>
        <w:rPr>
          <w:rFonts w:hint="eastAsia" w:hAnsi="宋体"/>
          <w:sz w:val="24"/>
          <w:highlight w:val="none"/>
        </w:rPr>
        <w:t>）参加政府采购活动前三年内，在经营活动中没有重大违法记录；</w:t>
      </w:r>
    </w:p>
    <w:p w14:paraId="780FE283">
      <w:pPr>
        <w:pStyle w:val="23"/>
        <w:spacing w:line="480" w:lineRule="exact"/>
        <w:ind w:firstLine="480" w:firstLineChars="200"/>
        <w:outlineLvl w:val="2"/>
        <w:rPr>
          <w:rFonts w:hAnsi="宋体"/>
          <w:sz w:val="24"/>
          <w:highlight w:val="none"/>
        </w:rPr>
      </w:pPr>
      <w:r>
        <w:rPr>
          <w:rFonts w:hint="eastAsia" w:hAnsi="宋体"/>
          <w:sz w:val="24"/>
          <w:highlight w:val="none"/>
        </w:rPr>
        <w:t>（</w:t>
      </w:r>
      <w:r>
        <w:rPr>
          <w:rFonts w:hAnsi="宋体"/>
          <w:sz w:val="24"/>
          <w:highlight w:val="none"/>
        </w:rPr>
        <w:t>6</w:t>
      </w:r>
      <w:r>
        <w:rPr>
          <w:rFonts w:hint="eastAsia" w:hAnsi="宋体"/>
          <w:sz w:val="24"/>
          <w:highlight w:val="none"/>
        </w:rPr>
        <w:t>）法律、行政法规规定的其他条件。</w:t>
      </w:r>
    </w:p>
    <w:p w14:paraId="288D64C6">
      <w:pPr>
        <w:pStyle w:val="23"/>
        <w:spacing w:line="480" w:lineRule="exact"/>
        <w:ind w:firstLine="480" w:firstLineChars="200"/>
        <w:rPr>
          <w:rFonts w:hAnsi="宋体"/>
          <w:sz w:val="24"/>
          <w:highlight w:val="none"/>
        </w:rPr>
      </w:pPr>
      <w:r>
        <w:rPr>
          <w:rFonts w:hint="eastAsia" w:hAnsi="宋体"/>
          <w:sz w:val="24"/>
          <w:highlight w:val="none"/>
        </w:rPr>
        <w:t>本单位的法定代表人或单位负责人与所参投的本采购项目包组的其他</w:t>
      </w:r>
      <w:r>
        <w:rPr>
          <w:rFonts w:hint="eastAsia" w:hAnsi="宋体"/>
          <w:sz w:val="24"/>
          <w:highlight w:val="none"/>
          <w:lang w:eastAsia="zh-CN"/>
        </w:rPr>
        <w:t>供应商</w:t>
      </w:r>
      <w:r>
        <w:rPr>
          <w:rFonts w:hint="eastAsia" w:hAnsi="宋体"/>
          <w:sz w:val="24"/>
          <w:highlight w:val="none"/>
        </w:rPr>
        <w:t>的法定代表人或单位负责人不为同一人且与其他</w:t>
      </w:r>
      <w:r>
        <w:rPr>
          <w:rFonts w:hint="eastAsia" w:hAnsi="宋体"/>
          <w:sz w:val="24"/>
          <w:highlight w:val="none"/>
          <w:lang w:eastAsia="zh-CN"/>
        </w:rPr>
        <w:t>供应商</w:t>
      </w:r>
      <w:r>
        <w:rPr>
          <w:rFonts w:hint="eastAsia" w:hAnsi="宋体"/>
          <w:sz w:val="24"/>
          <w:highlight w:val="none"/>
        </w:rPr>
        <w:t>之间不存在直接控股、管理关系。</w:t>
      </w:r>
    </w:p>
    <w:p w14:paraId="16A18A73">
      <w:pPr>
        <w:pStyle w:val="23"/>
        <w:spacing w:line="480" w:lineRule="exact"/>
        <w:ind w:firstLine="480" w:firstLineChars="200"/>
        <w:rPr>
          <w:rFonts w:hAnsi="宋体"/>
          <w:sz w:val="24"/>
          <w:highlight w:val="none"/>
        </w:rPr>
      </w:pPr>
      <w:r>
        <w:rPr>
          <w:rFonts w:hint="eastAsia" w:hAnsi="宋体"/>
          <w:sz w:val="24"/>
          <w:highlight w:val="none"/>
        </w:rPr>
        <w:t>根据《中华人民共和国政府采购法实施条例》的规定，本单位清楚：如为本采购项目包组提供整体设计、规范编制或者项目管理、监理、检测等服务的供应商，不得再参加该采购项目包组的其他采购活动。否则，由此所造成的损失、不良后果及法律责任，一律由我单位承担。</w:t>
      </w:r>
    </w:p>
    <w:p w14:paraId="6062ED2E">
      <w:pPr>
        <w:pStyle w:val="23"/>
        <w:spacing w:line="480" w:lineRule="exact"/>
        <w:ind w:firstLine="480" w:firstLineChars="200"/>
        <w:rPr>
          <w:rFonts w:hAnsi="宋体"/>
          <w:sz w:val="24"/>
          <w:highlight w:val="none"/>
        </w:rPr>
      </w:pPr>
      <w:r>
        <w:rPr>
          <w:rFonts w:hint="eastAsia" w:hAnsi="宋体"/>
          <w:sz w:val="24"/>
          <w:highlight w:val="none"/>
        </w:rPr>
        <w:t>具有履行合同所必需的设备和专业技术能力，且参加政府采购活动前</w:t>
      </w:r>
      <w:r>
        <w:rPr>
          <w:rFonts w:hAnsi="宋体"/>
          <w:sz w:val="24"/>
          <w:highlight w:val="none"/>
        </w:rPr>
        <w:t xml:space="preserve">3 </w:t>
      </w:r>
      <w:r>
        <w:rPr>
          <w:rFonts w:hint="eastAsia" w:hAnsi="宋体"/>
          <w:sz w:val="24"/>
          <w:highlight w:val="none"/>
        </w:rPr>
        <w:t>年内在经营活动中没有重大违法记录。否则，由此所造成的损失、不良后果及法律责任，一律由我单位承担。</w:t>
      </w:r>
    </w:p>
    <w:p w14:paraId="6A5A17FE">
      <w:pPr>
        <w:pStyle w:val="23"/>
        <w:spacing w:line="480" w:lineRule="exact"/>
        <w:ind w:firstLine="480" w:firstLineChars="200"/>
        <w:rPr>
          <w:rFonts w:hAnsi="宋体"/>
          <w:sz w:val="24"/>
          <w:highlight w:val="none"/>
        </w:rPr>
      </w:pPr>
      <w:r>
        <w:rPr>
          <w:rFonts w:hint="eastAsia" w:hAnsi="宋体"/>
          <w:sz w:val="24"/>
          <w:highlight w:val="none"/>
        </w:rPr>
        <w:t>本次</w:t>
      </w:r>
      <w:r>
        <w:rPr>
          <w:rFonts w:hint="eastAsia" w:hAnsi="宋体"/>
          <w:sz w:val="24"/>
          <w:highlight w:val="none"/>
          <w:lang w:val="en-US" w:eastAsia="zh-CN"/>
        </w:rPr>
        <w:t>遴选</w:t>
      </w:r>
      <w:r>
        <w:rPr>
          <w:rFonts w:hint="eastAsia" w:hAnsi="宋体"/>
          <w:sz w:val="24"/>
          <w:highlight w:val="none"/>
        </w:rPr>
        <w:t>采购活动中，如有违法、违规、弄虚作假行为，所造成的损失、不良后果及法律责任，一律由我单位承担。</w:t>
      </w:r>
    </w:p>
    <w:p w14:paraId="1C00D396">
      <w:pPr>
        <w:pStyle w:val="23"/>
        <w:spacing w:line="480" w:lineRule="exact"/>
        <w:ind w:firstLine="480" w:firstLineChars="200"/>
        <w:rPr>
          <w:rFonts w:hAnsi="宋体"/>
          <w:sz w:val="24"/>
          <w:highlight w:val="none"/>
        </w:rPr>
      </w:pPr>
      <w:r>
        <w:rPr>
          <w:rFonts w:hint="eastAsia" w:hAnsi="宋体"/>
          <w:sz w:val="24"/>
          <w:highlight w:val="none"/>
        </w:rPr>
        <w:t>特此声明！</w:t>
      </w:r>
    </w:p>
    <w:p w14:paraId="1F431CC2">
      <w:pPr>
        <w:spacing w:line="360" w:lineRule="auto"/>
        <w:rPr>
          <w:rFonts w:ascii="宋体" w:hAnsi="宋体" w:eastAsia="宋体"/>
          <w:sz w:val="24"/>
          <w:highlight w:val="none"/>
        </w:rPr>
      </w:pPr>
    </w:p>
    <w:p w14:paraId="03F0B232">
      <w:pPr>
        <w:spacing w:line="360" w:lineRule="auto"/>
        <w:ind w:firstLine="480" w:firstLineChars="200"/>
        <w:rPr>
          <w:rFonts w:ascii="宋体" w:hAnsi="宋体" w:eastAsia="宋体"/>
          <w:sz w:val="24"/>
          <w:highlight w:val="none"/>
        </w:rPr>
      </w:pPr>
      <w:r>
        <w:rPr>
          <w:rFonts w:hint="eastAsia" w:ascii="宋体" w:hAnsi="宋体" w:eastAsia="宋体"/>
          <w:sz w:val="24"/>
          <w:highlight w:val="none"/>
          <w:lang w:eastAsia="zh-CN"/>
        </w:rPr>
        <w:t>供应商</w:t>
      </w:r>
      <w:r>
        <w:rPr>
          <w:rFonts w:ascii="宋体" w:hAnsi="宋体" w:eastAsia="宋体"/>
          <w:sz w:val="24"/>
          <w:highlight w:val="none"/>
        </w:rPr>
        <w:t>名称：</w:t>
      </w:r>
      <w:r>
        <w:rPr>
          <w:rFonts w:ascii="宋体" w:hAnsi="宋体" w:eastAsia="宋体"/>
          <w:sz w:val="24"/>
          <w:highlight w:val="none"/>
          <w:u w:val="single"/>
        </w:rPr>
        <w:t xml:space="preserve">                </w:t>
      </w:r>
      <w:r>
        <w:rPr>
          <w:rFonts w:ascii="宋体" w:hAnsi="宋体" w:eastAsia="宋体"/>
          <w:sz w:val="24"/>
          <w:highlight w:val="none"/>
        </w:rPr>
        <w:t xml:space="preserve">（盖公章） </w:t>
      </w:r>
    </w:p>
    <w:p w14:paraId="0495A492">
      <w:pPr>
        <w:spacing w:line="360" w:lineRule="auto"/>
        <w:ind w:firstLine="480" w:firstLineChars="200"/>
        <w:rPr>
          <w:rFonts w:ascii="宋体" w:hAnsi="宋体" w:eastAsia="宋体"/>
          <w:sz w:val="24"/>
          <w:highlight w:val="none"/>
        </w:rPr>
      </w:pPr>
      <w:r>
        <w:rPr>
          <w:rFonts w:hint="eastAsia" w:ascii="宋体" w:hAnsi="宋体" w:eastAsia="宋体"/>
          <w:sz w:val="24"/>
          <w:highlight w:val="none"/>
          <w:lang w:eastAsia="zh-CN"/>
        </w:rPr>
        <w:t>供应商</w:t>
      </w:r>
      <w:r>
        <w:rPr>
          <w:rFonts w:ascii="宋体" w:hAnsi="宋体" w:eastAsia="宋体"/>
          <w:sz w:val="24"/>
          <w:highlight w:val="none"/>
        </w:rPr>
        <w:t>法定代表人（或授权代表）签字或盖章：</w:t>
      </w:r>
      <w:r>
        <w:rPr>
          <w:rFonts w:ascii="宋体" w:hAnsi="宋体" w:eastAsia="宋体"/>
          <w:sz w:val="24"/>
          <w:highlight w:val="none"/>
          <w:u w:val="single"/>
        </w:rPr>
        <w:t xml:space="preserve">               </w:t>
      </w:r>
    </w:p>
    <w:p w14:paraId="62A2450D">
      <w:pPr>
        <w:spacing w:line="360" w:lineRule="auto"/>
        <w:ind w:firstLine="480" w:firstLineChars="200"/>
        <w:rPr>
          <w:rFonts w:ascii="宋体" w:hAnsi="宋体" w:eastAsia="宋体"/>
          <w:sz w:val="24"/>
          <w:highlight w:val="none"/>
        </w:rPr>
      </w:pPr>
      <w:r>
        <w:rPr>
          <w:rFonts w:ascii="宋体" w:hAnsi="宋体" w:eastAsia="宋体"/>
          <w:sz w:val="24"/>
          <w:highlight w:val="none"/>
        </w:rPr>
        <w:t>日期：</w:t>
      </w:r>
      <w:r>
        <w:rPr>
          <w:rFonts w:ascii="宋体" w:hAnsi="宋体" w:eastAsia="宋体"/>
          <w:sz w:val="24"/>
          <w:highlight w:val="none"/>
          <w:u w:val="single"/>
        </w:rPr>
        <w:t xml:space="preserve">     </w:t>
      </w:r>
      <w:r>
        <w:rPr>
          <w:rFonts w:ascii="宋体" w:hAnsi="宋体" w:eastAsia="宋体"/>
          <w:sz w:val="24"/>
          <w:highlight w:val="none"/>
        </w:rPr>
        <w:t>年</w:t>
      </w:r>
      <w:r>
        <w:rPr>
          <w:rFonts w:ascii="宋体" w:hAnsi="宋体" w:eastAsia="宋体"/>
          <w:sz w:val="24"/>
          <w:highlight w:val="none"/>
          <w:u w:val="single"/>
        </w:rPr>
        <w:t xml:space="preserve">    </w:t>
      </w:r>
      <w:r>
        <w:rPr>
          <w:rFonts w:ascii="宋体" w:hAnsi="宋体" w:eastAsia="宋体"/>
          <w:sz w:val="24"/>
          <w:highlight w:val="none"/>
        </w:rPr>
        <w:t>月</w:t>
      </w:r>
      <w:r>
        <w:rPr>
          <w:rFonts w:ascii="宋体" w:hAnsi="宋体" w:eastAsia="宋体"/>
          <w:sz w:val="24"/>
          <w:highlight w:val="none"/>
          <w:u w:val="single"/>
        </w:rPr>
        <w:t xml:space="preserve">    </w:t>
      </w:r>
      <w:r>
        <w:rPr>
          <w:rFonts w:ascii="宋体" w:hAnsi="宋体" w:eastAsia="宋体"/>
          <w:sz w:val="24"/>
          <w:highlight w:val="none"/>
        </w:rPr>
        <w:t>日</w:t>
      </w:r>
    </w:p>
    <w:p w14:paraId="753CA537">
      <w:pPr>
        <w:rPr>
          <w:rFonts w:hint="eastAsia" w:ascii="Times New Roman" w:hAnsi="Times New Roman" w:eastAsia="宋体"/>
          <w:bCs/>
          <w:sz w:val="24"/>
          <w:szCs w:val="21"/>
          <w:highlight w:val="none"/>
          <w:lang w:val="en-US" w:eastAsia="zh-CN"/>
        </w:rPr>
      </w:pPr>
      <w:bookmarkStart w:id="238" w:name="_Toc169861835"/>
      <w:r>
        <w:rPr>
          <w:rFonts w:hint="eastAsia" w:ascii="Times New Roman" w:hAnsi="Times New Roman" w:eastAsia="宋体"/>
          <w:bCs/>
          <w:sz w:val="24"/>
          <w:szCs w:val="21"/>
          <w:highlight w:val="none"/>
          <w:lang w:val="en-US" w:eastAsia="zh-CN"/>
        </w:rPr>
        <w:br w:type="page"/>
      </w:r>
    </w:p>
    <w:p w14:paraId="6F48A11C">
      <w:pPr>
        <w:pStyle w:val="4"/>
        <w:snapToGrid w:val="0"/>
        <w:spacing w:before="120" w:beforeLines="50" w:after="120" w:afterLines="50" w:line="360" w:lineRule="auto"/>
        <w:jc w:val="center"/>
        <w:rPr>
          <w:rFonts w:ascii="Times New Roman" w:hAnsi="Times New Roman" w:eastAsia="宋体"/>
          <w:bCs/>
          <w:sz w:val="24"/>
          <w:szCs w:val="21"/>
          <w:highlight w:val="none"/>
        </w:rPr>
      </w:pPr>
      <w:r>
        <w:rPr>
          <w:rFonts w:hint="eastAsia" w:ascii="Times New Roman" w:hAnsi="Times New Roman" w:eastAsia="宋体"/>
          <w:bCs/>
          <w:sz w:val="24"/>
          <w:szCs w:val="21"/>
          <w:highlight w:val="none"/>
          <w:lang w:val="en-US" w:eastAsia="zh-CN"/>
        </w:rPr>
        <w:t>六</w:t>
      </w:r>
      <w:r>
        <w:rPr>
          <w:rFonts w:ascii="Times New Roman" w:hAnsi="Times New Roman" w:eastAsia="宋体"/>
          <w:bCs/>
          <w:sz w:val="24"/>
          <w:szCs w:val="21"/>
          <w:highlight w:val="none"/>
        </w:rPr>
        <w:t>、</w:t>
      </w:r>
      <w:bookmarkEnd w:id="225"/>
      <w:bookmarkEnd w:id="226"/>
      <w:bookmarkEnd w:id="227"/>
      <w:bookmarkEnd w:id="228"/>
      <w:bookmarkEnd w:id="229"/>
      <w:bookmarkEnd w:id="230"/>
      <w:bookmarkEnd w:id="231"/>
      <w:bookmarkEnd w:id="232"/>
      <w:bookmarkEnd w:id="233"/>
      <w:bookmarkEnd w:id="234"/>
      <w:bookmarkEnd w:id="235"/>
      <w:bookmarkEnd w:id="236"/>
      <w:r>
        <w:rPr>
          <w:rFonts w:ascii="Times New Roman" w:hAnsi="Times New Roman" w:eastAsia="宋体"/>
          <w:bCs/>
          <w:sz w:val="24"/>
          <w:szCs w:val="21"/>
          <w:highlight w:val="none"/>
        </w:rPr>
        <w:t>响应资格证明书</w:t>
      </w:r>
      <w:bookmarkEnd w:id="238"/>
    </w:p>
    <w:p w14:paraId="32FAE947">
      <w:pPr>
        <w:pStyle w:val="5"/>
        <w:spacing w:line="360" w:lineRule="auto"/>
        <w:ind w:firstLine="0"/>
        <w:rPr>
          <w:rFonts w:ascii="Times New Roman"/>
          <w:sz w:val="24"/>
          <w:szCs w:val="21"/>
          <w:highlight w:val="none"/>
        </w:rPr>
      </w:pPr>
    </w:p>
    <w:p w14:paraId="091D92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eastAsia="宋体"/>
          <w:sz w:val="24"/>
          <w:szCs w:val="21"/>
          <w:highlight w:val="none"/>
        </w:rPr>
      </w:pPr>
      <w:r>
        <w:rPr>
          <w:rFonts w:hint="eastAsia" w:eastAsia="宋体"/>
          <w:sz w:val="24"/>
          <w:szCs w:val="21"/>
          <w:highlight w:val="none"/>
        </w:rPr>
        <w:t>1.有效的《营业执照（副本）》复印件</w:t>
      </w:r>
      <w:r>
        <w:rPr>
          <w:rFonts w:hint="eastAsia" w:eastAsia="宋体"/>
          <w:sz w:val="24"/>
          <w:szCs w:val="21"/>
          <w:highlight w:val="none"/>
          <w:lang w:eastAsia="zh-CN"/>
        </w:rPr>
        <w:t>（</w:t>
      </w:r>
      <w:r>
        <w:rPr>
          <w:rFonts w:hint="eastAsia" w:eastAsia="宋体"/>
          <w:sz w:val="24"/>
          <w:szCs w:val="21"/>
          <w:highlight w:val="none"/>
        </w:rPr>
        <w:t>必须为最新年检版本，并加盖单位公章</w:t>
      </w:r>
      <w:r>
        <w:rPr>
          <w:rFonts w:hint="eastAsia" w:eastAsia="宋体"/>
          <w:sz w:val="24"/>
          <w:szCs w:val="21"/>
          <w:highlight w:val="none"/>
          <w:lang w:eastAsia="zh-CN"/>
        </w:rPr>
        <w:t>，</w:t>
      </w:r>
      <w:r>
        <w:rPr>
          <w:rFonts w:hint="eastAsia" w:eastAsia="宋体"/>
          <w:sz w:val="24"/>
          <w:szCs w:val="21"/>
          <w:highlight w:val="none"/>
        </w:rPr>
        <w:t>确保经营范围与本次采购项目相关</w:t>
      </w:r>
      <w:r>
        <w:rPr>
          <w:rFonts w:hint="eastAsia" w:eastAsia="宋体"/>
          <w:sz w:val="24"/>
          <w:szCs w:val="21"/>
          <w:highlight w:val="none"/>
          <w:lang w:eastAsia="zh-CN"/>
        </w:rPr>
        <w:t>）</w:t>
      </w:r>
      <w:r>
        <w:rPr>
          <w:rFonts w:hint="eastAsia" w:eastAsia="宋体"/>
          <w:sz w:val="24"/>
          <w:szCs w:val="21"/>
          <w:highlight w:val="none"/>
        </w:rPr>
        <w:t> 。</w:t>
      </w:r>
    </w:p>
    <w:p w14:paraId="43E04A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1"/>
          <w:highlight w:val="none"/>
          <w:lang w:eastAsia="zh-CN"/>
        </w:rPr>
      </w:pPr>
      <w:r>
        <w:rPr>
          <w:rFonts w:hint="eastAsia" w:eastAsia="宋体"/>
          <w:sz w:val="24"/>
          <w:szCs w:val="21"/>
          <w:highlight w:val="none"/>
          <w:lang w:val="en-US" w:eastAsia="zh-CN"/>
        </w:rPr>
        <w:t>2</w:t>
      </w:r>
      <w:r>
        <w:rPr>
          <w:rFonts w:hint="eastAsia" w:eastAsia="宋体"/>
          <w:sz w:val="24"/>
          <w:szCs w:val="21"/>
          <w:highlight w:val="none"/>
        </w:rPr>
        <w:t>.《政府采购法》第二十二条规定的证明材</w:t>
      </w:r>
      <w:r>
        <w:rPr>
          <w:rFonts w:hint="eastAsia" w:eastAsia="宋体"/>
          <w:color w:val="auto"/>
          <w:sz w:val="24"/>
          <w:szCs w:val="21"/>
          <w:highlight w:val="none"/>
        </w:rPr>
        <w:t>料</w:t>
      </w:r>
      <w:r>
        <w:rPr>
          <w:rFonts w:hint="eastAsia" w:eastAsia="宋体"/>
          <w:color w:val="auto"/>
          <w:sz w:val="24"/>
          <w:szCs w:val="21"/>
          <w:highlight w:val="none"/>
          <w:lang w:eastAsia="zh-CN"/>
        </w:rPr>
        <w:t>（</w:t>
      </w:r>
      <w:r>
        <w:rPr>
          <w:rFonts w:hint="eastAsia" w:eastAsia="宋体"/>
          <w:color w:val="auto"/>
          <w:sz w:val="24"/>
          <w:szCs w:val="21"/>
          <w:highlight w:val="none"/>
        </w:rPr>
        <w:t>详见第二部分采购需求“二、供应商资格条件”</w:t>
      </w:r>
      <w:r>
        <w:rPr>
          <w:rFonts w:hint="eastAsia" w:eastAsia="宋体"/>
          <w:color w:val="auto"/>
          <w:sz w:val="24"/>
          <w:szCs w:val="21"/>
          <w:highlight w:val="none"/>
          <w:lang w:eastAsia="zh-CN"/>
        </w:rPr>
        <w:t>）。</w:t>
      </w:r>
    </w:p>
    <w:p w14:paraId="41B99C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宋体"/>
          <w:sz w:val="24"/>
          <w:szCs w:val="21"/>
          <w:highlight w:val="none"/>
        </w:rPr>
      </w:pPr>
      <w:r>
        <w:rPr>
          <w:rFonts w:hint="eastAsia" w:eastAsia="宋体"/>
          <w:sz w:val="24"/>
          <w:szCs w:val="21"/>
          <w:highlight w:val="none"/>
          <w:lang w:val="en-US" w:eastAsia="zh-CN"/>
        </w:rPr>
        <w:t>3.</w:t>
      </w:r>
      <w:r>
        <w:rPr>
          <w:rFonts w:hint="eastAsia" w:eastAsia="宋体"/>
          <w:sz w:val="24"/>
          <w:szCs w:val="21"/>
          <w:highlight w:val="none"/>
        </w:rPr>
        <w:t>供应商认为需要的其它资料（此部分为弹性内容，用于展示供应商的额外优势，建议供应商酌情提供）。</w:t>
      </w:r>
    </w:p>
    <w:p w14:paraId="113789B0">
      <w:pPr>
        <w:spacing w:line="360" w:lineRule="auto"/>
        <w:rPr>
          <w:rFonts w:eastAsia="宋体"/>
          <w:sz w:val="24"/>
          <w:szCs w:val="21"/>
          <w:highlight w:val="none"/>
        </w:rPr>
      </w:pPr>
    </w:p>
    <w:p w14:paraId="12EE1ADE">
      <w:pPr>
        <w:spacing w:line="360" w:lineRule="auto"/>
        <w:rPr>
          <w:rFonts w:eastAsia="宋体"/>
          <w:b/>
          <w:bCs/>
          <w:sz w:val="24"/>
          <w:szCs w:val="21"/>
          <w:highlight w:val="none"/>
        </w:rPr>
      </w:pPr>
    </w:p>
    <w:p w14:paraId="4821459C">
      <w:pPr>
        <w:spacing w:line="360" w:lineRule="auto"/>
        <w:rPr>
          <w:rFonts w:eastAsia="宋体"/>
          <w:b/>
          <w:bCs/>
          <w:sz w:val="24"/>
          <w:szCs w:val="21"/>
          <w:highlight w:val="none"/>
        </w:rPr>
      </w:pPr>
      <w:r>
        <w:rPr>
          <w:rFonts w:eastAsia="宋体"/>
          <w:b/>
          <w:bCs/>
          <w:sz w:val="24"/>
          <w:szCs w:val="21"/>
          <w:highlight w:val="none"/>
        </w:rPr>
        <w:t>要求：供应商应当在响应文件中提供以上证书或文件的复印件（复印件加盖公章）。</w:t>
      </w:r>
    </w:p>
    <w:p w14:paraId="61D5EC1A">
      <w:pPr>
        <w:widowControl/>
        <w:spacing w:line="360" w:lineRule="auto"/>
        <w:ind w:firstLine="480" w:firstLineChars="200"/>
        <w:jc w:val="left"/>
        <w:rPr>
          <w:rFonts w:eastAsia="宋体"/>
          <w:bCs/>
          <w:sz w:val="24"/>
          <w:szCs w:val="21"/>
          <w:highlight w:val="none"/>
        </w:rPr>
      </w:pPr>
    </w:p>
    <w:p w14:paraId="36A8F994">
      <w:pPr>
        <w:widowControl/>
        <w:spacing w:line="360" w:lineRule="auto"/>
        <w:ind w:firstLine="480" w:firstLineChars="200"/>
        <w:jc w:val="left"/>
        <w:rPr>
          <w:rFonts w:eastAsia="宋体"/>
          <w:bCs/>
          <w:sz w:val="24"/>
          <w:szCs w:val="21"/>
          <w:highlight w:val="none"/>
        </w:rPr>
      </w:pPr>
    </w:p>
    <w:p w14:paraId="204FD0B9">
      <w:pPr>
        <w:widowControl/>
        <w:spacing w:line="360" w:lineRule="auto"/>
        <w:ind w:firstLine="480" w:firstLineChars="200"/>
        <w:jc w:val="left"/>
        <w:rPr>
          <w:rFonts w:eastAsia="宋体"/>
          <w:bCs/>
          <w:sz w:val="24"/>
          <w:szCs w:val="21"/>
          <w:highlight w:val="none"/>
        </w:rPr>
      </w:pPr>
    </w:p>
    <w:p w14:paraId="6BD26042">
      <w:pPr>
        <w:widowControl/>
        <w:spacing w:line="360" w:lineRule="auto"/>
        <w:ind w:firstLine="480" w:firstLineChars="200"/>
        <w:jc w:val="left"/>
        <w:rPr>
          <w:rFonts w:eastAsia="宋体"/>
          <w:bCs/>
          <w:sz w:val="24"/>
          <w:szCs w:val="21"/>
          <w:highlight w:val="none"/>
        </w:rPr>
      </w:pPr>
    </w:p>
    <w:p w14:paraId="0C659A26">
      <w:pPr>
        <w:widowControl/>
        <w:spacing w:line="360" w:lineRule="auto"/>
        <w:ind w:firstLine="480" w:firstLineChars="200"/>
        <w:jc w:val="left"/>
        <w:rPr>
          <w:rFonts w:eastAsia="宋体"/>
          <w:bCs/>
          <w:sz w:val="24"/>
          <w:szCs w:val="21"/>
          <w:highlight w:val="none"/>
        </w:rPr>
      </w:pPr>
      <w:r>
        <w:rPr>
          <w:rFonts w:hint="eastAsia" w:eastAsia="宋体"/>
          <w:bCs/>
          <w:sz w:val="24"/>
          <w:szCs w:val="21"/>
          <w:highlight w:val="none"/>
        </w:rPr>
        <w:t>供应商名称：</w:t>
      </w:r>
      <w:r>
        <w:rPr>
          <w:rFonts w:hint="eastAsia" w:eastAsia="宋体"/>
          <w:bCs/>
          <w:sz w:val="24"/>
          <w:szCs w:val="21"/>
          <w:highlight w:val="none"/>
          <w:u w:val="single"/>
        </w:rPr>
        <w:t xml:space="preserve">                </w:t>
      </w:r>
      <w:r>
        <w:rPr>
          <w:rFonts w:hint="eastAsia" w:eastAsia="宋体"/>
          <w:bCs/>
          <w:sz w:val="24"/>
          <w:szCs w:val="21"/>
          <w:highlight w:val="none"/>
        </w:rPr>
        <w:t xml:space="preserve">（盖公章） </w:t>
      </w:r>
    </w:p>
    <w:p w14:paraId="05B6F806">
      <w:pPr>
        <w:widowControl/>
        <w:spacing w:line="360" w:lineRule="auto"/>
        <w:ind w:firstLine="480" w:firstLineChars="200"/>
        <w:jc w:val="left"/>
        <w:rPr>
          <w:rFonts w:eastAsia="宋体"/>
          <w:bCs/>
          <w:sz w:val="24"/>
          <w:szCs w:val="21"/>
          <w:highlight w:val="none"/>
        </w:rPr>
      </w:pPr>
      <w:r>
        <w:rPr>
          <w:rFonts w:hint="eastAsia" w:eastAsia="宋体"/>
          <w:bCs/>
          <w:sz w:val="24"/>
          <w:szCs w:val="21"/>
          <w:highlight w:val="none"/>
        </w:rPr>
        <w:t xml:space="preserve">供应商法定代表人（或授权代表）签字或盖章： </w:t>
      </w:r>
      <w:r>
        <w:rPr>
          <w:rFonts w:hint="eastAsia" w:eastAsia="宋体"/>
          <w:bCs/>
          <w:sz w:val="24"/>
          <w:szCs w:val="21"/>
          <w:highlight w:val="none"/>
          <w:u w:val="single"/>
        </w:rPr>
        <w:t xml:space="preserve">              </w:t>
      </w:r>
    </w:p>
    <w:p w14:paraId="42603EBA">
      <w:pPr>
        <w:widowControl/>
        <w:spacing w:line="360" w:lineRule="auto"/>
        <w:ind w:firstLine="480" w:firstLineChars="200"/>
        <w:jc w:val="left"/>
        <w:rPr>
          <w:rFonts w:eastAsia="宋体"/>
          <w:b/>
          <w:sz w:val="24"/>
          <w:szCs w:val="21"/>
          <w:highlight w:val="none"/>
        </w:rPr>
      </w:pPr>
      <w:r>
        <w:rPr>
          <w:rFonts w:hint="eastAsia" w:eastAsia="宋体"/>
          <w:bCs/>
          <w:sz w:val="24"/>
          <w:szCs w:val="21"/>
          <w:highlight w:val="none"/>
        </w:rPr>
        <w:t>日期：</w:t>
      </w:r>
      <w:r>
        <w:rPr>
          <w:rFonts w:hint="eastAsia" w:eastAsia="宋体"/>
          <w:bCs/>
          <w:sz w:val="24"/>
          <w:szCs w:val="21"/>
          <w:highlight w:val="none"/>
          <w:u w:val="single"/>
        </w:rPr>
        <w:t xml:space="preserve">     </w:t>
      </w:r>
      <w:r>
        <w:rPr>
          <w:rFonts w:hint="eastAsia" w:eastAsia="宋体"/>
          <w:bCs/>
          <w:sz w:val="24"/>
          <w:szCs w:val="21"/>
          <w:highlight w:val="none"/>
        </w:rPr>
        <w:t>年</w:t>
      </w:r>
      <w:r>
        <w:rPr>
          <w:rFonts w:hint="eastAsia" w:eastAsia="宋体"/>
          <w:bCs/>
          <w:sz w:val="24"/>
          <w:szCs w:val="21"/>
          <w:highlight w:val="none"/>
          <w:u w:val="single"/>
        </w:rPr>
        <w:t xml:space="preserve">    </w:t>
      </w:r>
      <w:r>
        <w:rPr>
          <w:rFonts w:hint="eastAsia" w:eastAsia="宋体"/>
          <w:bCs/>
          <w:sz w:val="24"/>
          <w:szCs w:val="21"/>
          <w:highlight w:val="none"/>
        </w:rPr>
        <w:t>月</w:t>
      </w:r>
      <w:r>
        <w:rPr>
          <w:rFonts w:hint="eastAsia" w:eastAsia="宋体"/>
          <w:bCs/>
          <w:sz w:val="24"/>
          <w:szCs w:val="21"/>
          <w:highlight w:val="none"/>
          <w:u w:val="single"/>
        </w:rPr>
        <w:t xml:space="preserve">    </w:t>
      </w:r>
      <w:r>
        <w:rPr>
          <w:rFonts w:hint="eastAsia" w:eastAsia="宋体"/>
          <w:bCs/>
          <w:sz w:val="24"/>
          <w:szCs w:val="21"/>
          <w:highlight w:val="none"/>
        </w:rPr>
        <w:t>日</w:t>
      </w:r>
      <w:r>
        <w:rPr>
          <w:rFonts w:eastAsia="宋体"/>
          <w:b/>
          <w:sz w:val="24"/>
          <w:szCs w:val="21"/>
          <w:highlight w:val="none"/>
        </w:rPr>
        <w:br w:type="page"/>
      </w:r>
    </w:p>
    <w:p w14:paraId="3F44381C">
      <w:pPr>
        <w:pStyle w:val="4"/>
        <w:snapToGrid w:val="0"/>
        <w:spacing w:before="120" w:beforeLines="50" w:after="120" w:afterLines="50" w:line="360" w:lineRule="auto"/>
        <w:jc w:val="center"/>
        <w:rPr>
          <w:rFonts w:ascii="Times New Roman" w:hAnsi="Times New Roman" w:eastAsia="宋体"/>
          <w:bCs/>
          <w:sz w:val="24"/>
          <w:szCs w:val="21"/>
          <w:highlight w:val="none"/>
        </w:rPr>
      </w:pPr>
      <w:bookmarkStart w:id="239" w:name="_Toc169861836"/>
      <w:r>
        <w:rPr>
          <w:rFonts w:hint="eastAsia" w:ascii="Times New Roman" w:hAnsi="Times New Roman" w:eastAsia="宋体"/>
          <w:bCs/>
          <w:sz w:val="24"/>
          <w:szCs w:val="21"/>
          <w:highlight w:val="none"/>
          <w:lang w:val="en-US" w:eastAsia="zh-CN"/>
        </w:rPr>
        <w:t>七</w:t>
      </w:r>
      <w:r>
        <w:rPr>
          <w:rFonts w:ascii="Times New Roman" w:hAnsi="Times New Roman" w:eastAsia="宋体"/>
          <w:bCs/>
          <w:sz w:val="24"/>
          <w:szCs w:val="21"/>
          <w:highlight w:val="none"/>
        </w:rPr>
        <w:t>、</w:t>
      </w:r>
      <w:bookmarkEnd w:id="239"/>
      <w:r>
        <w:rPr>
          <w:rFonts w:hint="eastAsia" w:ascii="宋体" w:hAnsi="宋体" w:eastAsia="宋体" w:cs="宋体"/>
          <w:i w:val="0"/>
          <w:iCs w:val="0"/>
          <w:caps w:val="0"/>
          <w:color w:val="222222"/>
          <w:spacing w:val="0"/>
          <w:sz w:val="24"/>
          <w:szCs w:val="24"/>
          <w:highlight w:val="none"/>
          <w:shd w:val="clear" w:fill="FFFFFF"/>
          <w:lang w:val="en-US" w:eastAsia="zh-CN"/>
        </w:rPr>
        <w:t>遴选</w:t>
      </w:r>
      <w:r>
        <w:rPr>
          <w:rFonts w:hint="eastAsia" w:ascii="宋体" w:hAnsi="宋体" w:eastAsia="宋体" w:cs="宋体"/>
          <w:i w:val="0"/>
          <w:iCs w:val="0"/>
          <w:caps w:val="0"/>
          <w:color w:val="222222"/>
          <w:spacing w:val="0"/>
          <w:sz w:val="24"/>
          <w:szCs w:val="24"/>
          <w:highlight w:val="none"/>
          <w:shd w:val="clear" w:fill="FFFFFF"/>
          <w:lang w:eastAsia="zh-CN"/>
        </w:rPr>
        <w:t>响应</w:t>
      </w:r>
      <w:r>
        <w:rPr>
          <w:rFonts w:hint="eastAsia" w:ascii="宋体" w:hAnsi="宋体" w:eastAsia="宋体" w:cs="宋体"/>
          <w:i w:val="0"/>
          <w:iCs w:val="0"/>
          <w:caps w:val="0"/>
          <w:color w:val="222222"/>
          <w:spacing w:val="0"/>
          <w:sz w:val="24"/>
          <w:szCs w:val="24"/>
          <w:highlight w:val="none"/>
          <w:shd w:val="clear" w:fill="FFFFFF"/>
          <w:lang w:val="en-US" w:eastAsia="zh-CN"/>
        </w:rPr>
        <w:t>承诺</w:t>
      </w:r>
      <w:r>
        <w:rPr>
          <w:rFonts w:hint="eastAsia" w:ascii="宋体" w:hAnsi="宋体" w:eastAsia="宋体" w:cs="宋体"/>
          <w:i w:val="0"/>
          <w:iCs w:val="0"/>
          <w:caps w:val="0"/>
          <w:color w:val="222222"/>
          <w:spacing w:val="0"/>
          <w:sz w:val="24"/>
          <w:szCs w:val="24"/>
          <w:highlight w:val="none"/>
          <w:shd w:val="clear" w:fill="FFFFFF"/>
        </w:rPr>
        <w:t>函</w:t>
      </w:r>
    </w:p>
    <w:p w14:paraId="47DD2B5F">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u w:val="single"/>
        </w:rPr>
        <w:t>致开平市中心医院</w:t>
      </w:r>
      <w:r>
        <w:rPr>
          <w:rFonts w:hint="eastAsia" w:ascii="宋体" w:hAnsi="宋体" w:eastAsia="宋体"/>
          <w:sz w:val="24"/>
          <w:szCs w:val="24"/>
          <w:highlight w:val="none"/>
        </w:rPr>
        <w:t>：</w:t>
      </w:r>
    </w:p>
    <w:p w14:paraId="25487284">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本供应商已仔细阅读并全面理解《</w:t>
      </w:r>
      <w:r>
        <w:rPr>
          <w:rFonts w:hint="eastAsia" w:ascii="宋体" w:hAnsi="宋体" w:eastAsia="宋体"/>
          <w:sz w:val="24"/>
          <w:szCs w:val="24"/>
          <w:highlight w:val="none"/>
          <w:lang w:eastAsia="zh-CN"/>
        </w:rPr>
        <w:t>开平市中心医院药剂大楼容灾机房电力输入电缆采购项目</w:t>
      </w:r>
      <w:r>
        <w:rPr>
          <w:rFonts w:hint="eastAsia" w:ascii="宋体" w:hAnsi="宋体" w:eastAsia="宋体"/>
          <w:sz w:val="24"/>
          <w:szCs w:val="24"/>
          <w:highlight w:val="none"/>
        </w:rPr>
        <w:t>遴选文件》的所有内容，自愿参与本项目遴选，现就相关事项郑重承诺如下：</w:t>
      </w:r>
    </w:p>
    <w:p w14:paraId="607CE022">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一、我方承诺在遴选文件规定的服务期限内，严格按照遴选文件、采购合同及相关技术规范的要求，全面履行服务义务，确保</w:t>
      </w:r>
      <w:r>
        <w:rPr>
          <w:rFonts w:hint="eastAsia" w:ascii="宋体" w:hAnsi="宋体" w:eastAsia="宋体"/>
          <w:sz w:val="24"/>
          <w:szCs w:val="24"/>
          <w:highlight w:val="none"/>
          <w:lang w:val="en-US" w:eastAsia="zh-CN"/>
        </w:rPr>
        <w:t>货物、</w:t>
      </w:r>
      <w:r>
        <w:rPr>
          <w:rFonts w:hint="eastAsia" w:ascii="宋体" w:hAnsi="宋体" w:eastAsia="宋体"/>
          <w:sz w:val="24"/>
          <w:szCs w:val="24"/>
          <w:highlight w:val="none"/>
        </w:rPr>
        <w:t>服务质量符合我方</w:t>
      </w:r>
      <w:r>
        <w:rPr>
          <w:rFonts w:hint="eastAsia" w:ascii="宋体" w:hAnsi="宋体" w:eastAsia="宋体"/>
          <w:sz w:val="24"/>
          <w:szCs w:val="24"/>
          <w:highlight w:val="none"/>
          <w:lang w:eastAsia="zh-CN"/>
        </w:rPr>
        <w:t>响应</w:t>
      </w:r>
      <w:r>
        <w:rPr>
          <w:rFonts w:hint="eastAsia" w:ascii="宋体" w:hAnsi="宋体" w:eastAsia="宋体"/>
          <w:sz w:val="24"/>
          <w:szCs w:val="24"/>
          <w:highlight w:val="none"/>
        </w:rPr>
        <w:t>方案承诺并满足遴选文件规定标准，按期完成各项任务。</w:t>
      </w:r>
    </w:p>
    <w:p w14:paraId="06A65509">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二、承诺严格遵守《中华人民共和国政府采购法》等相关法律法规及广东省、江门市有关政府采购的规定，自觉维护公平竞争的采购市场秩序。如有违反，愿接受被取消参与资格及相应处理。</w:t>
      </w:r>
    </w:p>
    <w:p w14:paraId="7D9B5378">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三、保证所提交的全部响应文件内容真实、有效、无误导。如在评审过程中被发现存在虚假信息，同意响应文件被视为无效；如在中标后被查实，同意被取消中标资格，并承担相应法律责任。</w:t>
      </w:r>
    </w:p>
    <w:p w14:paraId="1C587B95">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四、保证响应报价不存在以低于成本价的方式进行恶意竞争的行为。</w:t>
      </w:r>
    </w:p>
    <w:p w14:paraId="7C3472FC">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五、保证在收到中标通知书后，严格按照遴选文件规定的时间及要求与贵院签订合同。如未能履行，愿接受采购人按相关规定作出的处理。</w:t>
      </w:r>
    </w:p>
    <w:p w14:paraId="5B9445EC">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六、保证在合同签订后，严格履行合同约定的全部内容及责任。如未能履行，愿接受采购人按合同约定采取的违约处理措施。</w:t>
      </w:r>
    </w:p>
    <w:p w14:paraId="293A8254">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七、保证中标后不将项目转包，不违规使用挂靠队伍。如确需分包部分辅助性工作，将事先征得采购人书面同意，并遵守有关法律法规要求。</w:t>
      </w:r>
    </w:p>
    <w:p w14:paraId="09F06A79">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八、保证中标后按照遴选文件及</w:t>
      </w:r>
      <w:r>
        <w:rPr>
          <w:rFonts w:hint="eastAsia" w:ascii="宋体" w:hAnsi="宋体" w:eastAsia="宋体"/>
          <w:sz w:val="24"/>
          <w:szCs w:val="24"/>
          <w:highlight w:val="none"/>
          <w:lang w:eastAsia="zh-CN"/>
        </w:rPr>
        <w:t>响应</w:t>
      </w:r>
      <w:r>
        <w:rPr>
          <w:rFonts w:hint="eastAsia" w:ascii="宋体" w:hAnsi="宋体" w:eastAsia="宋体"/>
          <w:sz w:val="24"/>
          <w:szCs w:val="24"/>
          <w:highlight w:val="none"/>
        </w:rPr>
        <w:t>方案承诺，配备符合要求的项目管理人员、养护人员及相应的机械设备，确保服务能力满足项目需要。</w:t>
      </w:r>
    </w:p>
    <w:p w14:paraId="34177973">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九、承诺在合同履行期间积极配合采购人及相关管理单位的工作安排，服从采购人的现场管理与监督。</w:t>
      </w:r>
    </w:p>
    <w:p w14:paraId="2D5555AD">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十、保证在服务过程中如涉及费用调整，将严格依据遴选文件及合同约定的条款执行，绝不于合同签订后恶意提价或增设不合理费用。</w:t>
      </w:r>
    </w:p>
    <w:p w14:paraId="3D4855ED">
      <w:pPr>
        <w:spacing w:line="360" w:lineRule="auto"/>
        <w:ind w:firstLine="480" w:firstLineChars="200"/>
        <w:rPr>
          <w:rFonts w:ascii="宋体" w:hAnsi="宋体" w:eastAsia="宋体"/>
          <w:sz w:val="24"/>
          <w:szCs w:val="24"/>
          <w:highlight w:val="none"/>
        </w:rPr>
      </w:pPr>
    </w:p>
    <w:p w14:paraId="10C2CAEF">
      <w:pPr>
        <w:spacing w:line="360" w:lineRule="auto"/>
        <w:ind w:firstLine="480" w:firstLineChars="200"/>
        <w:rPr>
          <w:rFonts w:ascii="宋体" w:hAnsi="宋体" w:eastAsia="宋体"/>
          <w:sz w:val="24"/>
          <w:highlight w:val="none"/>
        </w:rPr>
      </w:pPr>
    </w:p>
    <w:p w14:paraId="26DF8FA7">
      <w:pPr>
        <w:spacing w:line="360" w:lineRule="auto"/>
        <w:ind w:firstLine="480" w:firstLineChars="200"/>
        <w:rPr>
          <w:rFonts w:ascii="宋体" w:hAnsi="宋体" w:eastAsia="宋体"/>
          <w:sz w:val="24"/>
          <w:highlight w:val="none"/>
        </w:rPr>
      </w:pPr>
      <w:r>
        <w:rPr>
          <w:rFonts w:hint="eastAsia" w:ascii="宋体" w:hAnsi="宋体" w:eastAsia="宋体"/>
          <w:sz w:val="24"/>
          <w:highlight w:val="none"/>
          <w:lang w:eastAsia="zh-CN"/>
        </w:rPr>
        <w:t>供应商</w:t>
      </w:r>
      <w:r>
        <w:rPr>
          <w:rFonts w:ascii="宋体" w:hAnsi="宋体" w:eastAsia="宋体"/>
          <w:sz w:val="24"/>
          <w:highlight w:val="none"/>
        </w:rPr>
        <w:t>名称：</w:t>
      </w:r>
      <w:r>
        <w:rPr>
          <w:rFonts w:ascii="宋体" w:hAnsi="宋体" w:eastAsia="宋体"/>
          <w:sz w:val="24"/>
          <w:highlight w:val="none"/>
          <w:u w:val="single"/>
        </w:rPr>
        <w:t xml:space="preserve">                </w:t>
      </w:r>
      <w:r>
        <w:rPr>
          <w:rFonts w:ascii="宋体" w:hAnsi="宋体" w:eastAsia="宋体"/>
          <w:sz w:val="24"/>
          <w:highlight w:val="none"/>
        </w:rPr>
        <w:t xml:space="preserve">（盖公章） </w:t>
      </w:r>
    </w:p>
    <w:p w14:paraId="0EA3AFD4">
      <w:pPr>
        <w:spacing w:line="360" w:lineRule="auto"/>
        <w:ind w:firstLine="480" w:firstLineChars="200"/>
        <w:rPr>
          <w:rFonts w:ascii="宋体" w:hAnsi="宋体" w:eastAsia="宋体"/>
          <w:sz w:val="24"/>
          <w:highlight w:val="none"/>
        </w:rPr>
      </w:pPr>
      <w:r>
        <w:rPr>
          <w:rFonts w:hint="eastAsia" w:ascii="宋体" w:hAnsi="宋体" w:eastAsia="宋体"/>
          <w:sz w:val="24"/>
          <w:highlight w:val="none"/>
          <w:lang w:eastAsia="zh-CN"/>
        </w:rPr>
        <w:t>供应商</w:t>
      </w:r>
      <w:r>
        <w:rPr>
          <w:rFonts w:ascii="宋体" w:hAnsi="宋体" w:eastAsia="宋体"/>
          <w:sz w:val="24"/>
          <w:highlight w:val="none"/>
        </w:rPr>
        <w:t>法定代表人（或授权代表）签字或盖章：</w:t>
      </w:r>
      <w:r>
        <w:rPr>
          <w:rFonts w:ascii="宋体" w:hAnsi="宋体" w:eastAsia="宋体"/>
          <w:sz w:val="24"/>
          <w:highlight w:val="none"/>
          <w:u w:val="single"/>
        </w:rPr>
        <w:t xml:space="preserve">               </w:t>
      </w:r>
    </w:p>
    <w:p w14:paraId="37B16FF4">
      <w:pPr>
        <w:spacing w:line="360" w:lineRule="auto"/>
        <w:ind w:firstLine="480" w:firstLineChars="200"/>
        <w:rPr>
          <w:rFonts w:ascii="宋体" w:hAnsi="宋体" w:eastAsia="宋体"/>
          <w:sz w:val="24"/>
          <w:highlight w:val="none"/>
        </w:rPr>
      </w:pPr>
      <w:r>
        <w:rPr>
          <w:rFonts w:ascii="宋体" w:hAnsi="宋体" w:eastAsia="宋体"/>
          <w:sz w:val="24"/>
          <w:highlight w:val="none"/>
        </w:rPr>
        <w:t>日期：</w:t>
      </w:r>
      <w:r>
        <w:rPr>
          <w:rFonts w:ascii="宋体" w:hAnsi="宋体" w:eastAsia="宋体"/>
          <w:sz w:val="24"/>
          <w:highlight w:val="none"/>
          <w:u w:val="single"/>
        </w:rPr>
        <w:t xml:space="preserve">     </w:t>
      </w:r>
      <w:r>
        <w:rPr>
          <w:rFonts w:ascii="宋体" w:hAnsi="宋体" w:eastAsia="宋体"/>
          <w:sz w:val="24"/>
          <w:highlight w:val="none"/>
        </w:rPr>
        <w:t>年</w:t>
      </w:r>
      <w:r>
        <w:rPr>
          <w:rFonts w:ascii="宋体" w:hAnsi="宋体" w:eastAsia="宋体"/>
          <w:sz w:val="24"/>
          <w:highlight w:val="none"/>
          <w:u w:val="single"/>
        </w:rPr>
        <w:t xml:space="preserve">    </w:t>
      </w:r>
      <w:r>
        <w:rPr>
          <w:rFonts w:ascii="宋体" w:hAnsi="宋体" w:eastAsia="宋体"/>
          <w:sz w:val="24"/>
          <w:highlight w:val="none"/>
        </w:rPr>
        <w:t>月</w:t>
      </w:r>
      <w:r>
        <w:rPr>
          <w:rFonts w:ascii="宋体" w:hAnsi="宋体" w:eastAsia="宋体"/>
          <w:sz w:val="24"/>
          <w:highlight w:val="none"/>
          <w:u w:val="single"/>
        </w:rPr>
        <w:t xml:space="preserve">    </w:t>
      </w:r>
      <w:r>
        <w:rPr>
          <w:rFonts w:ascii="宋体" w:hAnsi="宋体" w:eastAsia="宋体"/>
          <w:sz w:val="24"/>
          <w:highlight w:val="none"/>
        </w:rPr>
        <w:t>日</w:t>
      </w:r>
    </w:p>
    <w:p w14:paraId="2FA67093">
      <w:pPr>
        <w:widowControl/>
        <w:jc w:val="left"/>
        <w:rPr>
          <w:rFonts w:ascii="宋体" w:eastAsia="宋体" w:cs="宋体"/>
          <w:kern w:val="0"/>
          <w:sz w:val="22"/>
          <w:szCs w:val="22"/>
          <w:highlight w:val="none"/>
        </w:rPr>
      </w:pPr>
    </w:p>
    <w:sectPr>
      <w:headerReference r:id="rId7" w:type="first"/>
      <w:footerReference r:id="rId9" w:type="first"/>
      <w:headerReference r:id="rId6" w:type="default"/>
      <w:footerReference r:id="rId8" w:type="default"/>
      <w:pgSz w:w="11926" w:h="16867"/>
      <w:pgMar w:top="1440" w:right="1797" w:bottom="1440" w:left="1797" w:header="720" w:footer="720" w:gutter="0"/>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DejaVuSans">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E7009">
    <w:pPr>
      <w:pStyle w:val="28"/>
      <w:ind w:right="180" w:firstLine="4320" w:firstLineChars="240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6871">
    <w:pPr>
      <w:pStyle w:val="28"/>
      <w:framePr w:w="8359" w:h="616" w:hRule="exact" w:wrap="around" w:vAnchor="text" w:hAnchor="page" w:x="1798" w:y="-52"/>
      <w:tabs>
        <w:tab w:val="left" w:pos="9027"/>
      </w:tabs>
      <w:ind w:right="-18"/>
    </w:pPr>
    <w:r>
      <w:rPr>
        <w:rStyle w:val="46"/>
        <w:rFonts w:hint="eastAsia"/>
        <w:szCs w:val="21"/>
        <w:lang w:val="en-US" w:eastAsia="zh-CN"/>
      </w:rPr>
      <w:t>开平市中心医院</w:t>
    </w:r>
    <w:r>
      <w:rPr>
        <w:rStyle w:val="46"/>
        <w:rFonts w:hint="eastAsia"/>
        <w:szCs w:val="21"/>
      </w:rPr>
      <w:t xml:space="preserve">                                           </w:t>
    </w:r>
    <w:r>
      <w:rPr>
        <w:rStyle w:val="46"/>
        <w:szCs w:val="21"/>
      </w:rPr>
      <w:t xml:space="preserve">        </w:t>
    </w:r>
    <w:r>
      <w:rPr>
        <w:rStyle w:val="46"/>
        <w:rFonts w:hint="eastAsia"/>
        <w:szCs w:val="21"/>
        <w:lang w:val="en-US" w:eastAsia="zh-CN"/>
      </w:rPr>
      <w:t xml:space="preserve">                   </w:t>
    </w:r>
    <w:r>
      <w:rPr>
        <w:rStyle w:val="46"/>
        <w:rFonts w:hint="eastAsia"/>
        <w:szCs w:val="21"/>
      </w:rPr>
      <w:t xml:space="preserve">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27</w:t>
    </w:r>
    <w:r>
      <w:rPr>
        <w:szCs w:val="21"/>
      </w:rPr>
      <w:fldChar w:fldCharType="end"/>
    </w:r>
    <w:r>
      <w:rPr>
        <w:rStyle w:val="46"/>
        <w:rFonts w:hint="eastAsia"/>
        <w:szCs w:val="21"/>
      </w:rPr>
      <w:t xml:space="preserve"> 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2D46C">
    <w:pPr>
      <w:pStyle w:val="28"/>
      <w:tabs>
        <w:tab w:val="left" w:pos="9027"/>
      </w:tabs>
      <w:ind w:right="-18"/>
      <w:rPr>
        <w:rStyle w:val="46"/>
        <w:szCs w:val="21"/>
      </w:rPr>
    </w:pPr>
    <w:r>
      <w:rPr>
        <w:rStyle w:val="46"/>
        <w:rFonts w:hint="eastAsia"/>
        <w:szCs w:val="21"/>
      </w:rPr>
      <w:t xml:space="preserve">                                                                     </w:t>
    </w:r>
  </w:p>
  <w:p w14:paraId="133AB148">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45BE6D84">
    <w:pPr>
      <w:rPr>
        <w:rStyle w:val="46"/>
        <w:szCs w:val="21"/>
      </w:rPr>
    </w:pPr>
  </w:p>
  <w:p w14:paraId="5A20F8C4">
    <w:pPr>
      <w:rPr>
        <w:rStyle w:val="46"/>
        <w:szCs w:val="21"/>
      </w:rPr>
    </w:pPr>
  </w:p>
  <w:p w14:paraId="3916DA04">
    <w:pPr>
      <w:rPr>
        <w:rStyle w:val="46"/>
        <w:szCs w:val="21"/>
      </w:rPr>
    </w:pPr>
  </w:p>
  <w:p w14:paraId="639606B4">
    <w:pPr>
      <w:rPr>
        <w:rStyle w:val="46"/>
        <w:szCs w:val="21"/>
      </w:rPr>
    </w:pPr>
  </w:p>
  <w:p w14:paraId="4B0EF27E">
    <w:pPr>
      <w:rPr>
        <w:rStyle w:val="46"/>
        <w:szCs w:val="21"/>
      </w:rPr>
    </w:pPr>
  </w:p>
  <w:p w14:paraId="6796415F">
    <w:pPr>
      <w:rPr>
        <w:rStyle w:val="46"/>
        <w:szCs w:val="21"/>
      </w:rPr>
    </w:pPr>
  </w:p>
  <w:p w14:paraId="2247BFA9">
    <w:pPr>
      <w:rPr>
        <w:rStyle w:val="46"/>
        <w:szCs w:val="21"/>
      </w:rPr>
    </w:pPr>
  </w:p>
  <w:p w14:paraId="6956A92F">
    <w:pPr>
      <w:rPr>
        <w:rStyle w:val="46"/>
        <w:szCs w:val="21"/>
      </w:rPr>
    </w:pPr>
  </w:p>
  <w:p w14:paraId="7FFE3B74">
    <w:pPr>
      <w:rPr>
        <w:rStyle w:val="46"/>
        <w:szCs w:val="21"/>
      </w:rPr>
    </w:pPr>
  </w:p>
  <w:p w14:paraId="3BCDEB53"/>
  <w:p w14:paraId="12E145F1"/>
  <w:p w14:paraId="59310303"/>
  <w:p w14:paraId="5CA03DA6"/>
  <w:p w14:paraId="31C642DE"/>
  <w:p w14:paraId="2B8795F7"/>
  <w:p w14:paraId="2A0C968A"/>
  <w:p w14:paraId="65EA117B"/>
  <w:p w14:paraId="28A57C7E"/>
  <w:p w14:paraId="17DB128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83BC7">
    <w:pPr>
      <w:pStyle w:val="29"/>
      <w:rPr>
        <w:rFonts w:hint="eastAsia" w:eastAsia="宋体"/>
        <w:lang w:eastAsia="zh-CN"/>
      </w:rPr>
    </w:pPr>
    <w:r>
      <w:rPr>
        <w:rFonts w:hint="eastAsia" w:ascii="华文新魏" w:hAnsi="华文新魏" w:eastAsia="华文新魏" w:cs="华文新魏"/>
        <w:b/>
        <w:bCs/>
        <w:sz w:val="20"/>
        <w:szCs w:val="20"/>
        <w:lang w:eastAsia="zh-CN"/>
      </w:rPr>
      <w:t>开平市中心医院药剂大楼容灾机房电力输入电缆采购项目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E76F4">
    <w:pPr>
      <w:pStyle w:val="29"/>
      <w:rPr>
        <w:rFonts w:hint="eastAsia" w:ascii="宋体" w:hAnsi="宋体" w:eastAsia="宋体" w:cs="宋体"/>
        <w:b/>
        <w:bCs/>
        <w:sz w:val="20"/>
        <w:szCs w:val="20"/>
        <w:lang w:eastAsia="zh-CN"/>
      </w:rPr>
    </w:pPr>
    <w:r>
      <w:rPr>
        <w:rFonts w:hint="eastAsia" w:hAnsi="宋体" w:cs="宋体"/>
        <w:b/>
        <w:bCs/>
        <w:sz w:val="20"/>
        <w:szCs w:val="20"/>
        <w:lang w:eastAsia="zh-CN"/>
      </w:rPr>
      <w:t>开平市中心医院药剂大楼容灾机房电力输入电缆采购项目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F33C0">
    <w:pPr>
      <w:ind w:left="7560" w:hanging="7560" w:hangingChars="4200"/>
      <w:jc w:val="left"/>
    </w:pPr>
    <w:r>
      <w:rPr>
        <w:rFonts w:hint="eastAsia" w:ascii="宋体" w:hAnsi="宋体" w:eastAsia="宋体"/>
        <w:sz w:val="18"/>
        <w:szCs w:val="18"/>
      </w:rPr>
      <w:t>项目名称：</w:t>
    </w:r>
    <w:r>
      <w:rPr>
        <w:rFonts w:hint="eastAsia" w:ascii="宋体" w:hAnsi="宋体" w:eastAsia="宋体"/>
        <w:sz w:val="18"/>
        <w:szCs w:val="18"/>
        <w:lang w:eastAsia="zh-CN"/>
      </w:rPr>
      <w:t>开平市中心医院药剂大楼容灾机房电力输入电缆采购项目</w:t>
    </w:r>
    <w:r>
      <w:rPr>
        <w:rFonts w:ascii="宋体" w:hAnsi="宋体" w:eastAsia="宋体"/>
        <w:sz w:val="18"/>
        <w:szCs w:val="18"/>
      </w:rPr>
      <w:t xml:space="preserve">                </w:t>
    </w:r>
    <w:r>
      <w:rPr>
        <w:rFonts w:hint="eastAsia" w:ascii="宋体" w:hAnsi="宋体" w:eastAsia="宋体"/>
        <w:sz w:val="18"/>
        <w:szCs w:val="18"/>
      </w:rPr>
      <w:t xml:space="preserve">         </w:t>
    </w:r>
    <w:r>
      <w:rPr>
        <w:rFonts w:hint="eastAsia" w:ascii="宋体" w:hAnsi="宋体" w:eastAsia="宋体"/>
        <w:sz w:val="18"/>
        <w:szCs w:val="18"/>
        <w:lang w:eastAsia="zh-CN"/>
      </w:rPr>
      <w:t>遴选</w:t>
    </w:r>
    <w:r>
      <w:rPr>
        <w:rFonts w:hint="eastAsia" w:ascii="宋体" w:hAnsi="宋体" w:eastAsia="宋体"/>
        <w:sz w:val="18"/>
        <w:szCs w:val="18"/>
      </w:rPr>
      <w:t>文件</w:t>
    </w:r>
    <w:r>
      <w:rPr>
        <w:rFonts w:ascii="宋体" w:hAnsi="宋体" w:eastAsia="宋体"/>
        <w:sz w:val="18"/>
        <w:szCs w:val="18"/>
      </w:rPr>
      <w:t xml:space="preserve">                                                 </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6F610">
    <w:pPr>
      <w:pStyle w:val="29"/>
    </w:pPr>
    <w:r>
      <w:rPr>
        <w:rFonts w:hint="eastAsia" w:hAnsi="宋体"/>
        <w:szCs w:val="21"/>
      </w:rPr>
      <w:t>采购编号：KPCG2019-000 赤坎新区技术审查与开发咨询服务                     竞争性</w:t>
    </w:r>
    <w:r>
      <w:rPr>
        <w:rFonts w:hint="eastAsia" w:hAnsi="宋体"/>
        <w:szCs w:val="21"/>
        <w:lang w:eastAsia="zh-CN"/>
      </w:rPr>
      <w:t>遴选</w:t>
    </w:r>
    <w:r>
      <w:rPr>
        <w:rFonts w:hint="eastAsia" w:hAnsi="宋体"/>
        <w:szCs w:val="21"/>
      </w:rPr>
      <w:t>文件</w:t>
    </w:r>
  </w:p>
  <w:p w14:paraId="7377C1F7"/>
  <w:p w14:paraId="634F6C0C"/>
  <w:p w14:paraId="7B5A19E4"/>
  <w:p w14:paraId="695FB715"/>
  <w:p w14:paraId="57AB34CE"/>
  <w:p w14:paraId="3E1AFF1E"/>
  <w:p w14:paraId="4AEDC68E"/>
  <w:p w14:paraId="07E5A22F"/>
  <w:p w14:paraId="3E5B92D4"/>
  <w:p w14:paraId="74D70766"/>
  <w:p w14:paraId="765F01A7"/>
  <w:p w14:paraId="36DD6BE1"/>
  <w:p w14:paraId="555BA99F"/>
  <w:p w14:paraId="5C842B36"/>
  <w:p w14:paraId="4F5796D8"/>
  <w:p w14:paraId="4B6E10CD"/>
  <w:p w14:paraId="088DA088"/>
  <w:p w14:paraId="3EE15D5C"/>
  <w:p w14:paraId="588297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wMTcyZDMzMzZiOTcwOTQxNjIwMWI4NzFlYTFmMzU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6124"/>
    <w:rsid w:val="0004630C"/>
    <w:rsid w:val="00046E87"/>
    <w:rsid w:val="00046F8B"/>
    <w:rsid w:val="00050493"/>
    <w:rsid w:val="00050DD6"/>
    <w:rsid w:val="00050E8F"/>
    <w:rsid w:val="00050F0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4B8"/>
    <w:rsid w:val="001E5196"/>
    <w:rsid w:val="001E5216"/>
    <w:rsid w:val="001E5956"/>
    <w:rsid w:val="001E659F"/>
    <w:rsid w:val="001E65E5"/>
    <w:rsid w:val="001E68C6"/>
    <w:rsid w:val="001E6F60"/>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10AD"/>
    <w:rsid w:val="0029148E"/>
    <w:rsid w:val="00291808"/>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EF"/>
    <w:rsid w:val="002C4705"/>
    <w:rsid w:val="002C5734"/>
    <w:rsid w:val="002C6512"/>
    <w:rsid w:val="002C7A7C"/>
    <w:rsid w:val="002C7AD2"/>
    <w:rsid w:val="002D0954"/>
    <w:rsid w:val="002D23CA"/>
    <w:rsid w:val="002D262A"/>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C02"/>
    <w:rsid w:val="004C4E07"/>
    <w:rsid w:val="004C528C"/>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4390"/>
    <w:rsid w:val="006846C4"/>
    <w:rsid w:val="00685DBF"/>
    <w:rsid w:val="0068650D"/>
    <w:rsid w:val="00686871"/>
    <w:rsid w:val="00686D8E"/>
    <w:rsid w:val="006876B6"/>
    <w:rsid w:val="00687C0A"/>
    <w:rsid w:val="006900C7"/>
    <w:rsid w:val="00690400"/>
    <w:rsid w:val="00690675"/>
    <w:rsid w:val="00690777"/>
    <w:rsid w:val="00690F2D"/>
    <w:rsid w:val="0069129D"/>
    <w:rsid w:val="00691DE5"/>
    <w:rsid w:val="00692459"/>
    <w:rsid w:val="006928B3"/>
    <w:rsid w:val="00692D8C"/>
    <w:rsid w:val="00692EBE"/>
    <w:rsid w:val="006935BA"/>
    <w:rsid w:val="006940EA"/>
    <w:rsid w:val="00694DF7"/>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E04CC"/>
    <w:rsid w:val="006E0AEC"/>
    <w:rsid w:val="006E0C0C"/>
    <w:rsid w:val="006E0EBA"/>
    <w:rsid w:val="006E12A7"/>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8C"/>
    <w:rsid w:val="007574CB"/>
    <w:rsid w:val="007574E1"/>
    <w:rsid w:val="00757683"/>
    <w:rsid w:val="0075768D"/>
    <w:rsid w:val="00757B6A"/>
    <w:rsid w:val="007605EE"/>
    <w:rsid w:val="00760945"/>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F88"/>
    <w:rsid w:val="007E1118"/>
    <w:rsid w:val="007E1652"/>
    <w:rsid w:val="007E1AD9"/>
    <w:rsid w:val="007E1D98"/>
    <w:rsid w:val="007E2E14"/>
    <w:rsid w:val="007E402B"/>
    <w:rsid w:val="007E47CF"/>
    <w:rsid w:val="007E5701"/>
    <w:rsid w:val="007E5BE1"/>
    <w:rsid w:val="007E6585"/>
    <w:rsid w:val="007E67D7"/>
    <w:rsid w:val="007E77FA"/>
    <w:rsid w:val="007E7AC1"/>
    <w:rsid w:val="007F0474"/>
    <w:rsid w:val="007F0D11"/>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734"/>
    <w:rsid w:val="00850B71"/>
    <w:rsid w:val="00850F2D"/>
    <w:rsid w:val="008511DC"/>
    <w:rsid w:val="00851221"/>
    <w:rsid w:val="008514F5"/>
    <w:rsid w:val="0085238F"/>
    <w:rsid w:val="0085294C"/>
    <w:rsid w:val="0085367C"/>
    <w:rsid w:val="0085393F"/>
    <w:rsid w:val="00853A17"/>
    <w:rsid w:val="00853B6D"/>
    <w:rsid w:val="00853EB5"/>
    <w:rsid w:val="00854DF9"/>
    <w:rsid w:val="00854F47"/>
    <w:rsid w:val="0085538C"/>
    <w:rsid w:val="00855539"/>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9CD"/>
    <w:rsid w:val="008C2C4B"/>
    <w:rsid w:val="008C35D0"/>
    <w:rsid w:val="008C39DC"/>
    <w:rsid w:val="008C4590"/>
    <w:rsid w:val="008C4699"/>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7B4"/>
    <w:rsid w:val="008F7ED0"/>
    <w:rsid w:val="008F7FFC"/>
    <w:rsid w:val="00900206"/>
    <w:rsid w:val="0090059B"/>
    <w:rsid w:val="00900976"/>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149"/>
    <w:rsid w:val="00913636"/>
    <w:rsid w:val="00913B76"/>
    <w:rsid w:val="00913D0F"/>
    <w:rsid w:val="00914487"/>
    <w:rsid w:val="0091467A"/>
    <w:rsid w:val="00915077"/>
    <w:rsid w:val="00915B9A"/>
    <w:rsid w:val="00916344"/>
    <w:rsid w:val="009168E4"/>
    <w:rsid w:val="00917CD9"/>
    <w:rsid w:val="00921BAD"/>
    <w:rsid w:val="00921F58"/>
    <w:rsid w:val="0092246B"/>
    <w:rsid w:val="0092259D"/>
    <w:rsid w:val="0092479B"/>
    <w:rsid w:val="0092542B"/>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6C54"/>
    <w:rsid w:val="009C6D5A"/>
    <w:rsid w:val="009C70FB"/>
    <w:rsid w:val="009D0D3F"/>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90C"/>
    <w:rsid w:val="009E56A9"/>
    <w:rsid w:val="009E5813"/>
    <w:rsid w:val="009E689E"/>
    <w:rsid w:val="009E6B8F"/>
    <w:rsid w:val="009E70FC"/>
    <w:rsid w:val="009E7482"/>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E8"/>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774"/>
    <w:rsid w:val="00B10DE3"/>
    <w:rsid w:val="00B1140D"/>
    <w:rsid w:val="00B11760"/>
    <w:rsid w:val="00B11BD7"/>
    <w:rsid w:val="00B11CA4"/>
    <w:rsid w:val="00B124BF"/>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1260"/>
    <w:rsid w:val="00B41792"/>
    <w:rsid w:val="00B41AEF"/>
    <w:rsid w:val="00B4222E"/>
    <w:rsid w:val="00B423B2"/>
    <w:rsid w:val="00B4259A"/>
    <w:rsid w:val="00B42D11"/>
    <w:rsid w:val="00B436A5"/>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23D3"/>
    <w:rsid w:val="00CA23ED"/>
    <w:rsid w:val="00CA2418"/>
    <w:rsid w:val="00CA349F"/>
    <w:rsid w:val="00CA3B9D"/>
    <w:rsid w:val="00CA3BE0"/>
    <w:rsid w:val="00CA3BFD"/>
    <w:rsid w:val="00CA427F"/>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6B04"/>
    <w:rsid w:val="00DF7AEE"/>
    <w:rsid w:val="00E0024E"/>
    <w:rsid w:val="00E00AC4"/>
    <w:rsid w:val="00E00F49"/>
    <w:rsid w:val="00E01BEC"/>
    <w:rsid w:val="00E01E37"/>
    <w:rsid w:val="00E01EDB"/>
    <w:rsid w:val="00E0229C"/>
    <w:rsid w:val="00E0265D"/>
    <w:rsid w:val="00E02B2C"/>
    <w:rsid w:val="00E02BA7"/>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973"/>
    <w:rsid w:val="00E27DE6"/>
    <w:rsid w:val="00E30491"/>
    <w:rsid w:val="00E306C3"/>
    <w:rsid w:val="00E31719"/>
    <w:rsid w:val="00E3177F"/>
    <w:rsid w:val="00E318D0"/>
    <w:rsid w:val="00E322FC"/>
    <w:rsid w:val="00E32779"/>
    <w:rsid w:val="00E32C80"/>
    <w:rsid w:val="00E32D39"/>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722"/>
    <w:rsid w:val="00E66371"/>
    <w:rsid w:val="00E663D1"/>
    <w:rsid w:val="00E67141"/>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D89"/>
    <w:rsid w:val="00F4350D"/>
    <w:rsid w:val="00F4365B"/>
    <w:rsid w:val="00F436A5"/>
    <w:rsid w:val="00F43D7A"/>
    <w:rsid w:val="00F43E43"/>
    <w:rsid w:val="00F43FAC"/>
    <w:rsid w:val="00F440F4"/>
    <w:rsid w:val="00F44135"/>
    <w:rsid w:val="00F44DEB"/>
    <w:rsid w:val="00F45722"/>
    <w:rsid w:val="00F45C20"/>
    <w:rsid w:val="00F45E8D"/>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72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20B5"/>
    <w:rsid w:val="00F920B6"/>
    <w:rsid w:val="00F92352"/>
    <w:rsid w:val="00F92758"/>
    <w:rsid w:val="00F92BB8"/>
    <w:rsid w:val="00F92CFD"/>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6244"/>
    <w:rsid w:val="00FF635A"/>
    <w:rsid w:val="00FF6664"/>
    <w:rsid w:val="00FF678F"/>
    <w:rsid w:val="00FF6BE5"/>
    <w:rsid w:val="00FF77D5"/>
    <w:rsid w:val="00FF7950"/>
    <w:rsid w:val="01EC6D10"/>
    <w:rsid w:val="022C2D56"/>
    <w:rsid w:val="026C21F1"/>
    <w:rsid w:val="03A1132C"/>
    <w:rsid w:val="04C30FCC"/>
    <w:rsid w:val="04D94D82"/>
    <w:rsid w:val="04F031FB"/>
    <w:rsid w:val="051554AC"/>
    <w:rsid w:val="05D4309B"/>
    <w:rsid w:val="06641DBB"/>
    <w:rsid w:val="07456CFC"/>
    <w:rsid w:val="0750067A"/>
    <w:rsid w:val="07685361"/>
    <w:rsid w:val="07EF6B13"/>
    <w:rsid w:val="08181F45"/>
    <w:rsid w:val="083A3F7E"/>
    <w:rsid w:val="09354491"/>
    <w:rsid w:val="0B2E5519"/>
    <w:rsid w:val="0B52745A"/>
    <w:rsid w:val="0BBE7E63"/>
    <w:rsid w:val="0C651FA7"/>
    <w:rsid w:val="0F720C87"/>
    <w:rsid w:val="0F7D59F6"/>
    <w:rsid w:val="0FA74CC0"/>
    <w:rsid w:val="0FFD70A8"/>
    <w:rsid w:val="10B10FD7"/>
    <w:rsid w:val="10D43347"/>
    <w:rsid w:val="11B5604C"/>
    <w:rsid w:val="121C67E5"/>
    <w:rsid w:val="125F0C79"/>
    <w:rsid w:val="13252204"/>
    <w:rsid w:val="13B95037"/>
    <w:rsid w:val="14661880"/>
    <w:rsid w:val="1486216C"/>
    <w:rsid w:val="154811A8"/>
    <w:rsid w:val="154F67B8"/>
    <w:rsid w:val="15FB1C74"/>
    <w:rsid w:val="16432DB1"/>
    <w:rsid w:val="16A11B14"/>
    <w:rsid w:val="173076A5"/>
    <w:rsid w:val="18540B58"/>
    <w:rsid w:val="19120228"/>
    <w:rsid w:val="191D51C7"/>
    <w:rsid w:val="194D51B6"/>
    <w:rsid w:val="1A1A7F48"/>
    <w:rsid w:val="1B1E1754"/>
    <w:rsid w:val="1B3C1DD8"/>
    <w:rsid w:val="1C024584"/>
    <w:rsid w:val="1C22302A"/>
    <w:rsid w:val="1D8614B0"/>
    <w:rsid w:val="1E177425"/>
    <w:rsid w:val="1EA26D96"/>
    <w:rsid w:val="1F29350C"/>
    <w:rsid w:val="204563CC"/>
    <w:rsid w:val="21876CFE"/>
    <w:rsid w:val="21B90060"/>
    <w:rsid w:val="239E1A70"/>
    <w:rsid w:val="23FB7914"/>
    <w:rsid w:val="2459377B"/>
    <w:rsid w:val="24BB499E"/>
    <w:rsid w:val="24CA0A5A"/>
    <w:rsid w:val="24D41DB5"/>
    <w:rsid w:val="2640774A"/>
    <w:rsid w:val="264C077C"/>
    <w:rsid w:val="268D51D4"/>
    <w:rsid w:val="26A72A02"/>
    <w:rsid w:val="28765F22"/>
    <w:rsid w:val="289363DE"/>
    <w:rsid w:val="28EA443D"/>
    <w:rsid w:val="29042D2C"/>
    <w:rsid w:val="2AE46658"/>
    <w:rsid w:val="2B5E72FD"/>
    <w:rsid w:val="2B6333FB"/>
    <w:rsid w:val="2B671526"/>
    <w:rsid w:val="2BCF782F"/>
    <w:rsid w:val="2BE97B66"/>
    <w:rsid w:val="2C2810F3"/>
    <w:rsid w:val="2CC74842"/>
    <w:rsid w:val="2E544B59"/>
    <w:rsid w:val="2E5A3C96"/>
    <w:rsid w:val="2F4D1B86"/>
    <w:rsid w:val="2F511A30"/>
    <w:rsid w:val="2F661AAD"/>
    <w:rsid w:val="2F8C7F5C"/>
    <w:rsid w:val="2FA172E8"/>
    <w:rsid w:val="2FB2501E"/>
    <w:rsid w:val="2FE91ED3"/>
    <w:rsid w:val="302347D1"/>
    <w:rsid w:val="32147DC4"/>
    <w:rsid w:val="325119CA"/>
    <w:rsid w:val="32B1065A"/>
    <w:rsid w:val="32F52933"/>
    <w:rsid w:val="33E645DC"/>
    <w:rsid w:val="346F60D7"/>
    <w:rsid w:val="34C374AD"/>
    <w:rsid w:val="353C45ED"/>
    <w:rsid w:val="35616529"/>
    <w:rsid w:val="357905BC"/>
    <w:rsid w:val="35FD12B2"/>
    <w:rsid w:val="36870A2A"/>
    <w:rsid w:val="370C56F3"/>
    <w:rsid w:val="373874DE"/>
    <w:rsid w:val="37533F2C"/>
    <w:rsid w:val="37904D56"/>
    <w:rsid w:val="37F124D5"/>
    <w:rsid w:val="38415FDC"/>
    <w:rsid w:val="396B6CAD"/>
    <w:rsid w:val="39F723CF"/>
    <w:rsid w:val="3A33053B"/>
    <w:rsid w:val="3B0864E3"/>
    <w:rsid w:val="3BF15228"/>
    <w:rsid w:val="3C21710D"/>
    <w:rsid w:val="3CEA39E9"/>
    <w:rsid w:val="3D400BA9"/>
    <w:rsid w:val="3D90464A"/>
    <w:rsid w:val="3DF95A66"/>
    <w:rsid w:val="3E4B6A9B"/>
    <w:rsid w:val="3EB428B0"/>
    <w:rsid w:val="3F18476C"/>
    <w:rsid w:val="40546F2B"/>
    <w:rsid w:val="40A85AB9"/>
    <w:rsid w:val="41146211"/>
    <w:rsid w:val="41582E49"/>
    <w:rsid w:val="418D7D70"/>
    <w:rsid w:val="42EA0B36"/>
    <w:rsid w:val="433F5D44"/>
    <w:rsid w:val="434D3A87"/>
    <w:rsid w:val="43E550B8"/>
    <w:rsid w:val="44B553BD"/>
    <w:rsid w:val="457B3CD9"/>
    <w:rsid w:val="45BB0E6F"/>
    <w:rsid w:val="45BF09A2"/>
    <w:rsid w:val="45CE4D6D"/>
    <w:rsid w:val="45D81D34"/>
    <w:rsid w:val="45EB1BE1"/>
    <w:rsid w:val="465667F3"/>
    <w:rsid w:val="467A7452"/>
    <w:rsid w:val="46F77786"/>
    <w:rsid w:val="47F6572F"/>
    <w:rsid w:val="484315B6"/>
    <w:rsid w:val="48706FFB"/>
    <w:rsid w:val="48A05DF7"/>
    <w:rsid w:val="48C8585F"/>
    <w:rsid w:val="49940732"/>
    <w:rsid w:val="49BD1AEC"/>
    <w:rsid w:val="4A646777"/>
    <w:rsid w:val="4A6718D3"/>
    <w:rsid w:val="4A880DD3"/>
    <w:rsid w:val="4CED5EF8"/>
    <w:rsid w:val="4E055E8C"/>
    <w:rsid w:val="4E424C37"/>
    <w:rsid w:val="4F370285"/>
    <w:rsid w:val="4F3F76F2"/>
    <w:rsid w:val="4FAD07BD"/>
    <w:rsid w:val="4FDE15F3"/>
    <w:rsid w:val="50190C29"/>
    <w:rsid w:val="504E03B2"/>
    <w:rsid w:val="510B13F4"/>
    <w:rsid w:val="51B858DA"/>
    <w:rsid w:val="52310E93"/>
    <w:rsid w:val="527C2613"/>
    <w:rsid w:val="53397A0C"/>
    <w:rsid w:val="53E92AEF"/>
    <w:rsid w:val="554E3280"/>
    <w:rsid w:val="55F06C20"/>
    <w:rsid w:val="56AE0C92"/>
    <w:rsid w:val="56B063AF"/>
    <w:rsid w:val="57B32A9F"/>
    <w:rsid w:val="57FF139C"/>
    <w:rsid w:val="5802676E"/>
    <w:rsid w:val="58387E23"/>
    <w:rsid w:val="58925DB9"/>
    <w:rsid w:val="58D73C1D"/>
    <w:rsid w:val="58EF0972"/>
    <w:rsid w:val="5A982114"/>
    <w:rsid w:val="5AEB2255"/>
    <w:rsid w:val="5AF00933"/>
    <w:rsid w:val="5B0C36B1"/>
    <w:rsid w:val="5B525C87"/>
    <w:rsid w:val="5B5317F3"/>
    <w:rsid w:val="5B951FE2"/>
    <w:rsid w:val="5D494803"/>
    <w:rsid w:val="5E6A1E03"/>
    <w:rsid w:val="5F00399C"/>
    <w:rsid w:val="5F1832FB"/>
    <w:rsid w:val="5FA431E0"/>
    <w:rsid w:val="5FF97134"/>
    <w:rsid w:val="5FFF5ED8"/>
    <w:rsid w:val="60F25F36"/>
    <w:rsid w:val="624D58C1"/>
    <w:rsid w:val="6275614D"/>
    <w:rsid w:val="634E3BF9"/>
    <w:rsid w:val="64A55D99"/>
    <w:rsid w:val="65374138"/>
    <w:rsid w:val="65945F13"/>
    <w:rsid w:val="66C828BC"/>
    <w:rsid w:val="67026F67"/>
    <w:rsid w:val="673F3203"/>
    <w:rsid w:val="6758734D"/>
    <w:rsid w:val="682C661B"/>
    <w:rsid w:val="68DD7ACF"/>
    <w:rsid w:val="69724A89"/>
    <w:rsid w:val="69B30239"/>
    <w:rsid w:val="69F06C95"/>
    <w:rsid w:val="6B8754D9"/>
    <w:rsid w:val="6B9F27EA"/>
    <w:rsid w:val="6C080198"/>
    <w:rsid w:val="6C1F6348"/>
    <w:rsid w:val="6C2E088C"/>
    <w:rsid w:val="6C33070C"/>
    <w:rsid w:val="6D0B1506"/>
    <w:rsid w:val="6DAA37B5"/>
    <w:rsid w:val="6F90671C"/>
    <w:rsid w:val="70BF1777"/>
    <w:rsid w:val="70C2647F"/>
    <w:rsid w:val="70CD7F27"/>
    <w:rsid w:val="73742106"/>
    <w:rsid w:val="73F30AFC"/>
    <w:rsid w:val="741713C4"/>
    <w:rsid w:val="74EE5E20"/>
    <w:rsid w:val="751A4987"/>
    <w:rsid w:val="754321EB"/>
    <w:rsid w:val="75973281"/>
    <w:rsid w:val="75A30CE6"/>
    <w:rsid w:val="75B7057D"/>
    <w:rsid w:val="75D11954"/>
    <w:rsid w:val="76483B47"/>
    <w:rsid w:val="76C66107"/>
    <w:rsid w:val="770E7685"/>
    <w:rsid w:val="778276ED"/>
    <w:rsid w:val="78847233"/>
    <w:rsid w:val="79444163"/>
    <w:rsid w:val="7A466F61"/>
    <w:rsid w:val="7A470084"/>
    <w:rsid w:val="7A5433BE"/>
    <w:rsid w:val="7B011855"/>
    <w:rsid w:val="7B0B75EA"/>
    <w:rsid w:val="7B185383"/>
    <w:rsid w:val="7B740C9B"/>
    <w:rsid w:val="7B83361B"/>
    <w:rsid w:val="7C725D8E"/>
    <w:rsid w:val="7C974B11"/>
    <w:rsid w:val="7E0C25A3"/>
    <w:rsid w:val="7F1E79A3"/>
    <w:rsid w:val="7FDC5D91"/>
    <w:rsid w:val="DCBD4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paragraph" w:styleId="3">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4">
    <w:name w:val="heading 2"/>
    <w:basedOn w:val="1"/>
    <w:next w:val="5"/>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6">
    <w:name w:val="heading 3"/>
    <w:basedOn w:val="1"/>
    <w:next w:val="1"/>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7">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8">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9">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10">
    <w:name w:val="heading 7"/>
    <w:basedOn w:val="1"/>
    <w:next w:val="5"/>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1">
    <w:name w:val="heading 8"/>
    <w:basedOn w:val="1"/>
    <w:next w:val="5"/>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2">
    <w:name w:val="heading 9"/>
    <w:basedOn w:val="1"/>
    <w:next w:val="5"/>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5"/>
    <w:qFormat/>
    <w:uiPriority w:val="0"/>
    <w:pPr>
      <w:spacing w:line="360" w:lineRule="auto"/>
    </w:pPr>
    <w:rPr>
      <w:rFonts w:ascii="仿宋_GB2312"/>
      <w:sz w:val="28"/>
    </w:rPr>
  </w:style>
  <w:style w:type="paragraph" w:styleId="5">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3">
    <w:name w:val="toc 7"/>
    <w:basedOn w:val="1"/>
    <w:next w:val="1"/>
    <w:qFormat/>
    <w:uiPriority w:val="0"/>
    <w:pPr>
      <w:ind w:left="2520" w:leftChars="1200"/>
    </w:pPr>
    <w:rPr>
      <w:rFonts w:ascii="Calibri" w:hAnsi="Calibri" w:eastAsia="宋体"/>
      <w:sz w:val="21"/>
      <w:szCs w:val="22"/>
    </w:rPr>
  </w:style>
  <w:style w:type="paragraph" w:styleId="14">
    <w:name w:val="caption"/>
    <w:basedOn w:val="1"/>
    <w:next w:val="1"/>
    <w:qFormat/>
    <w:uiPriority w:val="0"/>
    <w:rPr>
      <w:rFonts w:ascii="Arial" w:hAnsi="Arial" w:eastAsia="黑体" w:cs="Arial"/>
      <w:sz w:val="20"/>
    </w:rPr>
  </w:style>
  <w:style w:type="paragraph" w:styleId="15">
    <w:name w:val="Document Map"/>
    <w:basedOn w:val="1"/>
    <w:link w:val="74"/>
    <w:qFormat/>
    <w:uiPriority w:val="0"/>
    <w:pPr>
      <w:shd w:val="clear" w:color="auto" w:fill="000080"/>
    </w:pPr>
    <w:rPr>
      <w:kern w:val="0"/>
      <w:shd w:val="clear" w:color="auto" w:fill="000080"/>
    </w:rPr>
  </w:style>
  <w:style w:type="paragraph" w:styleId="16">
    <w:name w:val="annotation text"/>
    <w:basedOn w:val="1"/>
    <w:link w:val="81"/>
    <w:qFormat/>
    <w:uiPriority w:val="0"/>
    <w:pPr>
      <w:jc w:val="left"/>
    </w:pPr>
    <w:rPr>
      <w:rFonts w:eastAsia="宋体"/>
      <w:sz w:val="21"/>
      <w:szCs w:val="24"/>
    </w:rPr>
  </w:style>
  <w:style w:type="paragraph" w:styleId="17">
    <w:name w:val="Body Text 3"/>
    <w:basedOn w:val="1"/>
    <w:link w:val="86"/>
    <w:qFormat/>
    <w:uiPriority w:val="0"/>
    <w:pPr>
      <w:spacing w:after="120"/>
    </w:pPr>
    <w:rPr>
      <w:rFonts w:eastAsia="宋体"/>
      <w:sz w:val="16"/>
      <w:szCs w:val="16"/>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0"/>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0"/>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0"/>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0"/>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0"/>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0"/>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6"/>
    <w:next w:val="16"/>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字符"/>
    <w:link w:val="3"/>
    <w:qFormat/>
    <w:uiPriority w:val="0"/>
    <w:rPr>
      <w:rFonts w:ascii="宋体" w:eastAsia="宋体"/>
      <w:b/>
      <w:kern w:val="44"/>
      <w:sz w:val="44"/>
      <w:lang w:val="en-US" w:eastAsia="zh-CN" w:bidi="ar-SA"/>
    </w:rPr>
  </w:style>
  <w:style w:type="character" w:customStyle="1" w:styleId="52">
    <w:name w:val="正文缩进 字符"/>
    <w:link w:val="5"/>
    <w:qFormat/>
    <w:uiPriority w:val="0"/>
    <w:rPr>
      <w:rFonts w:ascii="宋体" w:eastAsia="宋体"/>
      <w:sz w:val="34"/>
      <w:lang w:val="en-US" w:eastAsia="zh-CN" w:bidi="ar-SA"/>
    </w:rPr>
  </w:style>
  <w:style w:type="character" w:customStyle="1" w:styleId="53">
    <w:name w:val="标题 2 字符"/>
    <w:link w:val="4"/>
    <w:qFormat/>
    <w:uiPriority w:val="0"/>
    <w:rPr>
      <w:rFonts w:ascii="Arial" w:hAnsi="Arial" w:eastAsia="黑体"/>
      <w:b/>
      <w:sz w:val="32"/>
      <w:lang w:val="en-US" w:eastAsia="zh-CN" w:bidi="ar-SA"/>
    </w:rPr>
  </w:style>
  <w:style w:type="character" w:customStyle="1" w:styleId="54">
    <w:name w:val="标题 3 字符"/>
    <w:link w:val="6"/>
    <w:qFormat/>
    <w:uiPriority w:val="0"/>
    <w:rPr>
      <w:rFonts w:ascii="宋体" w:eastAsia="宋体"/>
      <w:b/>
      <w:sz w:val="32"/>
      <w:lang w:val="en-US" w:eastAsia="zh-CN" w:bidi="ar-SA"/>
    </w:rPr>
  </w:style>
  <w:style w:type="character" w:customStyle="1" w:styleId="55">
    <w:name w:val="标题 4 字符"/>
    <w:link w:val="7"/>
    <w:qFormat/>
    <w:uiPriority w:val="0"/>
    <w:rPr>
      <w:rFonts w:ascii="等线 Light" w:hAnsi="等线 Light" w:eastAsia="等线 Light" w:cs="Times New Roman"/>
      <w:b/>
      <w:bCs/>
      <w:kern w:val="2"/>
      <w:sz w:val="28"/>
      <w:szCs w:val="28"/>
    </w:rPr>
  </w:style>
  <w:style w:type="character" w:customStyle="1" w:styleId="56">
    <w:name w:val="标题 5 字符"/>
    <w:basedOn w:val="44"/>
    <w:link w:val="8"/>
    <w:qFormat/>
    <w:uiPriority w:val="0"/>
    <w:rPr>
      <w:rFonts w:eastAsia="仿宋_GB2312"/>
      <w:b/>
      <w:bCs/>
      <w:kern w:val="2"/>
      <w:sz w:val="28"/>
      <w:szCs w:val="28"/>
    </w:rPr>
  </w:style>
  <w:style w:type="character" w:customStyle="1" w:styleId="57">
    <w:name w:val="标题 6 字符"/>
    <w:link w:val="9"/>
    <w:qFormat/>
    <w:uiPriority w:val="0"/>
    <w:rPr>
      <w:rFonts w:ascii="Calibri Light" w:hAnsi="Calibri Light" w:eastAsia="宋体" w:cs="Times New Roman"/>
      <w:b/>
      <w:bCs/>
      <w:kern w:val="2"/>
      <w:sz w:val="24"/>
      <w:szCs w:val="24"/>
    </w:rPr>
  </w:style>
  <w:style w:type="character" w:customStyle="1" w:styleId="58">
    <w:name w:val="标题 7 字符"/>
    <w:link w:val="10"/>
    <w:qFormat/>
    <w:uiPriority w:val="0"/>
    <w:rPr>
      <w:rFonts w:ascii="宋体"/>
      <w:b/>
      <w:color w:val="000000"/>
      <w:kern w:val="2"/>
      <w:sz w:val="24"/>
      <w:szCs w:val="24"/>
    </w:rPr>
  </w:style>
  <w:style w:type="character" w:customStyle="1" w:styleId="59">
    <w:name w:val="标题 8 字符"/>
    <w:link w:val="11"/>
    <w:qFormat/>
    <w:uiPriority w:val="0"/>
    <w:rPr>
      <w:rFonts w:ascii="Arial" w:hAnsi="Arial" w:eastAsia="黑体"/>
      <w:color w:val="000000"/>
      <w:kern w:val="2"/>
      <w:sz w:val="24"/>
      <w:szCs w:val="24"/>
    </w:rPr>
  </w:style>
  <w:style w:type="character" w:customStyle="1" w:styleId="60">
    <w:name w:val="标题 9 字符"/>
    <w:link w:val="12"/>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字符"/>
    <w:link w:val="35"/>
    <w:qFormat/>
    <w:uiPriority w:val="99"/>
    <w:rPr>
      <w:rFonts w:eastAsia="仿宋_GB2312"/>
      <w:kern w:val="2"/>
      <w:sz w:val="16"/>
      <w:szCs w:val="16"/>
      <w:lang w:val="en-US" w:eastAsia="zh-CN" w:bidi="ar-SA"/>
    </w:rPr>
  </w:style>
  <w:style w:type="character" w:customStyle="1" w:styleId="63">
    <w:name w:val="正文文本缩进 字符"/>
    <w:link w:val="18"/>
    <w:qFormat/>
    <w:uiPriority w:val="99"/>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字符"/>
    <w:link w:val="2"/>
    <w:qFormat/>
    <w:uiPriority w:val="0"/>
    <w:rPr>
      <w:rFonts w:ascii="仿宋_GB2312" w:eastAsia="仿宋_GB2312"/>
      <w:kern w:val="2"/>
      <w:sz w:val="28"/>
      <w:lang w:val="en-US" w:eastAsia="zh-CN" w:bidi="ar-SA"/>
    </w:rPr>
  </w:style>
  <w:style w:type="character" w:customStyle="1" w:styleId="66">
    <w:name w:val="页脚 字符"/>
    <w:link w:val="28"/>
    <w:qFormat/>
    <w:uiPriority w:val="99"/>
    <w:rPr>
      <w:rFonts w:ascii="宋体" w:eastAsia="宋体"/>
      <w:sz w:val="18"/>
      <w:lang w:val="en-US" w:eastAsia="zh-CN" w:bidi="ar-SA"/>
    </w:rPr>
  </w:style>
  <w:style w:type="character" w:customStyle="1" w:styleId="67">
    <w:name w:val="批注框文本 字符"/>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字符"/>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字符"/>
    <w:link w:val="15"/>
    <w:qFormat/>
    <w:uiPriority w:val="0"/>
    <w:rPr>
      <w:rFonts w:eastAsia="仿宋_GB2312"/>
      <w:sz w:val="30"/>
      <w:shd w:val="clear" w:color="auto" w:fill="000080"/>
      <w:lang w:bidi="ar-SA"/>
    </w:rPr>
  </w:style>
  <w:style w:type="character" w:customStyle="1" w:styleId="75">
    <w:name w:val="脚注文本 字符"/>
    <w:link w:val="33"/>
    <w:qFormat/>
    <w:uiPriority w:val="99"/>
    <w:rPr>
      <w:rFonts w:eastAsia="仿宋_GB2312"/>
      <w:kern w:val="2"/>
      <w:sz w:val="18"/>
      <w:szCs w:val="18"/>
    </w:rPr>
  </w:style>
  <w:style w:type="character" w:customStyle="1" w:styleId="76">
    <w:name w:val="纯文本 字符"/>
    <w:link w:val="23"/>
    <w:qFormat/>
    <w:uiPriority w:val="0"/>
    <w:rPr>
      <w:rFonts w:ascii="宋体" w:hAnsi="Courier New" w:eastAsia="宋体"/>
      <w:kern w:val="2"/>
      <w:sz w:val="21"/>
      <w:lang w:val="en-US" w:eastAsia="zh-CN" w:bidi="ar-SA"/>
    </w:rPr>
  </w:style>
  <w:style w:type="character" w:customStyle="1" w:styleId="77">
    <w:name w:val="页眉 字符"/>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字符"/>
    <w:link w:val="26"/>
    <w:qFormat/>
    <w:uiPriority w:val="99"/>
    <w:rPr>
      <w:rFonts w:eastAsia="仿宋_GB2312"/>
      <w:kern w:val="2"/>
      <w:sz w:val="30"/>
    </w:rPr>
  </w:style>
  <w:style w:type="character" w:customStyle="1" w:styleId="81">
    <w:name w:val="批注文字 字符"/>
    <w:link w:val="16"/>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字符"/>
    <w:link w:val="40"/>
    <w:qFormat/>
    <w:uiPriority w:val="0"/>
    <w:rPr>
      <w:rFonts w:ascii="Calibri Light" w:hAnsi="Calibri Light" w:cs="Times New Roman"/>
      <w:b/>
      <w:bCs/>
      <w:kern w:val="2"/>
      <w:sz w:val="32"/>
      <w:szCs w:val="32"/>
    </w:rPr>
  </w:style>
  <w:style w:type="character" w:customStyle="1" w:styleId="84">
    <w:name w:val="批注主题 字符"/>
    <w:link w:val="41"/>
    <w:qFormat/>
    <w:uiPriority w:val="0"/>
    <w:rPr>
      <w:rFonts w:eastAsia="仿宋_GB2312"/>
      <w:b/>
      <w:bCs/>
      <w:kern w:val="2"/>
      <w:sz w:val="30"/>
    </w:rPr>
  </w:style>
  <w:style w:type="character" w:customStyle="1" w:styleId="85">
    <w:name w:val="正文文本 2 字符"/>
    <w:link w:val="38"/>
    <w:qFormat/>
    <w:uiPriority w:val="99"/>
    <w:rPr>
      <w:rFonts w:eastAsia="宋体"/>
      <w:kern w:val="2"/>
      <w:sz w:val="21"/>
      <w:szCs w:val="24"/>
      <w:lang w:val="en-US" w:eastAsia="zh-CN" w:bidi="ar-SA"/>
    </w:rPr>
  </w:style>
  <w:style w:type="character" w:customStyle="1" w:styleId="86">
    <w:name w:val="正文文本 3 字符"/>
    <w:link w:val="17"/>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4"/>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4"/>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字符"/>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4"/>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6"/>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字符"/>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字符"/>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4"/>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3"/>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14:textFill>
        <w14:solidFill>
          <w14:schemeClr w14:val="accent1"/>
        </w14:solidFill>
      </w14:textFill>
    </w:rPr>
  </w:style>
  <w:style w:type="character" w:customStyle="1" w:styleId="162">
    <w:name w:val="明显引用 Char1"/>
    <w:basedOn w:val="44"/>
    <w:qFormat/>
    <w:uiPriority w:val="30"/>
    <w:rPr>
      <w:rFonts w:eastAsia="仿宋_GB2312"/>
      <w:b/>
      <w:bCs/>
      <w:i/>
      <w:iCs/>
      <w:color w:val="5B9BD5" w:themeColor="accent1"/>
      <w:kern w:val="2"/>
      <w:sz w:val="30"/>
      <w14:textFill>
        <w14:solidFill>
          <w14:schemeClr w14:val="accent1"/>
        </w14:solidFill>
      </w14:textFill>
    </w:rPr>
  </w:style>
  <w:style w:type="paragraph" w:customStyle="1" w:styleId="163">
    <w:name w:val="样式 标题 3 + (中文) 黑体 小四 非加粗 段前: 7.8 磅 段后: 0 磅 行距: 固定值 20 磅"/>
    <w:basedOn w:val="6"/>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6">
    <w:name w:val="引用 Char1"/>
    <w:basedOn w:val="44"/>
    <w:qFormat/>
    <w:uiPriority w:val="29"/>
    <w:rPr>
      <w:rFonts w:eastAsia="仿宋_GB2312"/>
      <w:i/>
      <w:iCs/>
      <w:color w:val="000000" w:themeColor="text1"/>
      <w:kern w:val="2"/>
      <w:sz w:val="30"/>
      <w14:textFill>
        <w14:solidFill>
          <w14:schemeClr w14:val="tx1"/>
        </w14:solidFill>
      </w14:textFill>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3"/>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Revision"/>
    <w:qFormat/>
    <w:uiPriority w:val="0"/>
    <w:rPr>
      <w:rFonts w:ascii="Times New Roman" w:hAnsi="Times New Roman" w:eastAsia="仿宋_GB2312" w:cs="Times New Roman"/>
      <w:kern w:val="2"/>
      <w:sz w:val="30"/>
      <w:lang w:val="en-US" w:eastAsia="zh-CN" w:bidi="ar-SA"/>
    </w:rPr>
  </w:style>
  <w:style w:type="character" w:customStyle="1" w:styleId="220">
    <w:name w:val="Subtle Emphasis"/>
    <w:qFormat/>
    <w:uiPriority w:val="0"/>
    <w:rPr>
      <w:i/>
      <w:iCs/>
      <w:color w:val="808080"/>
    </w:rPr>
  </w:style>
  <w:style w:type="character" w:customStyle="1" w:styleId="221">
    <w:name w:val="Intense Reference"/>
    <w:qFormat/>
    <w:uiPriority w:val="0"/>
    <w:rPr>
      <w:b/>
      <w:bCs/>
      <w:smallCaps/>
      <w:color w:val="C0504D"/>
      <w:spacing w:val="5"/>
      <w:u w:val="single"/>
    </w:rPr>
  </w:style>
  <w:style w:type="character" w:customStyle="1" w:styleId="222">
    <w:name w:val="Book Title"/>
    <w:qFormat/>
    <w:uiPriority w:val="0"/>
    <w:rPr>
      <w:b/>
      <w:bCs/>
      <w:smallCaps/>
      <w:spacing w:val="5"/>
    </w:rPr>
  </w:style>
  <w:style w:type="character" w:customStyle="1" w:styleId="223">
    <w:name w:val="Intense Emphasis"/>
    <w:qFormat/>
    <w:uiPriority w:val="0"/>
    <w:rPr>
      <w:b/>
      <w:bCs/>
      <w:i/>
      <w:iCs/>
      <w:color w:val="4F81BD"/>
    </w:rPr>
  </w:style>
  <w:style w:type="character" w:customStyle="1" w:styleId="224">
    <w:name w:val="Subtle Reference"/>
    <w:qFormat/>
    <w:uiPriority w:val="0"/>
    <w:rPr>
      <w:smallCaps/>
      <w:color w:val="C0504D"/>
      <w:u w:val="single"/>
    </w:rPr>
  </w:style>
  <w:style w:type="paragraph" w:customStyle="1" w:styleId="225">
    <w:name w:val="TOC Heading"/>
    <w:basedOn w:val="3"/>
    <w:next w:val="1"/>
    <w:qFormat/>
    <w:uiPriority w:val="0"/>
    <w:pPr>
      <w:autoSpaceDE/>
      <w:autoSpaceDN/>
      <w:adjustRightInd/>
      <w:spacing w:line="576" w:lineRule="auto"/>
      <w:jc w:val="both"/>
      <w:textAlignment w:val="auto"/>
      <w:outlineLvl w:val="9"/>
    </w:pPr>
    <w:rPr>
      <w:rFonts w:ascii="Calibri" w:hAnsi="Calibri"/>
      <w:bCs/>
      <w:szCs w:val="44"/>
    </w:rPr>
  </w:style>
  <w:style w:type="paragraph" w:customStyle="1" w:styleId="226">
    <w:name w:val="null3"/>
    <w:hidden/>
    <w:qFormat/>
    <w:uiPriority w:val="0"/>
    <w:rPr>
      <w:rFonts w:hint="eastAsia" w:asciiTheme="minorHAnsi" w:hAnsiTheme="minorHAnsi" w:eastAsiaTheme="minorEastAsia" w:cstheme="minorBidi"/>
      <w:lang w:val="en-US" w:eastAsia="zh-Hans" w:bidi="ar-SA"/>
    </w:rPr>
  </w:style>
  <w:style w:type="paragraph" w:customStyle="1" w:styleId="227">
    <w:name w:val="_Style 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29</Pages>
  <Words>7732</Words>
  <Characters>8347</Characters>
  <Lines>55</Lines>
  <Paragraphs>64</Paragraphs>
  <TotalTime>21</TotalTime>
  <ScaleCrop>false</ScaleCrop>
  <LinksUpToDate>false</LinksUpToDate>
  <CharactersWithSpaces>8439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2024-06-12T17:45:00Z</dcterms:created>
  <dc:creator>admin</dc:creator>
  <cp:lastModifiedBy>氼迗  </cp:lastModifiedBy>
  <cp:lastPrinted>2023-06-09T10:30:00Z</cp:lastPrinted>
  <dcterms:modified xsi:type="dcterms:W3CDTF">2025-11-07T01:54:22Z</dcterms:modified>
  <dc:title>目    录</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4469828A514248249FAFE11C61C87575_13</vt:lpwstr>
  </property>
  <property fmtid="{D5CDD505-2E9C-101B-9397-08002B2CF9AE}" pid="4" name="KSOTemplateDocerSaveRecord">
    <vt:lpwstr>eyJoZGlkIjoiZDUxNWNjMTVhZmQ1NDYzNDYyZmQxZDczNGYxNmJkYmQiLCJ1c2VySWQiOiIyODQ4OTIwNjYifQ==</vt:lpwstr>
  </property>
</Properties>
</file>