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rPr>
      </w:pPr>
      <w:r>
        <w:rPr>
          <w:rFonts w:hint="eastAsia" w:ascii="方正小标宋简体" w:eastAsia="方正小标宋简体"/>
          <w:b w:val="0"/>
        </w:rPr>
        <w:t>（二十四）食品药品监管领域基层政务公开标准目录</w:t>
      </w:r>
    </w:p>
    <w:tbl>
      <w:tblPr>
        <w:tblStyle w:val="5"/>
        <w:tblW w:w="154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7"/>
        <w:gridCol w:w="808"/>
        <w:gridCol w:w="982"/>
        <w:gridCol w:w="2355"/>
        <w:gridCol w:w="2790"/>
        <w:gridCol w:w="1125"/>
        <w:gridCol w:w="780"/>
        <w:gridCol w:w="1165"/>
        <w:gridCol w:w="605"/>
        <w:gridCol w:w="611"/>
        <w:gridCol w:w="605"/>
        <w:gridCol w:w="709"/>
        <w:gridCol w:w="507"/>
        <w:gridCol w:w="843"/>
        <w:gridCol w:w="11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437"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序号</w:t>
            </w:r>
          </w:p>
        </w:tc>
        <w:tc>
          <w:tcPr>
            <w:tcW w:w="1790"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公开事项</w:t>
            </w:r>
          </w:p>
        </w:tc>
        <w:tc>
          <w:tcPr>
            <w:tcW w:w="235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公开内容（要素）</w:t>
            </w:r>
          </w:p>
        </w:tc>
        <w:tc>
          <w:tcPr>
            <w:tcW w:w="279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公开依据</w:t>
            </w:r>
          </w:p>
        </w:tc>
        <w:tc>
          <w:tcPr>
            <w:tcW w:w="112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w:t>
            </w:r>
          </w:p>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时限</w:t>
            </w:r>
          </w:p>
        </w:tc>
        <w:tc>
          <w:tcPr>
            <w:tcW w:w="78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w:t>
            </w:r>
          </w:p>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主体</w:t>
            </w:r>
          </w:p>
        </w:tc>
        <w:tc>
          <w:tcPr>
            <w:tcW w:w="116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公开渠道</w:t>
            </w:r>
          </w:p>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和载体</w:t>
            </w:r>
          </w:p>
        </w:tc>
        <w:tc>
          <w:tcPr>
            <w:tcW w:w="1216"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公开对象</w:t>
            </w:r>
          </w:p>
        </w:tc>
        <w:tc>
          <w:tcPr>
            <w:tcW w:w="1314"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公开方式</w:t>
            </w:r>
          </w:p>
        </w:tc>
        <w:tc>
          <w:tcPr>
            <w:tcW w:w="1350" w:type="dxa"/>
            <w:gridSpan w:val="2"/>
            <w:tcBorders>
              <w:tl2br w:val="nil"/>
              <w:tr2bl w:val="nil"/>
            </w:tcBorders>
            <w:vAlign w:val="center"/>
          </w:tcPr>
          <w:p>
            <w:pPr>
              <w:widowControl/>
              <w:spacing w:line="300" w:lineRule="exact"/>
              <w:jc w:val="center"/>
              <w:rPr>
                <w:rFonts w:ascii="黑体" w:hAnsi="黑体" w:eastAsia="黑体" w:cs="黑体"/>
                <w:kern w:val="0"/>
                <w:sz w:val="21"/>
                <w:szCs w:val="21"/>
                <w:highlight w:val="none"/>
              </w:rPr>
            </w:pPr>
            <w:r>
              <w:rPr>
                <w:rFonts w:hint="eastAsia" w:ascii="黑体" w:hAnsi="黑体" w:eastAsia="黑体" w:cs="黑体"/>
                <w:kern w:val="0"/>
                <w:sz w:val="21"/>
                <w:szCs w:val="21"/>
                <w:highlight w:val="none"/>
              </w:rPr>
              <w:t>公开层级</w:t>
            </w:r>
          </w:p>
        </w:tc>
        <w:tc>
          <w:tcPr>
            <w:tcW w:w="1170" w:type="dxa"/>
            <w:vMerge w:val="restart"/>
            <w:tcBorders>
              <w:tl2br w:val="nil"/>
              <w:tr2bl w:val="nil"/>
            </w:tcBorders>
            <w:vAlign w:val="center"/>
          </w:tcPr>
          <w:p>
            <w:pPr>
              <w:widowControl/>
              <w:spacing w:line="300" w:lineRule="exact"/>
              <w:jc w:val="center"/>
              <w:rPr>
                <w:rFonts w:ascii="黑体" w:hAnsi="黑体" w:eastAsia="黑体" w:cs="黑体"/>
                <w:kern w:val="0"/>
                <w:sz w:val="21"/>
                <w:szCs w:val="21"/>
                <w:highlight w:val="none"/>
              </w:rPr>
            </w:pPr>
            <w:r>
              <w:rPr>
                <w:rFonts w:hint="eastAsia" w:ascii="黑体" w:hAnsi="黑体" w:eastAsia="黑体" w:cs="黑体"/>
                <w:kern w:val="0"/>
                <w:sz w:val="21"/>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437"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highlight w:val="none"/>
              </w:rPr>
            </w:pPr>
          </w:p>
        </w:tc>
        <w:tc>
          <w:tcPr>
            <w:tcW w:w="808" w:type="dxa"/>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一级</w:t>
            </w:r>
          </w:p>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事项</w:t>
            </w:r>
          </w:p>
        </w:tc>
        <w:tc>
          <w:tcPr>
            <w:tcW w:w="982" w:type="dxa"/>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二级</w:t>
            </w:r>
          </w:p>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事项</w:t>
            </w:r>
          </w:p>
        </w:tc>
        <w:tc>
          <w:tcPr>
            <w:tcW w:w="2355"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highlight w:val="none"/>
              </w:rPr>
            </w:pPr>
          </w:p>
        </w:tc>
        <w:tc>
          <w:tcPr>
            <w:tcW w:w="2790"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highlight w:val="none"/>
              </w:rPr>
            </w:pPr>
          </w:p>
        </w:tc>
        <w:tc>
          <w:tcPr>
            <w:tcW w:w="112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highlight w:val="none"/>
              </w:rPr>
            </w:pPr>
          </w:p>
        </w:tc>
        <w:tc>
          <w:tcPr>
            <w:tcW w:w="780"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highlight w:val="none"/>
              </w:rPr>
            </w:pPr>
          </w:p>
        </w:tc>
        <w:tc>
          <w:tcPr>
            <w:tcW w:w="116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highlight w:val="none"/>
              </w:rPr>
            </w:pP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全社会</w:t>
            </w:r>
          </w:p>
        </w:tc>
        <w:tc>
          <w:tcPr>
            <w:tcW w:w="611" w:type="dxa"/>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特定群众</w:t>
            </w: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主动</w:t>
            </w:r>
          </w:p>
        </w:tc>
        <w:tc>
          <w:tcPr>
            <w:tcW w:w="709" w:type="dxa"/>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依申请公开</w:t>
            </w:r>
          </w:p>
        </w:tc>
        <w:tc>
          <w:tcPr>
            <w:tcW w:w="507" w:type="dxa"/>
            <w:tcBorders>
              <w:tl2br w:val="nil"/>
              <w:tr2bl w:val="nil"/>
            </w:tcBorders>
            <w:vAlign w:val="center"/>
          </w:tcPr>
          <w:p>
            <w:pPr>
              <w:widowControl/>
              <w:spacing w:line="300" w:lineRule="exact"/>
              <w:jc w:val="center"/>
              <w:rPr>
                <w:rFonts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县级</w:t>
            </w:r>
          </w:p>
        </w:tc>
        <w:tc>
          <w:tcPr>
            <w:tcW w:w="843" w:type="dxa"/>
            <w:tcBorders>
              <w:tl2br w:val="nil"/>
              <w:tr2bl w:val="nil"/>
            </w:tcBorders>
            <w:vAlign w:val="center"/>
          </w:tcPr>
          <w:p>
            <w:pPr>
              <w:widowControl/>
              <w:spacing w:line="300" w:lineRule="exact"/>
              <w:jc w:val="center"/>
              <w:rPr>
                <w:rFonts w:ascii="黑体" w:hAnsi="黑体" w:eastAsia="黑体" w:cs="黑体"/>
                <w:kern w:val="0"/>
                <w:sz w:val="21"/>
                <w:szCs w:val="21"/>
                <w:highlight w:val="none"/>
              </w:rPr>
            </w:pPr>
            <w:r>
              <w:rPr>
                <w:rFonts w:hint="eastAsia" w:ascii="黑体" w:hAnsi="黑体" w:eastAsia="黑体" w:cs="黑体"/>
                <w:kern w:val="0"/>
                <w:sz w:val="21"/>
                <w:szCs w:val="21"/>
                <w:highlight w:val="none"/>
              </w:rPr>
              <w:t>乡、镇街、村级</w:t>
            </w:r>
          </w:p>
        </w:tc>
        <w:tc>
          <w:tcPr>
            <w:tcW w:w="1170" w:type="dxa"/>
            <w:vMerge w:val="continue"/>
            <w:tcBorders>
              <w:tl2br w:val="nil"/>
              <w:tr2bl w:val="nil"/>
            </w:tcBorders>
          </w:tcPr>
          <w:p>
            <w:pPr>
              <w:widowControl/>
              <w:spacing w:line="300" w:lineRule="exact"/>
              <w:jc w:val="center"/>
              <w:rPr>
                <w:rFonts w:ascii="黑体" w:hAnsi="黑体" w:eastAsia="黑体" w:cs="黑体"/>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食品生产经营许可服务指南</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ascii="仿宋_GB2312" w:hAnsi="仿宋_GB2312" w:cs="仿宋_GB2312"/>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食品生产经营许可基本信息</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生产经营者名称、社会信用代码、许可证编号、法定代表人（负责人）、住所、生产地址/经营场所、食品类别/经营项目、发证日期、有效期、发证机关等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3</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药品零售许可服务指南</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8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4</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药品零售许可企业基本信息</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5</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特殊药品的购用、使用、经营、生产和邮寄、运输审批服务指南</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highlight w:val="none"/>
              </w:rPr>
            </w:pPr>
            <w:r>
              <w:rPr>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r>
              <w:rPr>
                <w:rFonts w:hint="eastAsia"/>
                <w:sz w:val="21"/>
                <w:szCs w:val="21"/>
                <w:highlight w:val="none"/>
              </w:rPr>
              <w:t>此处删除</w:t>
            </w:r>
          </w:p>
        </w:tc>
        <w:tc>
          <w:tcPr>
            <w:tcW w:w="1170" w:type="dxa"/>
            <w:tcBorders>
              <w:tl2br w:val="nil"/>
              <w:tr2bl w:val="nil"/>
            </w:tcBorders>
            <w:vAlign w:val="center"/>
          </w:tcPr>
          <w:p>
            <w:pPr>
              <w:spacing w:line="300" w:lineRule="exact"/>
              <w:jc w:val="center"/>
              <w:rPr>
                <w:sz w:val="21"/>
                <w:szCs w:val="21"/>
                <w:highlight w:val="none"/>
              </w:rPr>
            </w:pPr>
            <w:r>
              <w:rPr>
                <w:sz w:val="21"/>
                <w:szCs w:val="21"/>
                <w:highlight w:val="none"/>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6</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特殊药品的购用、使用、经营、生产和邮寄、运输审批基本信息</w:t>
            </w:r>
          </w:p>
        </w:tc>
        <w:tc>
          <w:tcPr>
            <w:tcW w:w="2355" w:type="dxa"/>
            <w:tcBorders>
              <w:tl2br w:val="nil"/>
              <w:tr2bl w:val="nil"/>
            </w:tcBorders>
            <w:vAlign w:val="center"/>
          </w:tcPr>
          <w:p>
            <w:pPr>
              <w:spacing w:line="300" w:lineRule="exact"/>
              <w:rPr>
                <w:color w:val="FF0000"/>
                <w:sz w:val="21"/>
                <w:szCs w:val="21"/>
                <w:highlight w:val="none"/>
              </w:rPr>
            </w:pPr>
            <w:r>
              <w:rPr>
                <w:sz w:val="21"/>
                <w:szCs w:val="21"/>
                <w:highlight w:val="none"/>
              </w:rPr>
              <w:t>经营者名称、许可批件、社会信用代码、法定代表人（负责人）、注册地址等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highlight w:val="none"/>
              </w:rPr>
            </w:pPr>
            <w:r>
              <w:rPr>
                <w:sz w:val="21"/>
                <w:szCs w:val="21"/>
                <w:highlight w:val="none"/>
              </w:rPr>
              <w:t>信息形成或变更之日起7个工作日内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vAlign w:val="center"/>
          </w:tcPr>
          <w:p>
            <w:pPr>
              <w:spacing w:line="300" w:lineRule="exact"/>
              <w:jc w:val="center"/>
              <w:rPr>
                <w:sz w:val="21"/>
                <w:szCs w:val="21"/>
                <w:highlight w:val="none"/>
              </w:rPr>
            </w:pPr>
            <w:r>
              <w:rPr>
                <w:sz w:val="21"/>
                <w:szCs w:val="21"/>
                <w:highlight w:val="none"/>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7</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医疗器械经营许可（第三类医疗器械）服务指南</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8</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医疗器械经营许可（第三类医疗器械）基本信息</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许可编号、企业名称、法定代表人、企业负责人、经营方式、住所、经营场所、库房地址、经营范围、发证部门、发证日期等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信息形成或变更之日起10个工作日内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9</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化妆品生产许可服务指南</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10</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审批</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化妆品生产许可基本信息</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信息形成或变更之日起10个工作日内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11</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食品生产经营（含特殊食品经营）监督检查</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检查制度、检查标准、检查结果等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r>
              <w:rPr>
                <w:sz w:val="21"/>
                <w:szCs w:val="21"/>
                <w:highlight w:val="none"/>
              </w:rPr>
              <w:t>√</w:t>
            </w: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12</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特殊食品生产监督检查</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检查制度、检查标准、检查结果等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13</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由县级组织的食品安全抽检</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检查实施主体、被抽检单位名称、被抽检食品名称、标示的产品生产日期/批号/规格、检验依据、检验机构、检查结果等</w:t>
            </w:r>
          </w:p>
        </w:tc>
        <w:tc>
          <w:tcPr>
            <w:tcW w:w="2790" w:type="dxa"/>
            <w:tcBorders>
              <w:tl2br w:val="nil"/>
              <w:tr2bl w:val="nil"/>
            </w:tcBorders>
            <w:vAlign w:val="center"/>
          </w:tcPr>
          <w:p>
            <w:pPr>
              <w:spacing w:line="300" w:lineRule="exact"/>
              <w:rPr>
                <w:sz w:val="21"/>
                <w:szCs w:val="21"/>
                <w:highlight w:val="none"/>
              </w:rPr>
            </w:pPr>
            <w:r>
              <w:rPr>
                <w:sz w:val="21"/>
                <w:szCs w:val="21"/>
                <w:highlight w:val="none"/>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14</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药品零售/医疗器械经营监督检查</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检查制度、检查标准、检查结果等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《政府信息公开条例》《关于全面推进政务公开工作的意见》《食品药品安全监管信息公开管理办法》《医疗器械监督管理条例》《药品医疗器械飞行检查办法》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9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15</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化妆品经营企业监督检查</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检查制度、检查标准、检查结果等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《政府信息公开条例》《关于全面推进政务公开工作的意见》《食品药品安全监管信息公开管理办法》《化妆品卫生监督条例》</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16</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医疗机构使用药品质量安全监督检查</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检查制度、检查标准、检查结果等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17</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由县级组织的医疗器械抽检</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18</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监督</w:t>
            </w:r>
          </w:p>
          <w:p>
            <w:pPr>
              <w:spacing w:line="300" w:lineRule="exact"/>
              <w:jc w:val="center"/>
              <w:rPr>
                <w:color w:val="000000"/>
                <w:sz w:val="21"/>
                <w:szCs w:val="21"/>
                <w:highlight w:val="none"/>
              </w:rPr>
            </w:pPr>
            <w:r>
              <w:rPr>
                <w:color w:val="000000"/>
                <w:sz w:val="21"/>
                <w:szCs w:val="21"/>
                <w:highlight w:val="none"/>
              </w:rPr>
              <w:t>检查</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由县级组织的化妆品抽检</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信息形成或变更之日起20个工作日内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19</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处罚</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食品生产经营行政处罚</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行政处罚决定形成之日起7个工作日内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p>
            <w:pPr>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r>
              <w:rPr>
                <w:sz w:val="21"/>
                <w:szCs w:val="21"/>
                <w:highlight w:val="none"/>
              </w:rPr>
              <w:t>√</w:t>
            </w: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20</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处罚</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药品监管行政处罚</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行政处罚决定形成之日起7个工作日内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p>
            <w:pPr>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21</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处罚</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医疗器械监管行政处罚</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行政处罚决定形成之日起7个工作日内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p>
            <w:pPr>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22</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行政</w:t>
            </w:r>
          </w:p>
          <w:p>
            <w:pPr>
              <w:spacing w:line="300" w:lineRule="exact"/>
              <w:jc w:val="center"/>
              <w:rPr>
                <w:color w:val="000000"/>
                <w:sz w:val="21"/>
                <w:szCs w:val="21"/>
                <w:highlight w:val="none"/>
              </w:rPr>
            </w:pPr>
            <w:r>
              <w:rPr>
                <w:color w:val="000000"/>
                <w:sz w:val="21"/>
                <w:szCs w:val="21"/>
                <w:highlight w:val="none"/>
              </w:rPr>
              <w:t>处罚</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化妆品监管行政处罚</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行政处罚决定形成之日起7个工作日内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spacing w:line="300" w:lineRule="exact"/>
              <w:rPr>
                <w:color w:val="000000"/>
                <w:sz w:val="21"/>
                <w:szCs w:val="21"/>
                <w:highlight w:val="none"/>
              </w:rPr>
            </w:pPr>
            <w:r>
              <w:rPr>
                <w:rFonts w:hint="eastAsia"/>
                <w:color w:val="000000"/>
                <w:sz w:val="21"/>
                <w:szCs w:val="21"/>
                <w:highlight w:val="none"/>
              </w:rPr>
              <w:t>■</w:t>
            </w:r>
            <w:r>
              <w:rPr>
                <w:color w:val="000000"/>
                <w:sz w:val="21"/>
                <w:szCs w:val="21"/>
                <w:highlight w:val="none"/>
              </w:rPr>
              <w:t>国家企业信用信息公示系统</w:t>
            </w:r>
          </w:p>
          <w:p>
            <w:pPr>
              <w:spacing w:line="300" w:lineRule="exact"/>
              <w:rPr>
                <w:color w:val="000000"/>
                <w:sz w:val="21"/>
                <w:szCs w:val="21"/>
                <w:highlight w:val="none"/>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23</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公共</w:t>
            </w:r>
          </w:p>
          <w:p>
            <w:pPr>
              <w:spacing w:line="300" w:lineRule="exact"/>
              <w:jc w:val="center"/>
              <w:rPr>
                <w:color w:val="000000"/>
                <w:sz w:val="21"/>
                <w:szCs w:val="21"/>
                <w:highlight w:val="none"/>
              </w:rPr>
            </w:pPr>
            <w:r>
              <w:rPr>
                <w:color w:val="000000"/>
                <w:sz w:val="21"/>
                <w:szCs w:val="21"/>
                <w:highlight w:val="none"/>
              </w:rPr>
              <w:t>服务</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食品安全消费提示警示</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食品安全消费提示、警示信息等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两微一端</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社区/企事业单位/村公示栏（电子屏）</w:t>
            </w: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611" w:type="dxa"/>
            <w:tcBorders>
              <w:tl2br w:val="nil"/>
              <w:tr2bl w:val="nil"/>
            </w:tcBorders>
            <w:vAlign w:val="center"/>
          </w:tcPr>
          <w:p>
            <w:pPr>
              <w:spacing w:line="300" w:lineRule="exact"/>
              <w:jc w:val="center"/>
              <w:rPr>
                <w:color w:val="000000"/>
                <w:sz w:val="21"/>
                <w:szCs w:val="21"/>
                <w:highlight w:val="none"/>
              </w:rPr>
            </w:pPr>
          </w:p>
        </w:tc>
        <w:tc>
          <w:tcPr>
            <w:tcW w:w="605"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w:t>
            </w:r>
          </w:p>
        </w:tc>
        <w:tc>
          <w:tcPr>
            <w:tcW w:w="843" w:type="dxa"/>
            <w:tcBorders>
              <w:tl2br w:val="nil"/>
              <w:tr2bl w:val="nil"/>
            </w:tcBorders>
            <w:vAlign w:val="center"/>
          </w:tcPr>
          <w:p>
            <w:pPr>
              <w:spacing w:line="300" w:lineRule="exact"/>
              <w:jc w:val="center"/>
              <w:rPr>
                <w:sz w:val="21"/>
                <w:szCs w:val="21"/>
                <w:highlight w:val="none"/>
              </w:rPr>
            </w:pPr>
            <w:r>
              <w:rPr>
                <w:sz w:val="21"/>
                <w:szCs w:val="21"/>
                <w:highlight w:val="none"/>
              </w:rPr>
              <w:t>√</w:t>
            </w:r>
          </w:p>
        </w:tc>
        <w:tc>
          <w:tcPr>
            <w:tcW w:w="1170" w:type="dxa"/>
            <w:tcBorders>
              <w:tl2br w:val="nil"/>
              <w:tr2bl w:val="nil"/>
            </w:tcBorders>
          </w:tcPr>
          <w:p>
            <w:pPr>
              <w:spacing w:line="300" w:lineRule="exact"/>
              <w:jc w:val="center"/>
              <w:rPr>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24</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公共</w:t>
            </w:r>
          </w:p>
          <w:p>
            <w:pPr>
              <w:spacing w:line="300" w:lineRule="exact"/>
              <w:jc w:val="center"/>
              <w:rPr>
                <w:color w:val="000000"/>
                <w:sz w:val="21"/>
                <w:szCs w:val="21"/>
                <w:highlight w:val="none"/>
              </w:rPr>
            </w:pPr>
            <w:r>
              <w:rPr>
                <w:color w:val="000000"/>
                <w:sz w:val="21"/>
                <w:szCs w:val="21"/>
                <w:highlight w:val="none"/>
              </w:rPr>
              <w:t>服务</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食品安全应急处置</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应急组织机构及职责、应急保障、监测预警、应急响应、热点问题落实情况等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 xml:space="preserve">《政府信息公开条例》《关于全面推进政务公开工作的意见》 </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两微一端</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社区/企事业单位/村公示栏（电子屏）</w:t>
            </w:r>
          </w:p>
        </w:tc>
        <w:tc>
          <w:tcPr>
            <w:tcW w:w="605"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611" w:type="dxa"/>
            <w:tcBorders>
              <w:tl2br w:val="nil"/>
              <w:tr2bl w:val="nil"/>
            </w:tcBorders>
            <w:vAlign w:val="center"/>
          </w:tcPr>
          <w:p>
            <w:pPr>
              <w:spacing w:line="300" w:lineRule="exact"/>
              <w:jc w:val="center"/>
              <w:rPr>
                <w:color w:val="000000"/>
                <w:sz w:val="21"/>
                <w:szCs w:val="21"/>
                <w:highlight w:val="none"/>
                <w:shd w:val="clear" w:color="auto" w:fill="FFFFFF"/>
              </w:rPr>
            </w:pPr>
          </w:p>
        </w:tc>
        <w:tc>
          <w:tcPr>
            <w:tcW w:w="605"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843" w:type="dxa"/>
            <w:tcBorders>
              <w:tl2br w:val="nil"/>
              <w:tr2bl w:val="nil"/>
            </w:tcBorders>
            <w:vAlign w:val="center"/>
          </w:tcPr>
          <w:p>
            <w:pPr>
              <w:spacing w:line="300" w:lineRule="exact"/>
              <w:jc w:val="center"/>
              <w:rPr>
                <w:sz w:val="21"/>
                <w:szCs w:val="21"/>
                <w:highlight w:val="none"/>
              </w:rPr>
            </w:pPr>
            <w:r>
              <w:rPr>
                <w:sz w:val="21"/>
                <w:szCs w:val="21"/>
                <w:highlight w:val="none"/>
                <w:shd w:val="clear" w:color="auto" w:fill="FFFFFF"/>
              </w:rPr>
              <w:t>√</w:t>
            </w:r>
          </w:p>
        </w:tc>
        <w:tc>
          <w:tcPr>
            <w:tcW w:w="1170" w:type="dxa"/>
            <w:tcBorders>
              <w:tl2br w:val="nil"/>
              <w:tr2bl w:val="nil"/>
            </w:tcBorders>
          </w:tcPr>
          <w:p>
            <w:pPr>
              <w:spacing w:line="300" w:lineRule="exact"/>
              <w:jc w:val="center"/>
              <w:rPr>
                <w:sz w:val="21"/>
                <w:szCs w:val="21"/>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25</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公共</w:t>
            </w:r>
          </w:p>
          <w:p>
            <w:pPr>
              <w:spacing w:line="300" w:lineRule="exact"/>
              <w:jc w:val="center"/>
              <w:rPr>
                <w:color w:val="000000"/>
                <w:sz w:val="21"/>
                <w:szCs w:val="21"/>
                <w:highlight w:val="none"/>
              </w:rPr>
            </w:pPr>
            <w:r>
              <w:rPr>
                <w:color w:val="000000"/>
                <w:sz w:val="21"/>
                <w:szCs w:val="21"/>
                <w:highlight w:val="none"/>
              </w:rPr>
              <w:t>服务</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食品药品投诉举报</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食品药品投诉举报管理制度和政策、受理投诉举报的途径等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《政府信息公开条例》、《关于全面推进政务公开工作的意见》《市场监督管理投诉举报处理暂行办法》</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信息形成之日起20个工作日内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两微一端</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社区/企事业单位/村公示栏（电子屏）</w:t>
            </w:r>
          </w:p>
        </w:tc>
        <w:tc>
          <w:tcPr>
            <w:tcW w:w="605"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611" w:type="dxa"/>
            <w:tcBorders>
              <w:tl2br w:val="nil"/>
              <w:tr2bl w:val="nil"/>
            </w:tcBorders>
            <w:vAlign w:val="center"/>
          </w:tcPr>
          <w:p>
            <w:pPr>
              <w:spacing w:line="300" w:lineRule="exact"/>
              <w:jc w:val="center"/>
              <w:rPr>
                <w:color w:val="000000"/>
                <w:sz w:val="21"/>
                <w:szCs w:val="21"/>
                <w:highlight w:val="none"/>
                <w:shd w:val="clear" w:color="auto" w:fill="FFFFFF"/>
              </w:rPr>
            </w:pPr>
          </w:p>
        </w:tc>
        <w:tc>
          <w:tcPr>
            <w:tcW w:w="605"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843" w:type="dxa"/>
            <w:tcBorders>
              <w:tl2br w:val="nil"/>
              <w:tr2bl w:val="nil"/>
            </w:tcBorders>
            <w:vAlign w:val="center"/>
          </w:tcPr>
          <w:p>
            <w:pPr>
              <w:spacing w:line="300" w:lineRule="exact"/>
              <w:jc w:val="center"/>
              <w:rPr>
                <w:sz w:val="21"/>
                <w:szCs w:val="21"/>
                <w:highlight w:val="none"/>
              </w:rPr>
            </w:pPr>
            <w:r>
              <w:rPr>
                <w:sz w:val="21"/>
                <w:szCs w:val="21"/>
                <w:highlight w:val="none"/>
                <w:shd w:val="clear" w:color="auto" w:fill="FFFFFF"/>
              </w:rPr>
              <w:t>√</w:t>
            </w:r>
          </w:p>
        </w:tc>
        <w:tc>
          <w:tcPr>
            <w:tcW w:w="1170" w:type="dxa"/>
            <w:tcBorders>
              <w:tl2br w:val="nil"/>
              <w:tr2bl w:val="nil"/>
            </w:tcBorders>
          </w:tcPr>
          <w:p>
            <w:pPr>
              <w:spacing w:line="300" w:lineRule="exact"/>
              <w:jc w:val="center"/>
              <w:rPr>
                <w:sz w:val="21"/>
                <w:szCs w:val="21"/>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0" w:hRule="atLeast"/>
          <w:jc w:val="center"/>
        </w:trPr>
        <w:tc>
          <w:tcPr>
            <w:tcW w:w="437"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26</w:t>
            </w:r>
          </w:p>
        </w:tc>
        <w:tc>
          <w:tcPr>
            <w:tcW w:w="808"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公共</w:t>
            </w:r>
          </w:p>
          <w:p>
            <w:pPr>
              <w:spacing w:line="300" w:lineRule="exact"/>
              <w:jc w:val="center"/>
              <w:rPr>
                <w:color w:val="000000"/>
                <w:sz w:val="21"/>
                <w:szCs w:val="21"/>
                <w:highlight w:val="none"/>
              </w:rPr>
            </w:pPr>
            <w:r>
              <w:rPr>
                <w:color w:val="000000"/>
                <w:sz w:val="21"/>
                <w:szCs w:val="21"/>
                <w:highlight w:val="none"/>
              </w:rPr>
              <w:t>服务</w:t>
            </w:r>
          </w:p>
        </w:tc>
        <w:tc>
          <w:tcPr>
            <w:tcW w:w="982" w:type="dxa"/>
            <w:tcBorders>
              <w:tl2br w:val="nil"/>
              <w:tr2bl w:val="nil"/>
            </w:tcBorders>
            <w:vAlign w:val="center"/>
          </w:tcPr>
          <w:p>
            <w:pPr>
              <w:spacing w:line="300" w:lineRule="exact"/>
              <w:jc w:val="center"/>
              <w:rPr>
                <w:color w:val="000000"/>
                <w:sz w:val="21"/>
                <w:szCs w:val="21"/>
                <w:highlight w:val="none"/>
              </w:rPr>
            </w:pPr>
            <w:r>
              <w:rPr>
                <w:color w:val="000000"/>
                <w:sz w:val="21"/>
                <w:szCs w:val="21"/>
                <w:highlight w:val="none"/>
              </w:rPr>
              <w:t>食品用药安全宣传活动</w:t>
            </w:r>
          </w:p>
        </w:tc>
        <w:tc>
          <w:tcPr>
            <w:tcW w:w="235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活动时间、活动地点、活动形式、活动主题和内容等</w:t>
            </w:r>
          </w:p>
        </w:tc>
        <w:tc>
          <w:tcPr>
            <w:tcW w:w="279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信息形成之日起7个工作日内</w:t>
            </w:r>
          </w:p>
        </w:tc>
        <w:tc>
          <w:tcPr>
            <w:tcW w:w="780" w:type="dxa"/>
            <w:tcBorders>
              <w:tl2br w:val="nil"/>
              <w:tr2bl w:val="nil"/>
            </w:tcBorders>
            <w:vAlign w:val="center"/>
          </w:tcPr>
          <w:p>
            <w:pPr>
              <w:spacing w:line="300" w:lineRule="exact"/>
              <w:rPr>
                <w:color w:val="000000"/>
                <w:sz w:val="21"/>
                <w:szCs w:val="21"/>
                <w:highlight w:val="none"/>
              </w:rPr>
            </w:pPr>
            <w:r>
              <w:rPr>
                <w:color w:val="000000"/>
                <w:sz w:val="21"/>
                <w:szCs w:val="21"/>
                <w:highlight w:val="none"/>
              </w:rPr>
              <w:t>市场监督管理部门</w:t>
            </w:r>
          </w:p>
        </w:tc>
        <w:tc>
          <w:tcPr>
            <w:tcW w:w="1165" w:type="dxa"/>
            <w:tcBorders>
              <w:tl2br w:val="nil"/>
              <w:tr2bl w:val="nil"/>
            </w:tcBorders>
            <w:vAlign w:val="center"/>
          </w:tcPr>
          <w:p>
            <w:pPr>
              <w:widowControl/>
              <w:spacing w:line="300" w:lineRule="exact"/>
              <w:rPr>
                <w:color w:val="000000"/>
                <w:kern w:val="0"/>
                <w:sz w:val="21"/>
                <w:szCs w:val="21"/>
                <w:highlight w:val="none"/>
                <w:shd w:val="clear" w:color="auto" w:fill="FFFFFF"/>
              </w:rPr>
            </w:pPr>
            <w:r>
              <w:rPr>
                <w:rFonts w:hint="eastAsia"/>
                <w:color w:val="000000"/>
                <w:kern w:val="0"/>
                <w:sz w:val="21"/>
                <w:szCs w:val="21"/>
                <w:highlight w:val="none"/>
                <w:shd w:val="clear" w:color="auto" w:fill="FFFFFF"/>
              </w:rPr>
              <w:t>■</w:t>
            </w:r>
            <w:r>
              <w:rPr>
                <w:color w:val="000000"/>
                <w:kern w:val="0"/>
                <w:sz w:val="21"/>
                <w:szCs w:val="21"/>
                <w:highlight w:val="none"/>
                <w:shd w:val="clear" w:color="auto" w:fill="FFFFFF"/>
              </w:rPr>
              <w:t>政府网站</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两微一端</w:t>
            </w:r>
          </w:p>
          <w:p>
            <w:pPr>
              <w:widowControl/>
              <w:spacing w:line="300" w:lineRule="exact"/>
              <w:jc w:val="left"/>
              <w:rPr>
                <w:color w:val="000000"/>
                <w:sz w:val="21"/>
                <w:szCs w:val="21"/>
                <w:highlight w:val="none"/>
              </w:rPr>
            </w:pPr>
            <w:r>
              <w:rPr>
                <w:rFonts w:hint="eastAsia"/>
                <w:color w:val="000000"/>
                <w:sz w:val="21"/>
                <w:szCs w:val="21"/>
                <w:highlight w:val="none"/>
              </w:rPr>
              <w:t>■</w:t>
            </w:r>
            <w:r>
              <w:rPr>
                <w:color w:val="000000"/>
                <w:sz w:val="21"/>
                <w:szCs w:val="21"/>
                <w:highlight w:val="none"/>
              </w:rPr>
              <w:t>社区/企事业单位/村公示栏（电子屏）</w:t>
            </w:r>
          </w:p>
        </w:tc>
        <w:tc>
          <w:tcPr>
            <w:tcW w:w="605"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611" w:type="dxa"/>
            <w:tcBorders>
              <w:tl2br w:val="nil"/>
              <w:tr2bl w:val="nil"/>
            </w:tcBorders>
            <w:vAlign w:val="center"/>
          </w:tcPr>
          <w:p>
            <w:pPr>
              <w:spacing w:line="300" w:lineRule="exact"/>
              <w:jc w:val="center"/>
              <w:rPr>
                <w:color w:val="000000"/>
                <w:sz w:val="21"/>
                <w:szCs w:val="21"/>
                <w:highlight w:val="none"/>
                <w:shd w:val="clear" w:color="auto" w:fill="FFFFFF"/>
              </w:rPr>
            </w:pPr>
          </w:p>
        </w:tc>
        <w:tc>
          <w:tcPr>
            <w:tcW w:w="605"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709" w:type="dxa"/>
            <w:tcBorders>
              <w:tl2br w:val="nil"/>
              <w:tr2bl w:val="nil"/>
            </w:tcBorders>
            <w:vAlign w:val="center"/>
          </w:tcPr>
          <w:p>
            <w:pPr>
              <w:spacing w:line="300" w:lineRule="exact"/>
              <w:jc w:val="center"/>
              <w:rPr>
                <w:color w:val="000000"/>
                <w:sz w:val="21"/>
                <w:szCs w:val="21"/>
                <w:highlight w:val="none"/>
              </w:rPr>
            </w:pPr>
          </w:p>
        </w:tc>
        <w:tc>
          <w:tcPr>
            <w:tcW w:w="507" w:type="dxa"/>
            <w:tcBorders>
              <w:tl2br w:val="nil"/>
              <w:tr2bl w:val="nil"/>
            </w:tcBorders>
            <w:vAlign w:val="center"/>
          </w:tcPr>
          <w:p>
            <w:pPr>
              <w:spacing w:line="300" w:lineRule="exact"/>
              <w:jc w:val="center"/>
              <w:rPr>
                <w:color w:val="000000"/>
                <w:sz w:val="21"/>
                <w:szCs w:val="21"/>
                <w:highlight w:val="none"/>
                <w:shd w:val="clear" w:color="auto" w:fill="FFFFFF"/>
              </w:rPr>
            </w:pPr>
            <w:r>
              <w:rPr>
                <w:color w:val="000000"/>
                <w:sz w:val="21"/>
                <w:szCs w:val="21"/>
                <w:highlight w:val="none"/>
                <w:shd w:val="clear" w:color="auto" w:fill="FFFFFF"/>
              </w:rPr>
              <w:t>√</w:t>
            </w:r>
          </w:p>
        </w:tc>
        <w:tc>
          <w:tcPr>
            <w:tcW w:w="843" w:type="dxa"/>
            <w:tcBorders>
              <w:tl2br w:val="nil"/>
              <w:tr2bl w:val="nil"/>
            </w:tcBorders>
            <w:vAlign w:val="center"/>
          </w:tcPr>
          <w:p>
            <w:pPr>
              <w:spacing w:line="300" w:lineRule="exact"/>
              <w:jc w:val="center"/>
              <w:rPr>
                <w:sz w:val="21"/>
                <w:szCs w:val="21"/>
                <w:highlight w:val="none"/>
              </w:rPr>
            </w:pPr>
            <w:r>
              <w:rPr>
                <w:sz w:val="21"/>
                <w:szCs w:val="21"/>
                <w:highlight w:val="none"/>
                <w:shd w:val="clear" w:color="auto" w:fill="FFFFFF"/>
              </w:rPr>
              <w:t>√</w:t>
            </w:r>
          </w:p>
        </w:tc>
        <w:tc>
          <w:tcPr>
            <w:tcW w:w="1170" w:type="dxa"/>
            <w:tcBorders>
              <w:tl2br w:val="nil"/>
              <w:tr2bl w:val="nil"/>
            </w:tcBorders>
          </w:tcPr>
          <w:p>
            <w:pPr>
              <w:spacing w:line="300" w:lineRule="exact"/>
              <w:jc w:val="center"/>
              <w:rPr>
                <w:sz w:val="21"/>
                <w:szCs w:val="21"/>
                <w:highlight w:val="none"/>
                <w:shd w:val="clear" w:color="auto" w:fill="FFFFFF"/>
              </w:rPr>
            </w:pPr>
          </w:p>
        </w:tc>
      </w:tr>
    </w:tbl>
    <w:p/>
    <w:sectPr>
      <w:footerReference r:id="rId3" w:type="default"/>
      <w:pgSz w:w="16838" w:h="11906" w:orient="landscape"/>
      <w:pgMar w:top="1418"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5611904"/>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4F"/>
    <w:rsid w:val="00021208"/>
    <w:rsid w:val="001D38A7"/>
    <w:rsid w:val="002821CD"/>
    <w:rsid w:val="0028374F"/>
    <w:rsid w:val="00286119"/>
    <w:rsid w:val="00394369"/>
    <w:rsid w:val="004B13C7"/>
    <w:rsid w:val="006D4D38"/>
    <w:rsid w:val="00756EBF"/>
    <w:rsid w:val="00982047"/>
    <w:rsid w:val="00AA1632"/>
    <w:rsid w:val="00B23900"/>
    <w:rsid w:val="00C738A7"/>
    <w:rsid w:val="00C94C46"/>
    <w:rsid w:val="00CE123F"/>
    <w:rsid w:val="00D55C08"/>
    <w:rsid w:val="00D74215"/>
    <w:rsid w:val="00EA157D"/>
    <w:rsid w:val="00FC70D6"/>
    <w:rsid w:val="3B7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仿宋_GB2312" w:cs="Times New Roman"/>
      <w:sz w:val="18"/>
      <w:szCs w:val="18"/>
    </w:rPr>
  </w:style>
  <w:style w:type="character" w:customStyle="1" w:styleId="8">
    <w:name w:val="页脚 Char"/>
    <w:basedOn w:val="6"/>
    <w:link w:val="3"/>
    <w:uiPriority w:val="99"/>
    <w:rPr>
      <w:rFonts w:ascii="Times New Roman" w:hAnsi="Times New Roman" w:eastAsia="仿宋_GB2312" w:cs="Times New Roman"/>
      <w:sz w:val="18"/>
      <w:szCs w:val="18"/>
    </w:rPr>
  </w:style>
  <w:style w:type="character" w:customStyle="1" w:styleId="9">
    <w:name w:val="标题 1 Char"/>
    <w:basedOn w:val="6"/>
    <w:link w:val="2"/>
    <w:uiPriority w:val="9"/>
    <w:rPr>
      <w:rFonts w:ascii="Times New Roman" w:hAnsi="Times New Roman" w:eastAsia="仿宋_GB2312" w:cs="Times New Roman"/>
      <w:b/>
      <w:bCs/>
      <w:kern w:val="44"/>
      <w:sz w:val="44"/>
      <w:szCs w:val="44"/>
    </w:rPr>
  </w:style>
  <w:style w:type="paragraph" w:styleId="1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5F020-62FC-4E83-B4A9-E3930F7A1F9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765</Words>
  <Characters>4362</Characters>
  <Lines>36</Lines>
  <Paragraphs>10</Paragraphs>
  <TotalTime>2</TotalTime>
  <ScaleCrop>false</ScaleCrop>
  <LinksUpToDate>false</LinksUpToDate>
  <CharactersWithSpaces>5117</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2020-11-30T08:34:00Z</dcterms:created>
  <dc:creator>何雯雯</dc:creator>
  <cp:lastModifiedBy>梁锦豪</cp:lastModifiedBy>
  <dcterms:modified xsi:type="dcterms:W3CDTF">2021-01-05T04:02:59Z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