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华文中宋" w:hAnsi="华文中宋" w:eastAsia="华文中宋"/>
          <w:sz w:val="44"/>
          <w:szCs w:val="44"/>
        </w:rPr>
      </w:pPr>
    </w:p>
    <w:p>
      <w:pPr>
        <w:spacing w:line="240" w:lineRule="auto"/>
        <w:ind w:firstLine="0" w:firstLineChars="0"/>
        <w:jc w:val="center"/>
        <w:rPr>
          <w:rFonts w:ascii="华文中宋" w:hAnsi="华文中宋" w:eastAsia="华文中宋"/>
          <w:sz w:val="44"/>
          <w:szCs w:val="44"/>
        </w:rPr>
      </w:pPr>
    </w:p>
    <w:p>
      <w:pPr>
        <w:spacing w:line="480" w:lineRule="auto"/>
        <w:ind w:firstLine="0" w:firstLineChars="0"/>
        <w:jc w:val="center"/>
        <w:rPr>
          <w:rFonts w:ascii="华文中宋" w:hAnsi="华文中宋" w:eastAsia="华文中宋"/>
          <w:sz w:val="44"/>
          <w:szCs w:val="44"/>
        </w:rPr>
      </w:pPr>
      <w:r>
        <w:rPr>
          <w:rFonts w:hint="eastAsia" w:ascii="华文中宋" w:hAnsi="华文中宋" w:eastAsia="华文中宋"/>
          <w:sz w:val="44"/>
          <w:szCs w:val="44"/>
        </w:rPr>
        <w:t>个人所得税专项附加扣除暂行办法</w:t>
      </w:r>
    </w:p>
    <w:p>
      <w:pPr>
        <w:spacing w:line="480" w:lineRule="auto"/>
        <w:ind w:firstLine="0" w:firstLineChars="0"/>
        <w:jc w:val="center"/>
        <w:rPr>
          <w:rFonts w:ascii="楷体_GB2312" w:hAnsi="华文中宋" w:eastAsia="楷体_GB2312"/>
          <w:sz w:val="36"/>
          <w:szCs w:val="36"/>
        </w:rPr>
      </w:pPr>
      <w:r>
        <w:rPr>
          <w:rFonts w:hint="eastAsia" w:ascii="楷体_GB2312" w:hAnsi="华文中宋" w:eastAsia="楷体_GB2312"/>
          <w:sz w:val="36"/>
          <w:szCs w:val="36"/>
        </w:rPr>
        <w:t>（征求意见稿）</w:t>
      </w:r>
    </w:p>
    <w:p>
      <w:pPr>
        <w:spacing w:line="480" w:lineRule="auto"/>
        <w:ind w:firstLine="0" w:firstLineChars="0"/>
        <w:jc w:val="center"/>
        <w:rPr>
          <w:rFonts w:ascii="黑体" w:hAnsi="黑体" w:eastAsia="黑体"/>
          <w:bCs/>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第一章 总则</w:t>
      </w:r>
    </w:p>
    <w:p>
      <w:pPr>
        <w:spacing w:line="480" w:lineRule="auto"/>
        <w:ind w:firstLine="566" w:firstLineChars="177"/>
        <w:jc w:val="left"/>
        <w:rPr>
          <w:rFonts w:ascii="仿宋_GB2312" w:hAnsi="宋体" w:eastAsia="仿宋_GB2312"/>
          <w:bCs/>
          <w:sz w:val="32"/>
          <w:szCs w:val="32"/>
        </w:rPr>
      </w:pP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第一条</w:t>
      </w:r>
      <w:r>
        <w:rPr>
          <w:rFonts w:hint="eastAsia" w:ascii="仿宋_GB2312" w:hAnsi="宋体" w:eastAsia="仿宋_GB2312"/>
          <w:bCs/>
          <w:sz w:val="32"/>
          <w:szCs w:val="32"/>
        </w:rPr>
        <w:t xml:space="preserve"> 根据《</w:t>
      </w:r>
      <w:r>
        <w:rPr>
          <w:rFonts w:hint="eastAsia" w:ascii="仿宋_GB2312" w:hAnsi="宋体" w:eastAsia="仿宋_GB2312" w:cs="Times New Roman"/>
          <w:bCs/>
          <w:sz w:val="32"/>
          <w:szCs w:val="32"/>
        </w:rPr>
        <w:t>中华人民共和国个人所得税法</w:t>
      </w:r>
      <w:r>
        <w:rPr>
          <w:rFonts w:hint="eastAsia" w:ascii="仿宋_GB2312" w:hAnsi="宋体" w:eastAsia="仿宋_GB2312"/>
          <w:bCs/>
          <w:sz w:val="32"/>
          <w:szCs w:val="32"/>
        </w:rPr>
        <w:t>》规定，制定本办法。</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第二条</w:t>
      </w:r>
      <w:r>
        <w:rPr>
          <w:rFonts w:hint="eastAsia" w:ascii="仿宋_GB2312" w:hAnsi="宋体" w:eastAsia="仿宋_GB2312"/>
          <w:bCs/>
          <w:sz w:val="32"/>
          <w:szCs w:val="32"/>
        </w:rPr>
        <w:t xml:space="preserve"> 个人所得税专项附加扣除在纳税人本年度综合所得</w:t>
      </w:r>
      <w:r>
        <w:rPr>
          <w:rFonts w:hint="eastAsia" w:ascii="仿宋_GB2312" w:hAnsi="宋体" w:eastAsia="仿宋_GB2312"/>
          <w:sz w:val="32"/>
          <w:szCs w:val="32"/>
        </w:rPr>
        <w:t>应纳税所得额</w:t>
      </w:r>
      <w:r>
        <w:rPr>
          <w:rFonts w:hint="eastAsia" w:ascii="仿宋_GB2312" w:hAnsi="宋体" w:eastAsia="仿宋_GB2312"/>
          <w:bCs/>
          <w:sz w:val="32"/>
          <w:szCs w:val="32"/>
        </w:rPr>
        <w:t>中扣除，</w:t>
      </w:r>
      <w:r>
        <w:rPr>
          <w:rFonts w:hint="eastAsia" w:ascii="仿宋_GB2312" w:eastAsia="仿宋_GB2312"/>
          <w:sz w:val="32"/>
          <w:szCs w:val="32"/>
        </w:rPr>
        <w:t>本年度扣除不完的，</w:t>
      </w:r>
      <w:r>
        <w:rPr>
          <w:rFonts w:hint="eastAsia" w:ascii="仿宋_GB2312" w:hAnsi="宋体" w:eastAsia="仿宋_GB2312"/>
          <w:bCs/>
          <w:sz w:val="32"/>
          <w:szCs w:val="32"/>
        </w:rPr>
        <w:t>不得结转以后年度扣除。</w:t>
      </w:r>
    </w:p>
    <w:p>
      <w:pPr>
        <w:pStyle w:val="7"/>
        <w:spacing w:line="480" w:lineRule="auto"/>
        <w:ind w:firstLine="566" w:firstLineChars="177"/>
        <w:jc w:val="left"/>
        <w:rPr>
          <w:rFonts w:ascii="仿宋_GB2312" w:hAnsi="宋体" w:eastAsia="仿宋_GB2312"/>
          <w:bCs/>
          <w:sz w:val="32"/>
          <w:szCs w:val="32"/>
        </w:rPr>
      </w:pPr>
      <w:r>
        <w:rPr>
          <w:rFonts w:hint="eastAsia" w:ascii="仿宋_GB2312" w:hAnsi="宋体" w:eastAsia="仿宋_GB2312"/>
          <w:bCs/>
          <w:sz w:val="32"/>
          <w:szCs w:val="32"/>
        </w:rPr>
        <w:t>本办法所称个人所得税专项附加扣除，是指个人所得税法规定的子女教育、继续教育、大病医疗、住房贷款利息、住房租金和赡养老人等6项专项附加扣除。</w:t>
      </w:r>
      <w:r>
        <w:rPr>
          <w:rFonts w:ascii="仿宋_GB2312" w:hAnsi="宋体" w:eastAsia="仿宋_GB2312"/>
          <w:bCs/>
          <w:sz w:val="32"/>
          <w:szCs w:val="32"/>
        </w:rPr>
        <w:t xml:space="preserve"> </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第三条</w:t>
      </w:r>
      <w:r>
        <w:rPr>
          <w:rFonts w:hint="eastAsia" w:ascii="仿宋_GB2312" w:hAnsi="宋体" w:eastAsia="仿宋_GB2312"/>
          <w:bCs/>
          <w:sz w:val="32"/>
          <w:szCs w:val="32"/>
        </w:rPr>
        <w:t xml:space="preserve"> 个人所得税专项附加扣除遵循公平合理、简便易行、切实减负、改善民生的原则。</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第四条</w:t>
      </w:r>
      <w:r>
        <w:rPr>
          <w:rFonts w:hint="eastAsia" w:ascii="仿宋_GB2312" w:hAnsi="宋体" w:eastAsia="仿宋_GB2312"/>
          <w:bCs/>
          <w:sz w:val="32"/>
          <w:szCs w:val="32"/>
        </w:rPr>
        <w:t xml:space="preserve"> 根据教育、住房、医疗等民生支出变化情况，适时调整专项附加扣除范围和标准。</w:t>
      </w:r>
    </w:p>
    <w:p>
      <w:pPr>
        <w:spacing w:line="480" w:lineRule="auto"/>
        <w:ind w:firstLine="566" w:firstLineChars="177"/>
        <w:jc w:val="center"/>
        <w:rPr>
          <w:rFonts w:ascii="黑体" w:hAnsi="黑体" w:eastAsia="黑体"/>
          <w:bCs/>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第二章 子女教育专项附加扣除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第五条</w:t>
      </w:r>
      <w:r>
        <w:rPr>
          <w:rFonts w:hint="eastAsia" w:ascii="仿宋_GB2312" w:hAnsi="宋体" w:eastAsia="仿宋_GB2312"/>
          <w:bCs/>
          <w:sz w:val="32"/>
          <w:szCs w:val="32"/>
        </w:rPr>
        <w:t xml:space="preserve"> 纳税人的子女接受学前教育和学历教育的相关支出，按照每个子女每年12000元（每月1000元）的标准定额扣除。</w:t>
      </w:r>
    </w:p>
    <w:p>
      <w:pPr>
        <w:pStyle w:val="7"/>
        <w:spacing w:line="480" w:lineRule="auto"/>
        <w:ind w:firstLine="566" w:firstLineChars="177"/>
        <w:jc w:val="left"/>
        <w:rPr>
          <w:rFonts w:ascii="仿宋_GB2312" w:hAnsi="宋体" w:eastAsia="仿宋_GB2312"/>
          <w:bCs/>
          <w:sz w:val="32"/>
          <w:szCs w:val="32"/>
        </w:rPr>
      </w:pPr>
      <w:r>
        <w:rPr>
          <w:rFonts w:hint="eastAsia" w:ascii="仿宋_GB2312" w:hAnsi="宋体" w:eastAsia="仿宋_GB2312"/>
          <w:bCs/>
          <w:sz w:val="32"/>
          <w:szCs w:val="32"/>
        </w:rPr>
        <w:t>前款所称学前教育包括年满3岁至小学入学前教育。学历教育包括义务教育（小学和初中教育）、高中阶段教育（普</w:t>
      </w:r>
      <w:bookmarkStart w:id="0" w:name="_GoBack"/>
      <w:bookmarkEnd w:id="0"/>
      <w:r>
        <w:rPr>
          <w:rFonts w:hint="eastAsia" w:ascii="仿宋_GB2312" w:hAnsi="宋体" w:eastAsia="仿宋_GB2312"/>
          <w:bCs/>
          <w:sz w:val="32"/>
          <w:szCs w:val="32"/>
        </w:rPr>
        <w:t>通高中、中等职业教育)、高等教育（大学专科、大学本科、硕士研究生、博士研究生教育）。</w:t>
      </w:r>
    </w:p>
    <w:p>
      <w:pPr>
        <w:spacing w:line="600" w:lineRule="exact"/>
        <w:ind w:firstLine="640" w:firstLineChars="200"/>
        <w:rPr>
          <w:rFonts w:ascii="仿宋_GB2312" w:hAnsi="黑体" w:eastAsia="仿宋_GB2312"/>
          <w:sz w:val="32"/>
          <w:szCs w:val="32"/>
        </w:rPr>
      </w:pPr>
      <w:r>
        <w:rPr>
          <w:rFonts w:hint="eastAsia" w:ascii="黑体" w:hAnsi="黑体" w:eastAsia="黑体"/>
          <w:bCs/>
          <w:sz w:val="32"/>
          <w:szCs w:val="32"/>
        </w:rPr>
        <w:t>第六条</w:t>
      </w:r>
      <w:r>
        <w:rPr>
          <w:rFonts w:hint="eastAsia" w:ascii="仿宋_GB2312" w:hAnsi="宋体" w:eastAsia="仿宋_GB2312"/>
          <w:bCs/>
          <w:sz w:val="32"/>
          <w:szCs w:val="32"/>
        </w:rPr>
        <w:t xml:space="preserve"> 受教育子女</w:t>
      </w:r>
      <w:r>
        <w:rPr>
          <w:rFonts w:hint="eastAsia" w:ascii="仿宋_GB2312" w:hAnsi="黑体" w:eastAsia="仿宋_GB2312"/>
          <w:bCs/>
          <w:sz w:val="32"/>
          <w:szCs w:val="32"/>
        </w:rPr>
        <w:t>的</w:t>
      </w:r>
      <w:r>
        <w:rPr>
          <w:rFonts w:hint="eastAsia" w:ascii="仿宋_GB2312" w:hAnsi="黑体" w:eastAsia="仿宋_GB2312"/>
          <w:sz w:val="32"/>
          <w:szCs w:val="32"/>
        </w:rPr>
        <w:t>父母分别按扣除标准的50%扣除；经父母约定，也可以选择由其中一方按扣除标准的100%扣除。具体扣除方式在一个纳税年度内不得变更。</w:t>
      </w:r>
    </w:p>
    <w:p>
      <w:pPr>
        <w:spacing w:line="480" w:lineRule="auto"/>
        <w:ind w:firstLine="566" w:firstLineChars="177"/>
        <w:jc w:val="left"/>
        <w:rPr>
          <w:rFonts w:ascii="仿宋_GB2312" w:hAnsi="宋体" w:eastAsia="仿宋_GB2312"/>
          <w:bCs/>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第三章 继续教育专项附加扣除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第七条</w:t>
      </w:r>
      <w:r>
        <w:rPr>
          <w:rFonts w:hint="eastAsia" w:ascii="仿宋_GB2312" w:hAnsi="宋体" w:eastAsia="仿宋_GB2312"/>
          <w:bCs/>
          <w:sz w:val="32"/>
          <w:szCs w:val="32"/>
        </w:rPr>
        <w:t xml:space="preserve"> 纳税人接受学历继续教育的支出，在学历教育期间按照每年4800元（每月400元）定额扣除。纳税人接受技能人员职业资格继续教育、专业技术人员职业资格继续教育支出，在取得相关证书的年度，按照每年3600元定额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第八条</w:t>
      </w:r>
      <w:r>
        <w:rPr>
          <w:rFonts w:hint="eastAsia" w:ascii="仿宋_GB2312" w:hAnsi="宋体" w:eastAsia="仿宋_GB2312"/>
          <w:bCs/>
          <w:sz w:val="32"/>
          <w:szCs w:val="32"/>
        </w:rPr>
        <w:t xml:space="preserve"> 个人接受同一学历教育事项，符合本办法规定扣除条件的，该项教育支出可以由其父母按照子女教育支出扣除，也可以由本人按照继续教育支出扣除，但不得同时扣除。</w:t>
      </w:r>
    </w:p>
    <w:p>
      <w:pPr>
        <w:spacing w:line="480" w:lineRule="auto"/>
        <w:ind w:firstLine="566" w:firstLineChars="177"/>
        <w:jc w:val="center"/>
        <w:rPr>
          <w:rFonts w:ascii="黑体" w:hAnsi="黑体" w:eastAsia="黑体"/>
          <w:bCs/>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第四章 大病医疗专项附加扣除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第九条</w:t>
      </w:r>
      <w:r>
        <w:rPr>
          <w:rFonts w:hint="eastAsia" w:ascii="仿宋_GB2312" w:hAnsi="宋体" w:eastAsia="仿宋_GB2312"/>
          <w:bCs/>
          <w:sz w:val="32"/>
          <w:szCs w:val="32"/>
        </w:rPr>
        <w:t xml:space="preserve"> 一个纳税年度内，</w:t>
      </w:r>
      <w:r>
        <w:rPr>
          <w:rFonts w:hint="eastAsia" w:ascii="仿宋_GB2312" w:hAnsi="宋体" w:eastAsia="仿宋_GB2312"/>
          <w:sz w:val="32"/>
          <w:szCs w:val="32"/>
        </w:rPr>
        <w:t>在社会医疗保险管理信息系统记录的</w:t>
      </w:r>
      <w:r>
        <w:rPr>
          <w:rFonts w:hint="eastAsia" w:ascii="仿宋_GB2312" w:hAnsi="宋体" w:eastAsia="仿宋_GB2312"/>
          <w:bCs/>
          <w:sz w:val="32"/>
          <w:szCs w:val="32"/>
        </w:rPr>
        <w:t>（包括医保目录范围内的自付部分和医保目录范围外的自费部分）</w:t>
      </w:r>
      <w:r>
        <w:rPr>
          <w:rFonts w:hint="eastAsia" w:ascii="仿宋_GB2312" w:hAnsi="宋体" w:eastAsia="仿宋_GB2312"/>
          <w:sz w:val="32"/>
          <w:szCs w:val="32"/>
        </w:rPr>
        <w:t>由个人负担</w:t>
      </w:r>
      <w:r>
        <w:rPr>
          <w:rFonts w:hint="eastAsia" w:ascii="仿宋_GB2312" w:hAnsi="宋体" w:eastAsia="仿宋_GB2312"/>
          <w:bCs/>
          <w:sz w:val="32"/>
          <w:szCs w:val="32"/>
        </w:rPr>
        <w:t>超过15000元的医药费用支出部分，为大病医疗支出，可以按照每年60000元标准限额据实扣除。大病医疗专项附加扣除由纳税人办理汇算清缴时扣除。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第十条</w:t>
      </w:r>
      <w:r>
        <w:rPr>
          <w:rFonts w:hint="eastAsia" w:ascii="仿宋_GB2312" w:hAnsi="宋体" w:eastAsia="仿宋_GB2312"/>
          <w:bCs/>
          <w:sz w:val="32"/>
          <w:szCs w:val="32"/>
        </w:rPr>
        <w:t xml:space="preserve"> 纳税人发生的大病医疗支出由纳税人本人扣除。</w:t>
      </w:r>
    </w:p>
    <w:p>
      <w:pPr>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第十一条</w:t>
      </w:r>
      <w:r>
        <w:rPr>
          <w:rFonts w:hint="eastAsia" w:ascii="仿宋_GB2312" w:hAnsi="宋体" w:eastAsia="仿宋_GB2312"/>
          <w:bCs/>
          <w:sz w:val="32"/>
          <w:szCs w:val="32"/>
        </w:rPr>
        <w:t xml:space="preserve"> 纳税人应当留存医疗服务收费相关票据原件（或复印件）。</w:t>
      </w:r>
    </w:p>
    <w:p>
      <w:pPr>
        <w:pStyle w:val="7"/>
        <w:spacing w:line="480" w:lineRule="auto"/>
        <w:ind w:firstLine="566" w:firstLineChars="177"/>
        <w:jc w:val="center"/>
        <w:rPr>
          <w:rFonts w:ascii="黑体" w:hAnsi="黑体" w:eastAsia="黑体"/>
          <w:bCs/>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第五章 住房贷款利息专项附加扣除</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bCs/>
          <w:sz w:val="32"/>
          <w:szCs w:val="32"/>
        </w:rPr>
        <w:t>第十二条</w:t>
      </w:r>
      <w:r>
        <w:rPr>
          <w:rFonts w:hint="eastAsia" w:ascii="仿宋_GB2312" w:hAnsi="宋体" w:eastAsia="仿宋_GB2312"/>
          <w:bCs/>
          <w:sz w:val="32"/>
          <w:szCs w:val="32"/>
        </w:rPr>
        <w:t xml:space="preserve"> 纳税人本人或配偶</w:t>
      </w:r>
      <w:r>
        <w:rPr>
          <w:rFonts w:hint="eastAsia" w:ascii="仿宋_GB2312" w:eastAsia="仿宋_GB2312"/>
          <w:sz w:val="32"/>
          <w:szCs w:val="32"/>
        </w:rPr>
        <w:t>使用商业银行或住房公积金个人住房贷款为本人或其配偶</w:t>
      </w:r>
      <w:r>
        <w:rPr>
          <w:rFonts w:hint="eastAsia" w:ascii="仿宋_GB2312" w:hAnsi="宋体" w:eastAsia="仿宋_GB2312"/>
          <w:bCs/>
          <w:sz w:val="32"/>
          <w:szCs w:val="32"/>
        </w:rPr>
        <w:t>购买住房，发生的首套住房</w:t>
      </w:r>
      <w:r>
        <w:rPr>
          <w:rFonts w:hint="eastAsia" w:ascii="仿宋_GB2312" w:hAnsi="宋体" w:eastAsia="仿宋_GB2312" w:cs="仿宋_GB2312"/>
          <w:sz w:val="32"/>
          <w:szCs w:val="32"/>
        </w:rPr>
        <w:t>贷款利息支出，在偿还贷款期间，可以按照每年12000元（每月1000元）标准定额扣除。非首套住房贷款利息支出，纳税人不得扣除。</w:t>
      </w:r>
      <w:r>
        <w:rPr>
          <w:rFonts w:hint="eastAsia" w:ascii="仿宋_GB2312" w:eastAsia="仿宋_GB2312"/>
          <w:sz w:val="32"/>
          <w:szCs w:val="32"/>
        </w:rPr>
        <w:t>纳税人只能享受一套首套住房贷款利息扣除。</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第十三条</w:t>
      </w:r>
      <w:r>
        <w:rPr>
          <w:rFonts w:hint="eastAsia" w:ascii="仿宋_GB2312" w:hAnsi="黑体" w:eastAsia="仿宋_GB2312"/>
          <w:sz w:val="32"/>
          <w:szCs w:val="32"/>
        </w:rPr>
        <w:t xml:space="preserve"> 经夫妻双方约定，可以选择由其中一方扣除，具体扣除方式在一个纳税年度内不得变更。</w:t>
      </w:r>
    </w:p>
    <w:p>
      <w:pPr>
        <w:spacing w:line="480" w:lineRule="auto"/>
        <w:ind w:firstLine="640" w:firstLineChars="200"/>
        <w:jc w:val="left"/>
        <w:rPr>
          <w:rFonts w:ascii="仿宋_GB2312" w:hAnsi="Calibri" w:eastAsia="仿宋_GB2312" w:cs="Times New Roman"/>
          <w:sz w:val="32"/>
          <w:szCs w:val="32"/>
        </w:rPr>
      </w:pPr>
      <w:r>
        <w:rPr>
          <w:rFonts w:hint="eastAsia" w:ascii="黑体" w:hAnsi="黑体" w:eastAsia="黑体" w:cs="Times New Roman"/>
          <w:sz w:val="32"/>
          <w:szCs w:val="32"/>
        </w:rPr>
        <w:t>第十四条</w:t>
      </w:r>
      <w:r>
        <w:rPr>
          <w:rFonts w:hint="eastAsia" w:ascii="仿宋_GB2312" w:hAnsi="Calibri" w:eastAsia="仿宋_GB2312" w:cs="Times New Roman"/>
          <w:sz w:val="32"/>
          <w:szCs w:val="32"/>
        </w:rPr>
        <w:t xml:space="preserve"> 纳税人应当留存住房贷款合同、贷款还款支出凭证。</w:t>
      </w:r>
    </w:p>
    <w:p>
      <w:pPr>
        <w:spacing w:line="480" w:lineRule="auto"/>
        <w:ind w:firstLine="0" w:firstLineChars="0"/>
        <w:jc w:val="center"/>
        <w:rPr>
          <w:rFonts w:ascii="黑体" w:hAnsi="黑体" w:eastAsia="黑体" w:cs="仿宋_GB2312"/>
          <w:sz w:val="32"/>
          <w:szCs w:val="32"/>
        </w:rPr>
      </w:pPr>
    </w:p>
    <w:p>
      <w:pPr>
        <w:spacing w:line="480" w:lineRule="auto"/>
        <w:ind w:firstLine="0" w:firstLineChars="0"/>
        <w:jc w:val="center"/>
        <w:rPr>
          <w:rFonts w:ascii="黑体" w:hAnsi="黑体" w:eastAsia="黑体" w:cs="仿宋_GB2312"/>
          <w:sz w:val="32"/>
          <w:szCs w:val="32"/>
        </w:rPr>
      </w:pPr>
      <w:r>
        <w:rPr>
          <w:rFonts w:hint="eastAsia" w:ascii="黑体" w:hAnsi="黑体" w:eastAsia="黑体" w:cs="仿宋_GB2312"/>
          <w:sz w:val="32"/>
          <w:szCs w:val="32"/>
        </w:rPr>
        <w:t>第六章 住房租金专项附加扣除</w:t>
      </w:r>
    </w:p>
    <w:p>
      <w:pPr>
        <w:tabs>
          <w:tab w:val="left" w:pos="1985"/>
        </w:tabs>
        <w:spacing w:line="480" w:lineRule="auto"/>
        <w:ind w:firstLine="640" w:firstLineChars="200"/>
        <w:jc w:val="left"/>
        <w:rPr>
          <w:rFonts w:ascii="仿宋_GB2312" w:hAnsi="Calibri" w:eastAsia="仿宋_GB2312" w:cs="Times New Roman"/>
          <w:sz w:val="32"/>
          <w:szCs w:val="32"/>
        </w:rPr>
      </w:pPr>
      <w:r>
        <w:rPr>
          <w:rFonts w:hint="eastAsia" w:ascii="黑体" w:hAnsi="黑体" w:eastAsia="黑体" w:cs="仿宋_GB2312"/>
          <w:sz w:val="32"/>
          <w:szCs w:val="32"/>
        </w:rPr>
        <w:t>第十五条</w:t>
      </w:r>
      <w:r>
        <w:rPr>
          <w:rFonts w:hint="eastAsia" w:ascii="仿宋_GB2312" w:hAnsi="宋体" w:eastAsia="仿宋_GB2312" w:cs="仿宋_GB2312"/>
          <w:sz w:val="32"/>
          <w:szCs w:val="32"/>
        </w:rPr>
        <w:t xml:space="preserve"> 纳税人</w:t>
      </w:r>
      <w:r>
        <w:rPr>
          <w:rFonts w:hint="eastAsia" w:ascii="仿宋_GB2312" w:eastAsia="仿宋_GB2312"/>
          <w:sz w:val="32"/>
          <w:szCs w:val="32"/>
        </w:rPr>
        <w:t>本人及配偶</w:t>
      </w:r>
      <w:r>
        <w:rPr>
          <w:rFonts w:hint="eastAsia" w:ascii="仿宋_GB2312" w:hAnsi="Calibri" w:eastAsia="仿宋_GB2312" w:cs="Times New Roman"/>
          <w:sz w:val="32"/>
          <w:szCs w:val="32"/>
        </w:rPr>
        <w:t>在纳税人的主要工作城市没有住房，而在主要工作城市租赁住房发生的租金支出,可以按照以下标准定额扣除：</w:t>
      </w:r>
    </w:p>
    <w:p>
      <w:pPr>
        <w:pStyle w:val="7"/>
        <w:spacing w:line="480" w:lineRule="auto"/>
        <w:ind w:firstLine="563" w:firstLineChars="176"/>
        <w:jc w:val="left"/>
        <w:rPr>
          <w:rFonts w:ascii="仿宋_GB2312" w:hAnsi="Calibri" w:eastAsia="仿宋_GB2312" w:cs="Times New Roman"/>
          <w:sz w:val="32"/>
          <w:szCs w:val="32"/>
        </w:rPr>
      </w:pPr>
      <w:r>
        <w:rPr>
          <w:rFonts w:hint="eastAsia" w:ascii="仿宋_GB2312" w:hAnsi="Calibri" w:eastAsia="仿宋_GB2312" w:cs="Times New Roman"/>
          <w:sz w:val="32"/>
          <w:szCs w:val="32"/>
        </w:rPr>
        <w:t>（一）承租的住房位于直辖市、省会城市、计划单列市以及国务院确定的其他城市，扣除标准为每年14400元（每月1200元）；</w:t>
      </w:r>
    </w:p>
    <w:p>
      <w:pPr>
        <w:pStyle w:val="7"/>
        <w:spacing w:line="480" w:lineRule="auto"/>
        <w:ind w:firstLine="563" w:firstLineChars="176"/>
        <w:jc w:val="left"/>
        <w:rPr>
          <w:rFonts w:ascii="仿宋_GB2312" w:hAnsi="Calibri" w:eastAsia="仿宋_GB2312" w:cs="Times New Roman"/>
          <w:sz w:val="32"/>
          <w:szCs w:val="32"/>
        </w:rPr>
      </w:pPr>
      <w:r>
        <w:rPr>
          <w:rFonts w:hint="eastAsia" w:ascii="仿宋_GB2312" w:hAnsi="Calibri" w:eastAsia="仿宋_GB2312" w:cs="Times New Roman"/>
          <w:sz w:val="32"/>
          <w:szCs w:val="32"/>
        </w:rPr>
        <w:t>（二）承租的住房位于其他城市的，</w:t>
      </w:r>
      <w:r>
        <w:rPr>
          <w:rFonts w:hint="eastAsia" w:ascii="仿宋_GB2312" w:hAnsi="黑体" w:eastAsia="仿宋_GB2312" w:cs="Times New Roman"/>
          <w:sz w:val="32"/>
          <w:szCs w:val="32"/>
        </w:rPr>
        <w:t>市辖区户籍人口超过100万的，</w:t>
      </w:r>
      <w:r>
        <w:rPr>
          <w:rFonts w:hint="eastAsia" w:ascii="仿宋_GB2312" w:hAnsi="Calibri" w:eastAsia="仿宋_GB2312" w:cs="Times New Roman"/>
          <w:sz w:val="32"/>
          <w:szCs w:val="32"/>
        </w:rPr>
        <w:t>扣除标准为每年12000元（每月1000元）；</w:t>
      </w:r>
    </w:p>
    <w:p>
      <w:pPr>
        <w:pStyle w:val="7"/>
        <w:spacing w:line="480" w:lineRule="auto"/>
        <w:ind w:firstLine="563" w:firstLineChars="176"/>
        <w:jc w:val="left"/>
        <w:rPr>
          <w:rFonts w:ascii="仿宋_GB2312" w:hAnsi="黑体" w:eastAsia="仿宋_GB2312" w:cs="Times New Roman"/>
          <w:sz w:val="32"/>
          <w:szCs w:val="32"/>
        </w:rPr>
      </w:pPr>
      <w:r>
        <w:rPr>
          <w:rFonts w:hint="eastAsia" w:ascii="仿宋_GB2312" w:hAnsi="黑体" w:eastAsia="仿宋_GB2312" w:cs="Times New Roman"/>
          <w:sz w:val="32"/>
          <w:szCs w:val="32"/>
        </w:rPr>
        <w:t>（三）承租的住房位于其他城市的，市辖区户籍人口不超过100万（含）的，扣除标准为每年9600元（每月800元）。</w:t>
      </w:r>
    </w:p>
    <w:p>
      <w:pPr>
        <w:tabs>
          <w:tab w:val="left" w:pos="1701"/>
          <w:tab w:val="left" w:pos="2127"/>
        </w:tabs>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第十六条</w:t>
      </w:r>
      <w:r>
        <w:rPr>
          <w:rFonts w:hint="eastAsia" w:ascii="仿宋_GB2312" w:hAnsi="宋体" w:eastAsia="仿宋_GB2312" w:cs="仿宋_GB2312"/>
          <w:sz w:val="32"/>
          <w:szCs w:val="32"/>
        </w:rPr>
        <w:t xml:space="preserve"> 主要工作城市是指纳税人任职受雇所在城市，无任职受雇单位的，为其经常居住城市。城市范围包括</w:t>
      </w:r>
      <w:r>
        <w:rPr>
          <w:rFonts w:hint="eastAsia" w:ascii="仿宋_GB2312" w:hAnsi="Calibri" w:eastAsia="仿宋_GB2312" w:cs="Times New Roman"/>
          <w:sz w:val="32"/>
          <w:szCs w:val="32"/>
        </w:rPr>
        <w:t>直辖市、计划单列市、副省级城市、地级市（地区、州、盟）全部行政区域范围</w:t>
      </w:r>
      <w:r>
        <w:rPr>
          <w:rFonts w:hint="eastAsia" w:ascii="仿宋_GB2312" w:hAnsi="宋体" w:eastAsia="仿宋_GB2312" w:cs="仿宋_GB2312"/>
          <w:sz w:val="32"/>
          <w:szCs w:val="32"/>
        </w:rPr>
        <w:t>。</w:t>
      </w:r>
    </w:p>
    <w:p>
      <w:pPr>
        <w:pStyle w:val="7"/>
        <w:spacing w:line="480" w:lineRule="auto"/>
        <w:ind w:firstLine="566" w:firstLineChars="177"/>
        <w:jc w:val="left"/>
        <w:rPr>
          <w:rFonts w:ascii="仿宋_GB2312" w:hAnsi="宋体" w:eastAsia="仿宋_GB2312" w:cs="仿宋_GB2312"/>
          <w:sz w:val="32"/>
          <w:szCs w:val="32"/>
        </w:rPr>
      </w:pPr>
      <w:r>
        <w:rPr>
          <w:rFonts w:hint="eastAsia" w:ascii="仿宋_GB2312" w:hAnsi="宋体" w:eastAsia="仿宋_GB2312" w:cs="仿宋_GB2312"/>
          <w:sz w:val="32"/>
          <w:szCs w:val="32"/>
        </w:rPr>
        <w:t>夫妻双方主要工作城市相同的，只能由一方扣除住房租金支出。夫妻双方主要工作城市不相同的，且各自在其主要工作城市都没有住房的，可以分别扣除住房租金支出。</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第十七条</w:t>
      </w:r>
      <w:r>
        <w:rPr>
          <w:rFonts w:hint="eastAsia" w:ascii="仿宋_GB2312" w:hAnsi="宋体" w:eastAsia="仿宋_GB2312" w:cs="仿宋_GB2312"/>
          <w:sz w:val="32"/>
          <w:szCs w:val="32"/>
        </w:rPr>
        <w:t xml:space="preserve"> 住房租金支出由签订租赁住房合同的承租人扣除。</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第十八条</w:t>
      </w:r>
      <w:r>
        <w:rPr>
          <w:rFonts w:hint="eastAsia" w:ascii="仿宋_GB2312" w:hAnsi="宋体" w:eastAsia="仿宋_GB2312" w:cs="仿宋_GB2312"/>
          <w:sz w:val="32"/>
          <w:szCs w:val="32"/>
        </w:rPr>
        <w:t xml:space="preserve"> 纳税人及其配偶不得同时分别享受住房贷款利息专项附加扣除和住房租金专项附加扣除。</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第十九条</w:t>
      </w:r>
      <w:r>
        <w:rPr>
          <w:rFonts w:hint="eastAsia" w:ascii="仿宋_GB2312" w:hAnsi="宋体" w:eastAsia="仿宋_GB2312" w:cs="仿宋_GB2312"/>
          <w:sz w:val="32"/>
          <w:szCs w:val="32"/>
        </w:rPr>
        <w:t xml:space="preserve"> 纳税人应当留存住房租赁合同。</w:t>
      </w:r>
    </w:p>
    <w:p>
      <w:pPr>
        <w:spacing w:line="480" w:lineRule="auto"/>
        <w:ind w:firstLine="566" w:firstLineChars="177"/>
        <w:jc w:val="center"/>
        <w:rPr>
          <w:rFonts w:ascii="黑体" w:hAnsi="黑体" w:eastAsia="黑体" w:cs="仿宋_GB2312"/>
          <w:sz w:val="32"/>
          <w:szCs w:val="32"/>
        </w:rPr>
      </w:pPr>
    </w:p>
    <w:p>
      <w:pPr>
        <w:spacing w:line="480" w:lineRule="auto"/>
        <w:ind w:firstLine="0" w:firstLineChars="0"/>
        <w:jc w:val="center"/>
        <w:rPr>
          <w:rFonts w:ascii="黑体" w:hAnsi="黑体" w:eastAsia="黑体" w:cs="仿宋_GB2312"/>
          <w:sz w:val="32"/>
          <w:szCs w:val="32"/>
        </w:rPr>
      </w:pPr>
      <w:r>
        <w:rPr>
          <w:rFonts w:hint="eastAsia" w:ascii="黑体" w:hAnsi="黑体" w:eastAsia="黑体" w:cs="仿宋_GB2312"/>
          <w:sz w:val="32"/>
          <w:szCs w:val="32"/>
        </w:rPr>
        <w:t>第七章 赡养老人专项附加扣除</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第二十条</w:t>
      </w:r>
      <w:r>
        <w:rPr>
          <w:rFonts w:hint="eastAsia" w:ascii="仿宋_GB2312" w:hAnsi="黑体" w:eastAsia="仿宋_GB2312" w:cs="仿宋_GB2312"/>
          <w:sz w:val="32"/>
          <w:szCs w:val="32"/>
        </w:rPr>
        <w:t xml:space="preserve"> 纳税人</w:t>
      </w:r>
      <w:r>
        <w:rPr>
          <w:rFonts w:hint="eastAsia" w:ascii="仿宋_GB2312" w:hAnsi="宋体" w:eastAsia="仿宋_GB2312" w:cs="仿宋_GB2312"/>
          <w:sz w:val="32"/>
          <w:szCs w:val="32"/>
        </w:rPr>
        <w:t>赡养60岁（含）以上父母以及其他法定赡养人的赡养支出，可以按照以下标准定额扣除：</w:t>
      </w:r>
    </w:p>
    <w:p>
      <w:pPr>
        <w:pStyle w:val="7"/>
        <w:spacing w:line="480" w:lineRule="auto"/>
        <w:ind w:firstLine="707" w:firstLineChars="221"/>
        <w:jc w:val="left"/>
        <w:rPr>
          <w:rFonts w:ascii="仿宋_GB2312" w:hAnsi="宋体" w:eastAsia="仿宋_GB2312" w:cs="仿宋_GB2312"/>
          <w:sz w:val="32"/>
          <w:szCs w:val="32"/>
        </w:rPr>
      </w:pPr>
      <w:r>
        <w:rPr>
          <w:rFonts w:hint="eastAsia" w:ascii="仿宋_GB2312" w:hAnsi="宋体" w:eastAsia="仿宋_GB2312" w:cs="仿宋_GB2312"/>
          <w:sz w:val="32"/>
          <w:szCs w:val="32"/>
        </w:rPr>
        <w:t>（一）纳税人为独生子女的，按照每年24000元（每月2000元）的标准定额扣除；</w:t>
      </w:r>
    </w:p>
    <w:p>
      <w:pPr>
        <w:pStyle w:val="7"/>
        <w:spacing w:line="480" w:lineRule="auto"/>
        <w:ind w:firstLine="704" w:firstLineChars="220"/>
        <w:jc w:val="left"/>
        <w:rPr>
          <w:rFonts w:ascii="仿宋_GB2312" w:hAnsi="宋体" w:eastAsia="仿宋_GB2312" w:cs="仿宋_GB2312"/>
          <w:sz w:val="32"/>
          <w:szCs w:val="32"/>
        </w:rPr>
      </w:pPr>
      <w:r>
        <w:rPr>
          <w:rFonts w:hint="eastAsia" w:ascii="仿宋_GB2312" w:hAnsi="宋体" w:eastAsia="仿宋_GB2312" w:cs="仿宋_GB2312"/>
          <w:sz w:val="32"/>
          <w:szCs w:val="32"/>
        </w:rPr>
        <w:t>（二）纳税人为非独生子女的，</w:t>
      </w:r>
      <w:r>
        <w:rPr>
          <w:rFonts w:hint="eastAsia" w:ascii="仿宋_GB2312" w:hAnsi="黑体" w:eastAsia="仿宋_GB2312" w:cs="仿宋_GB2312"/>
          <w:sz w:val="32"/>
          <w:szCs w:val="32"/>
        </w:rPr>
        <w:t>应当</w:t>
      </w:r>
      <w:r>
        <w:rPr>
          <w:rFonts w:hint="eastAsia" w:ascii="仿宋_GB2312" w:hAnsi="黑体" w:eastAsia="仿宋_GB2312" w:cs="Times New Roman"/>
          <w:sz w:val="32"/>
          <w:szCs w:val="32"/>
        </w:rPr>
        <w:t>与其兄弟姐妹分摊每年24000元(每月2000元)的扣除额度，分摊方式包括平均分摊、被赡养人指定分摊或者赡养人约定分摊，具体分摊方式在一个纳税年度内不得变更。采取指定分摊或约定分摊方式的，每一纳税人分摊的扣除额最高不得超过每年12000元（每月1000元），并签订书面分摊协议。指定分摊与约定分摊不一致的，以指定分摊为准。</w:t>
      </w:r>
      <w:r>
        <w:rPr>
          <w:rFonts w:hint="eastAsia" w:ascii="仿宋_GB2312" w:hAnsi="宋体" w:eastAsia="仿宋_GB2312" w:cs="仿宋_GB2312"/>
          <w:sz w:val="32"/>
          <w:szCs w:val="32"/>
        </w:rPr>
        <w:t>纳税人赡养2个及以上老人的，不按老人人数加倍扣除</w:t>
      </w:r>
      <w:r>
        <w:rPr>
          <w:rFonts w:hint="eastAsia" w:ascii="黑体" w:hAnsi="黑体" w:eastAsia="黑体" w:cs="仿宋_GB2312"/>
          <w:sz w:val="32"/>
          <w:szCs w:val="32"/>
        </w:rPr>
        <w:t>。</w:t>
      </w:r>
    </w:p>
    <w:p>
      <w:pPr>
        <w:spacing w:line="480" w:lineRule="auto"/>
        <w:ind w:firstLine="640" w:firstLineChars="200"/>
        <w:jc w:val="left"/>
        <w:rPr>
          <w:rFonts w:ascii="仿宋_GB2312" w:hAnsi="宋体" w:eastAsia="仿宋_GB2312" w:cs="仿宋_GB2312"/>
          <w:sz w:val="32"/>
          <w:szCs w:val="32"/>
        </w:rPr>
      </w:pPr>
      <w:r>
        <w:rPr>
          <w:rFonts w:hint="eastAsia" w:ascii="黑体" w:hAnsi="黑体" w:eastAsia="黑体" w:cs="仿宋_GB2312"/>
          <w:sz w:val="32"/>
          <w:szCs w:val="32"/>
        </w:rPr>
        <w:t>第二十一条</w:t>
      </w:r>
      <w:r>
        <w:rPr>
          <w:rFonts w:hint="eastAsia" w:ascii="仿宋_GB2312" w:hAnsi="宋体" w:eastAsia="仿宋_GB2312" w:cs="仿宋_GB2312"/>
          <w:sz w:val="32"/>
          <w:szCs w:val="32"/>
        </w:rPr>
        <w:t xml:space="preserve"> 其他法定赡养人是指祖父母、外祖父母的子女已经去世，实际承担对祖父母、外祖父母赡养义务的孙子女、外孙子女。</w:t>
      </w:r>
    </w:p>
    <w:p>
      <w:pPr>
        <w:pStyle w:val="7"/>
        <w:spacing w:line="480" w:lineRule="auto"/>
        <w:ind w:firstLine="566" w:firstLineChars="177"/>
        <w:jc w:val="left"/>
        <w:rPr>
          <w:rFonts w:ascii="仿宋_GB2312" w:eastAsia="仿宋_GB2312"/>
          <w:sz w:val="32"/>
          <w:szCs w:val="32"/>
        </w:rPr>
      </w:pPr>
    </w:p>
    <w:p>
      <w:pPr>
        <w:spacing w:line="480" w:lineRule="auto"/>
        <w:ind w:firstLine="0" w:firstLineChars="0"/>
        <w:jc w:val="center"/>
        <w:rPr>
          <w:rFonts w:ascii="黑体" w:hAnsi="黑体" w:eastAsia="黑体" w:cs="仿宋_GB2312"/>
          <w:sz w:val="32"/>
          <w:szCs w:val="32"/>
        </w:rPr>
      </w:pPr>
      <w:r>
        <w:rPr>
          <w:rFonts w:hint="eastAsia" w:ascii="黑体" w:hAnsi="黑体" w:eastAsia="黑体" w:cs="仿宋_GB2312"/>
          <w:sz w:val="32"/>
          <w:szCs w:val="32"/>
        </w:rPr>
        <w:t>第八章 征收管理</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第二十二条</w:t>
      </w:r>
      <w:r>
        <w:rPr>
          <w:rFonts w:hint="eastAsia" w:ascii="仿宋_GB2312" w:hAnsi="黑体" w:eastAsia="仿宋_GB2312"/>
          <w:sz w:val="32"/>
          <w:szCs w:val="32"/>
        </w:rPr>
        <w:t xml:space="preserve"> 纳税人向收款单位索取发票、财政票据、支出凭证，收款单位不得拒绝提供。</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第二十三条</w:t>
      </w:r>
      <w:r>
        <w:rPr>
          <w:rFonts w:hint="eastAsia" w:ascii="仿宋_GB2312" w:hAnsi="黑体" w:eastAsia="仿宋_GB2312"/>
          <w:sz w:val="32"/>
          <w:szCs w:val="32"/>
        </w:rPr>
        <w:t xml:space="preserve"> 纳税人首次享受专项附加扣除，应当将相关信息提交扣缴义务人或者税务机关，</w:t>
      </w:r>
      <w:r>
        <w:rPr>
          <w:rFonts w:hint="eastAsia" w:ascii="仿宋_GB2312" w:eastAsia="仿宋_GB2312"/>
          <w:sz w:val="32"/>
          <w:szCs w:val="32"/>
        </w:rPr>
        <w:t>扣缴义务人应尽快将相关信息报送税务机关，</w:t>
      </w:r>
      <w:r>
        <w:rPr>
          <w:rFonts w:hint="eastAsia" w:ascii="仿宋_GB2312" w:hAnsi="黑体" w:eastAsia="仿宋_GB2312"/>
          <w:sz w:val="32"/>
          <w:szCs w:val="32"/>
        </w:rPr>
        <w:t>纳税人对所提交信息的真实性负责。</w:t>
      </w:r>
      <w:r>
        <w:rPr>
          <w:rFonts w:hint="eastAsia" w:ascii="仿宋_GB2312" w:eastAsia="仿宋_GB2312"/>
          <w:sz w:val="32"/>
          <w:szCs w:val="32"/>
        </w:rPr>
        <w:t>专项附加扣除信息发生变化的，应当及时向扣缴义务人或者税务机关提供相关信息。</w:t>
      </w:r>
    </w:p>
    <w:p>
      <w:pPr>
        <w:spacing w:line="600" w:lineRule="exact"/>
        <w:ind w:firstLine="566" w:firstLineChars="177"/>
        <w:rPr>
          <w:rFonts w:ascii="仿宋_GB2312" w:hAnsi="黑体" w:eastAsia="仿宋_GB2312"/>
          <w:sz w:val="32"/>
          <w:szCs w:val="32"/>
        </w:rPr>
      </w:pPr>
      <w:r>
        <w:rPr>
          <w:rFonts w:hint="eastAsia" w:ascii="仿宋_GB2312" w:hAnsi="黑体" w:eastAsia="仿宋_GB2312"/>
          <w:sz w:val="32"/>
          <w:szCs w:val="32"/>
        </w:rPr>
        <w:t>前款所称专项附加扣除相关信息，包括纳税人本人、配偶、未成年子女、被赡养老人等个人身份信息，以及国务院税务主管部门规定的其他与专项附加扣除相关信息。</w:t>
      </w:r>
    </w:p>
    <w:p>
      <w:pPr>
        <w:spacing w:line="620" w:lineRule="exact"/>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第二十四条</w:t>
      </w:r>
      <w:r>
        <w:rPr>
          <w:rFonts w:hint="eastAsia" w:ascii="仿宋_GB2312" w:hAnsi="黑体" w:eastAsia="仿宋_GB2312" w:cs="Times New Roman"/>
          <w:sz w:val="32"/>
          <w:szCs w:val="32"/>
        </w:rPr>
        <w:t xml:space="preserve"> 有关部门和单位应当向税务部门提供或协助核实以下与专项附加扣除有关的信息：</w:t>
      </w:r>
    </w:p>
    <w:p>
      <w:pPr>
        <w:pStyle w:val="7"/>
        <w:spacing w:line="620" w:lineRule="exact"/>
        <w:ind w:firstLine="566" w:firstLineChars="177"/>
        <w:rPr>
          <w:rFonts w:ascii="仿宋_GB2312" w:hAnsi="黑体" w:eastAsia="仿宋_GB2312" w:cs="Times New Roman"/>
          <w:sz w:val="32"/>
          <w:szCs w:val="32"/>
        </w:rPr>
      </w:pPr>
      <w:r>
        <w:rPr>
          <w:rFonts w:hint="eastAsia" w:ascii="仿宋_GB2312" w:hAnsi="黑体" w:eastAsia="仿宋_GB2312" w:cs="Times New Roman"/>
          <w:sz w:val="32"/>
          <w:szCs w:val="32"/>
        </w:rPr>
        <w:t>（一）公安部门有关</w:t>
      </w:r>
      <w:r>
        <w:rPr>
          <w:rFonts w:hint="eastAsia" w:ascii="仿宋_GB2312" w:eastAsia="仿宋_GB2312"/>
          <w:sz w:val="32"/>
          <w:szCs w:val="32"/>
        </w:rPr>
        <w:t>身份信息、户籍信息、</w:t>
      </w:r>
      <w:r>
        <w:rPr>
          <w:rFonts w:hint="eastAsia" w:ascii="仿宋_GB2312" w:hAnsi="Calibri" w:eastAsia="仿宋_GB2312" w:cs="Times New Roman"/>
          <w:sz w:val="32"/>
          <w:szCs w:val="32"/>
        </w:rPr>
        <w:t>出入境</w:t>
      </w:r>
      <w:r>
        <w:rPr>
          <w:rFonts w:hint="eastAsia" w:ascii="仿宋_GB2312" w:eastAsia="仿宋_GB2312"/>
          <w:sz w:val="32"/>
          <w:szCs w:val="32"/>
        </w:rPr>
        <w:t>证件</w:t>
      </w:r>
      <w:r>
        <w:rPr>
          <w:rFonts w:hint="eastAsia" w:ascii="仿宋_GB2312" w:hAnsi="Calibri" w:eastAsia="仿宋_GB2312" w:cs="Times New Roman"/>
          <w:sz w:val="32"/>
          <w:szCs w:val="32"/>
        </w:rPr>
        <w:t>信息、</w:t>
      </w:r>
      <w:r>
        <w:rPr>
          <w:rFonts w:hint="eastAsia" w:ascii="仿宋_GB2312" w:hAnsi="黑体" w:eastAsia="仿宋_GB2312" w:cs="Times New Roman"/>
          <w:sz w:val="32"/>
          <w:szCs w:val="32"/>
        </w:rPr>
        <w:t>出国留学人员信息、公民死亡标识等信息；</w:t>
      </w:r>
    </w:p>
    <w:p>
      <w:pPr>
        <w:pStyle w:val="7"/>
        <w:spacing w:line="620" w:lineRule="exact"/>
        <w:ind w:firstLine="566" w:firstLineChars="177"/>
        <w:rPr>
          <w:rFonts w:ascii="仿宋_GB2312" w:hAnsi="黑体" w:eastAsia="仿宋_GB2312" w:cs="Times New Roman"/>
          <w:sz w:val="32"/>
          <w:szCs w:val="32"/>
        </w:rPr>
      </w:pPr>
      <w:r>
        <w:rPr>
          <w:rFonts w:hint="eastAsia" w:ascii="仿宋_GB2312" w:hAnsi="黑体" w:eastAsia="仿宋_GB2312" w:cs="Times New Roman"/>
          <w:sz w:val="32"/>
          <w:szCs w:val="32"/>
        </w:rPr>
        <w:t>（二）卫生健康部门有关出生医学证明信息、独生子女信息；</w:t>
      </w:r>
    </w:p>
    <w:p>
      <w:pPr>
        <w:pStyle w:val="7"/>
        <w:spacing w:line="620" w:lineRule="exact"/>
        <w:ind w:firstLine="566" w:firstLineChars="177"/>
        <w:rPr>
          <w:rFonts w:ascii="仿宋_GB2312" w:hAnsi="Calibri" w:eastAsia="仿宋_GB2312" w:cs="Times New Roman"/>
          <w:sz w:val="32"/>
          <w:szCs w:val="32"/>
        </w:rPr>
      </w:pPr>
      <w:r>
        <w:rPr>
          <w:rFonts w:hint="eastAsia" w:ascii="仿宋_GB2312" w:hAnsi="黑体" w:eastAsia="仿宋_GB2312" w:cs="Times New Roman"/>
          <w:sz w:val="32"/>
          <w:szCs w:val="32"/>
        </w:rPr>
        <w:t>（三）民政部门、外交部门、</w:t>
      </w:r>
      <w:r>
        <w:rPr>
          <w:rFonts w:hint="eastAsia" w:ascii="仿宋_GB2312" w:eastAsia="仿宋_GB2312"/>
          <w:sz w:val="32"/>
          <w:szCs w:val="32"/>
        </w:rPr>
        <w:t>最高法院</w:t>
      </w:r>
      <w:r>
        <w:rPr>
          <w:rFonts w:hint="eastAsia" w:ascii="仿宋_GB2312" w:hAnsi="黑体" w:eastAsia="仿宋_GB2312" w:cs="Times New Roman"/>
          <w:sz w:val="32"/>
          <w:szCs w:val="32"/>
        </w:rPr>
        <w:t>有关婚姻登记信</w:t>
      </w:r>
      <w:r>
        <w:rPr>
          <w:rFonts w:hint="eastAsia" w:ascii="仿宋_GB2312" w:hAnsi="Calibri" w:eastAsia="仿宋_GB2312" w:cs="Times New Roman"/>
          <w:sz w:val="32"/>
          <w:szCs w:val="32"/>
        </w:rPr>
        <w:t>息；</w:t>
      </w:r>
    </w:p>
    <w:p>
      <w:pPr>
        <w:pStyle w:val="7"/>
        <w:spacing w:line="480" w:lineRule="auto"/>
        <w:ind w:firstLine="566" w:firstLineChars="177"/>
        <w:jc w:val="left"/>
        <w:rPr>
          <w:rFonts w:ascii="仿宋_GB2312" w:hAnsi="宋体" w:eastAsia="仿宋_GB2312" w:cs="Times New Roman"/>
          <w:sz w:val="32"/>
          <w:szCs w:val="32"/>
        </w:rPr>
      </w:pPr>
      <w:r>
        <w:rPr>
          <w:rFonts w:hint="eastAsia" w:ascii="仿宋_GB2312" w:hAnsi="宋体" w:eastAsia="仿宋_GB2312" w:cs="Times New Roman"/>
          <w:sz w:val="32"/>
          <w:szCs w:val="32"/>
        </w:rPr>
        <w:t>（四）教育部门有关学生学籍信息（包括学历继续教育学生学籍信息）、或者在相关部门备案的境外教育机构资质信息；</w:t>
      </w:r>
      <w:r>
        <w:rPr>
          <w:rFonts w:ascii="仿宋_GB2312" w:hAnsi="宋体" w:eastAsia="仿宋_GB2312" w:cs="Times New Roman"/>
          <w:sz w:val="32"/>
          <w:szCs w:val="32"/>
        </w:rPr>
        <w:t xml:space="preserve"> </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（五）人力资源社会保障等部门有关学历继续教育（职业技能教育）学生学籍信息、职业资格继续教育、技术资格继续教育信息；</w:t>
      </w:r>
    </w:p>
    <w:p>
      <w:pPr>
        <w:spacing w:line="620" w:lineRule="exact"/>
        <w:ind w:firstLine="566" w:firstLineChars="177"/>
        <w:rPr>
          <w:rFonts w:ascii="仿宋_GB2312" w:hAnsi="黑体" w:eastAsia="仿宋_GB2312" w:cs="Times New Roman"/>
          <w:sz w:val="32"/>
          <w:szCs w:val="32"/>
        </w:rPr>
      </w:pPr>
      <w:r>
        <w:rPr>
          <w:rFonts w:hint="eastAsia" w:ascii="仿宋_GB2312" w:hAnsi="宋体" w:eastAsia="仿宋_GB2312" w:cs="Times New Roman"/>
          <w:sz w:val="32"/>
          <w:szCs w:val="32"/>
        </w:rPr>
        <w:t>（六）财政部门有关继续教育收费财政票据信息；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（七）住房城乡建设部门有关房屋租赁</w:t>
      </w:r>
      <w:r>
        <w:rPr>
          <w:rFonts w:hint="eastAsia" w:ascii="仿宋_GB2312" w:eastAsia="仿宋_GB2312"/>
          <w:color w:val="000000" w:themeColor="text1"/>
          <w:sz w:val="32"/>
          <w:szCs w:val="32"/>
        </w:rPr>
        <w:t>信息、</w:t>
      </w:r>
      <w:r>
        <w:rPr>
          <w:rFonts w:hint="eastAsia" w:ascii="仿宋_GB2312" w:hAnsi="宋体" w:eastAsia="仿宋_GB2312" w:cs="Times New Roman"/>
          <w:sz w:val="32"/>
          <w:szCs w:val="32"/>
        </w:rPr>
        <w:t>住房公积金管理机构有关住房公积金贷款还款支出信息；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（八）自然资源部门有关不动产登记信息；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（九）人民银行、金融监督管理部门有关住房商业贷款还款支出信息；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（十）医疗保障部门有关个人负担的医药费用信息；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（十一）其他信息。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上述数据信息的格式、标准、共享方式，由国务院税务主管部门商有关部门确定。</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有关部门和单位拥有专项附加扣除涉税信息，但拒绝向税务部门提供的，由税务部门提请同级国家监察机关依法追究其主要负责人及相关人员的法律责任。</w:t>
      </w:r>
    </w:p>
    <w:p>
      <w:pPr>
        <w:spacing w:line="620"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第二十五条</w:t>
      </w:r>
      <w:r>
        <w:rPr>
          <w:rFonts w:hint="eastAsia" w:ascii="仿宋_GB2312" w:hAnsi="宋体" w:eastAsia="仿宋_GB2312" w:cs="Times New Roman"/>
          <w:sz w:val="32"/>
          <w:szCs w:val="32"/>
        </w:rPr>
        <w:t xml:space="preserve"> 扣缴义务人应当按照纳税人提供的信息计算办理扣缴申报，不得擅自更改纳税人提供的相关信息。</w:t>
      </w:r>
    </w:p>
    <w:p>
      <w:pPr>
        <w:spacing w:line="620" w:lineRule="exact"/>
        <w:ind w:firstLine="566" w:firstLineChars="177"/>
        <w:rPr>
          <w:rFonts w:ascii="仿宋_GB2312" w:hAnsi="宋体" w:eastAsia="仿宋_GB2312" w:cs="Times New Roman"/>
          <w:sz w:val="32"/>
          <w:szCs w:val="32"/>
        </w:rPr>
      </w:pPr>
      <w:r>
        <w:rPr>
          <w:rFonts w:hint="eastAsia" w:ascii="仿宋_GB2312" w:hAnsi="宋体" w:eastAsia="仿宋_GB2312" w:cs="Times New Roman"/>
          <w:sz w:val="32"/>
          <w:szCs w:val="32"/>
        </w:rPr>
        <w:t>扣缴义务人发现纳税人申报虚假信息的，应当提醒纳税人更正；纳税人拒不改正的，扣缴义务人应当告知税务机关。</w:t>
      </w:r>
    </w:p>
    <w:p>
      <w:pPr>
        <w:spacing w:line="620" w:lineRule="exact"/>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第二十六条</w:t>
      </w:r>
      <w:r>
        <w:rPr>
          <w:rFonts w:hint="eastAsia" w:ascii="仿宋_GB2312" w:hAnsi="宋体" w:eastAsia="仿宋_GB2312" w:cs="Times New Roman"/>
          <w:sz w:val="32"/>
          <w:szCs w:val="32"/>
        </w:rPr>
        <w:t xml:space="preserve"> 税务机关核查专项附加扣除情况时，有关部门、企事业单位和个人应当协助核查。</w:t>
      </w:r>
    </w:p>
    <w:p>
      <w:pPr>
        <w:pStyle w:val="7"/>
        <w:spacing w:line="620" w:lineRule="exact"/>
        <w:ind w:firstLine="566" w:firstLineChars="177"/>
        <w:rPr>
          <w:rFonts w:ascii="仿宋_GB2312" w:hAnsi="黑体" w:eastAsia="仿宋_GB2312" w:cs="Times New Roman"/>
          <w:sz w:val="32"/>
          <w:szCs w:val="32"/>
        </w:rPr>
      </w:pPr>
      <w:r>
        <w:rPr>
          <w:rFonts w:hint="eastAsia" w:ascii="仿宋_GB2312" w:hAnsi="黑体" w:eastAsia="仿宋_GB2312"/>
          <w:color w:val="000000"/>
          <w:sz w:val="32"/>
          <w:szCs w:val="32"/>
        </w:rPr>
        <w:t>核查时</w:t>
      </w:r>
      <w:r>
        <w:rPr>
          <w:rFonts w:hint="eastAsia" w:ascii="仿宋_GB2312" w:hAnsi="黑体" w:eastAsia="仿宋_GB2312" w:cs="宋体"/>
          <w:color w:val="000000"/>
          <w:sz w:val="32"/>
          <w:szCs w:val="32"/>
        </w:rPr>
        <w:t>首次发现纳税人拒不提供或者提供虚假资料凭据的，应通报纳税人和扣缴义务人，五年内再次发现上述情形的，记入纳税人信用记录，会同有关部门实施联合惩戒。</w:t>
      </w:r>
      <w:r>
        <w:rPr>
          <w:rFonts w:ascii="仿宋_GB2312" w:hAnsi="宋体" w:eastAsia="仿宋_GB2312"/>
          <w:bCs/>
          <w:sz w:val="32"/>
          <w:szCs w:val="32"/>
        </w:rPr>
        <w:t xml:space="preserve"> </w:t>
      </w:r>
    </w:p>
    <w:p>
      <w:pPr>
        <w:spacing w:line="480" w:lineRule="auto"/>
        <w:ind w:firstLine="566" w:firstLineChars="177"/>
        <w:jc w:val="center"/>
        <w:rPr>
          <w:rFonts w:ascii="黑体" w:hAnsi="黑体" w:eastAsia="黑体" w:cs="仿宋_GB2312"/>
          <w:sz w:val="32"/>
          <w:szCs w:val="32"/>
        </w:rPr>
      </w:pPr>
    </w:p>
    <w:p>
      <w:pPr>
        <w:spacing w:line="480" w:lineRule="auto"/>
        <w:ind w:firstLine="0" w:firstLineChars="0"/>
        <w:jc w:val="center"/>
        <w:rPr>
          <w:rFonts w:ascii="黑体" w:hAnsi="黑体" w:eastAsia="黑体"/>
          <w:bCs/>
          <w:sz w:val="32"/>
          <w:szCs w:val="32"/>
        </w:rPr>
      </w:pPr>
      <w:r>
        <w:rPr>
          <w:rFonts w:hint="eastAsia" w:ascii="黑体" w:hAnsi="黑体" w:eastAsia="黑体"/>
          <w:bCs/>
          <w:sz w:val="32"/>
          <w:szCs w:val="32"/>
        </w:rPr>
        <w:t>第九章 附则</w:t>
      </w:r>
    </w:p>
    <w:p>
      <w:pPr>
        <w:tabs>
          <w:tab w:val="left" w:pos="2410"/>
        </w:tabs>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第二十七条</w:t>
      </w:r>
      <w:r>
        <w:rPr>
          <w:rFonts w:hint="eastAsia" w:ascii="仿宋_GB2312" w:hAnsi="宋体" w:eastAsia="仿宋_GB2312"/>
          <w:bCs/>
          <w:sz w:val="32"/>
          <w:szCs w:val="32"/>
        </w:rPr>
        <w:t xml:space="preserve"> 本办法所称父母，是指生父母、继父母、养父母。本办法所称子女，是指婚生子女、非婚生子女、继子女、养子女。父母之外的其他人担任未成年人的监护人的，比照本办法规定执行。</w:t>
      </w:r>
    </w:p>
    <w:p>
      <w:pPr>
        <w:tabs>
          <w:tab w:val="left" w:pos="2127"/>
          <w:tab w:val="left" w:pos="2410"/>
        </w:tabs>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第二十八条</w:t>
      </w:r>
      <w:r>
        <w:rPr>
          <w:rFonts w:hint="eastAsia" w:ascii="仿宋_GB2312" w:hAnsi="宋体" w:eastAsia="仿宋_GB2312"/>
          <w:bCs/>
          <w:sz w:val="32"/>
          <w:szCs w:val="32"/>
        </w:rPr>
        <w:t xml:space="preserve"> 外籍个人如果符合子女教育、继续教育、住房贷款利息或住房租金专项附加扣除条件，可选择按上述项目扣除，也可以选择继续享受现行有关子女教育费、语言训练费、住房补贴的免税优惠，但同一类支出事项不得同时享受。</w:t>
      </w:r>
    </w:p>
    <w:p>
      <w:pPr>
        <w:tabs>
          <w:tab w:val="left" w:pos="2410"/>
        </w:tabs>
        <w:spacing w:line="480" w:lineRule="auto"/>
        <w:ind w:firstLine="640" w:firstLineChars="200"/>
        <w:jc w:val="left"/>
        <w:rPr>
          <w:rFonts w:ascii="仿宋_GB2312" w:hAnsi="宋体" w:eastAsia="仿宋_GB2312"/>
          <w:bCs/>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具体操作办法，由国务院税务主管部门另行制定。</w:t>
      </w:r>
    </w:p>
    <w:p>
      <w:pPr>
        <w:tabs>
          <w:tab w:val="left" w:pos="2127"/>
        </w:tabs>
        <w:spacing w:line="480" w:lineRule="auto"/>
        <w:ind w:firstLine="640" w:firstLineChars="200"/>
        <w:jc w:val="left"/>
        <w:rPr>
          <w:rFonts w:ascii="仿宋_GB2312" w:hAnsi="宋体" w:eastAsia="仿宋_GB2312"/>
          <w:bCs/>
          <w:sz w:val="32"/>
          <w:szCs w:val="32"/>
        </w:rPr>
      </w:pPr>
      <w:r>
        <w:rPr>
          <w:rFonts w:hint="eastAsia" w:ascii="黑体" w:hAnsi="黑体" w:eastAsia="黑体"/>
          <w:bCs/>
          <w:sz w:val="32"/>
          <w:szCs w:val="32"/>
        </w:rPr>
        <w:t>第三十条</w:t>
      </w:r>
      <w:r>
        <w:rPr>
          <w:rFonts w:hint="eastAsia" w:ascii="仿宋_GB2312" w:hAnsi="宋体" w:eastAsia="仿宋_GB2312"/>
          <w:bCs/>
          <w:sz w:val="32"/>
          <w:szCs w:val="32"/>
        </w:rPr>
        <w:t xml:space="preserve"> 本办法自2019年1月1日起实施。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4093"/>
      <w:docPartObj>
        <w:docPartGallery w:val="AutoText"/>
      </w:docPartObj>
    </w:sdtPr>
    <w:sdtContent>
      <w:p>
        <w:pPr>
          <w:pStyle w:val="3"/>
          <w:ind w:firstLine="385"/>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w:t>
        </w:r>
        <w:r>
          <w:rPr>
            <w:rFonts w:ascii="Times New Roman" w:hAnsi="Times New Roman"/>
          </w:rPr>
          <w:fldChar w:fldCharType="end"/>
        </w:r>
      </w:p>
    </w:sdtContent>
  </w:sdt>
  <w:p>
    <w:pPr>
      <w:pStyle w:val="3"/>
      <w:ind w:firstLine="38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8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99"/>
    <w:rsid w:val="00004DAF"/>
    <w:rsid w:val="0001426B"/>
    <w:rsid w:val="00015C82"/>
    <w:rsid w:val="00017CDF"/>
    <w:rsid w:val="00030A02"/>
    <w:rsid w:val="00032D53"/>
    <w:rsid w:val="00033EBF"/>
    <w:rsid w:val="000354E5"/>
    <w:rsid w:val="000372BB"/>
    <w:rsid w:val="00043844"/>
    <w:rsid w:val="0004414E"/>
    <w:rsid w:val="00046C82"/>
    <w:rsid w:val="0005014B"/>
    <w:rsid w:val="00051BC5"/>
    <w:rsid w:val="000537C8"/>
    <w:rsid w:val="00055CE0"/>
    <w:rsid w:val="00056CC2"/>
    <w:rsid w:val="0006046A"/>
    <w:rsid w:val="00061C8E"/>
    <w:rsid w:val="0006387D"/>
    <w:rsid w:val="00064D47"/>
    <w:rsid w:val="000703D4"/>
    <w:rsid w:val="00071A96"/>
    <w:rsid w:val="00073361"/>
    <w:rsid w:val="00074253"/>
    <w:rsid w:val="00075AE7"/>
    <w:rsid w:val="00076A1A"/>
    <w:rsid w:val="00091460"/>
    <w:rsid w:val="000A1A13"/>
    <w:rsid w:val="000A5B75"/>
    <w:rsid w:val="000A77AC"/>
    <w:rsid w:val="000B08DB"/>
    <w:rsid w:val="000B186C"/>
    <w:rsid w:val="000B3090"/>
    <w:rsid w:val="000B4BBE"/>
    <w:rsid w:val="000B7156"/>
    <w:rsid w:val="000C428E"/>
    <w:rsid w:val="000C4741"/>
    <w:rsid w:val="000C6A49"/>
    <w:rsid w:val="000C79DB"/>
    <w:rsid w:val="000D0BE7"/>
    <w:rsid w:val="000D0E62"/>
    <w:rsid w:val="000D1D62"/>
    <w:rsid w:val="000D3344"/>
    <w:rsid w:val="000E2841"/>
    <w:rsid w:val="000E3540"/>
    <w:rsid w:val="000E3D9A"/>
    <w:rsid w:val="000E4033"/>
    <w:rsid w:val="000E63BF"/>
    <w:rsid w:val="000F407E"/>
    <w:rsid w:val="000F4787"/>
    <w:rsid w:val="000F5722"/>
    <w:rsid w:val="001007DA"/>
    <w:rsid w:val="00103289"/>
    <w:rsid w:val="00104861"/>
    <w:rsid w:val="00107866"/>
    <w:rsid w:val="00107EA5"/>
    <w:rsid w:val="00110413"/>
    <w:rsid w:val="00110F9E"/>
    <w:rsid w:val="00111F8A"/>
    <w:rsid w:val="001133A6"/>
    <w:rsid w:val="00113488"/>
    <w:rsid w:val="00114329"/>
    <w:rsid w:val="00116D8F"/>
    <w:rsid w:val="001175AD"/>
    <w:rsid w:val="00122240"/>
    <w:rsid w:val="001249A5"/>
    <w:rsid w:val="00125AC0"/>
    <w:rsid w:val="00127AAD"/>
    <w:rsid w:val="001314EA"/>
    <w:rsid w:val="0013269A"/>
    <w:rsid w:val="001337D3"/>
    <w:rsid w:val="00136231"/>
    <w:rsid w:val="00137D7D"/>
    <w:rsid w:val="00140363"/>
    <w:rsid w:val="0014564F"/>
    <w:rsid w:val="00146B19"/>
    <w:rsid w:val="00147A7B"/>
    <w:rsid w:val="00150092"/>
    <w:rsid w:val="00156ADC"/>
    <w:rsid w:val="00160FE3"/>
    <w:rsid w:val="00162337"/>
    <w:rsid w:val="00164329"/>
    <w:rsid w:val="0016764F"/>
    <w:rsid w:val="00180C47"/>
    <w:rsid w:val="00182B28"/>
    <w:rsid w:val="001858F4"/>
    <w:rsid w:val="001867EF"/>
    <w:rsid w:val="00187FBF"/>
    <w:rsid w:val="00192290"/>
    <w:rsid w:val="00194201"/>
    <w:rsid w:val="001950A9"/>
    <w:rsid w:val="001A0AF5"/>
    <w:rsid w:val="001A216F"/>
    <w:rsid w:val="001A7162"/>
    <w:rsid w:val="001B254E"/>
    <w:rsid w:val="001B4C27"/>
    <w:rsid w:val="001B70B9"/>
    <w:rsid w:val="001C0D76"/>
    <w:rsid w:val="001C4F56"/>
    <w:rsid w:val="001C70BB"/>
    <w:rsid w:val="001D244E"/>
    <w:rsid w:val="001D633E"/>
    <w:rsid w:val="001E1241"/>
    <w:rsid w:val="001E34C6"/>
    <w:rsid w:val="001E65E2"/>
    <w:rsid w:val="001E76D4"/>
    <w:rsid w:val="001E7FC9"/>
    <w:rsid w:val="001F049A"/>
    <w:rsid w:val="001F15A7"/>
    <w:rsid w:val="001F1667"/>
    <w:rsid w:val="001F2028"/>
    <w:rsid w:val="001F20C6"/>
    <w:rsid w:val="0020125A"/>
    <w:rsid w:val="00202FF8"/>
    <w:rsid w:val="002030FD"/>
    <w:rsid w:val="00203850"/>
    <w:rsid w:val="00206118"/>
    <w:rsid w:val="00225389"/>
    <w:rsid w:val="002259F4"/>
    <w:rsid w:val="00227790"/>
    <w:rsid w:val="00232894"/>
    <w:rsid w:val="00233811"/>
    <w:rsid w:val="00237F4D"/>
    <w:rsid w:val="0024032C"/>
    <w:rsid w:val="00241E36"/>
    <w:rsid w:val="00242F84"/>
    <w:rsid w:val="00243A20"/>
    <w:rsid w:val="00247105"/>
    <w:rsid w:val="00250FCD"/>
    <w:rsid w:val="00251764"/>
    <w:rsid w:val="00253839"/>
    <w:rsid w:val="002571BE"/>
    <w:rsid w:val="002650D6"/>
    <w:rsid w:val="002651F2"/>
    <w:rsid w:val="00274FB9"/>
    <w:rsid w:val="00275CC6"/>
    <w:rsid w:val="00276C11"/>
    <w:rsid w:val="0027747B"/>
    <w:rsid w:val="00284EAC"/>
    <w:rsid w:val="00285174"/>
    <w:rsid w:val="002855B4"/>
    <w:rsid w:val="0028760A"/>
    <w:rsid w:val="00287B0B"/>
    <w:rsid w:val="00287E5F"/>
    <w:rsid w:val="002A575C"/>
    <w:rsid w:val="002A6A16"/>
    <w:rsid w:val="002A6F1B"/>
    <w:rsid w:val="002B5931"/>
    <w:rsid w:val="002C44CC"/>
    <w:rsid w:val="002C50F2"/>
    <w:rsid w:val="002C692D"/>
    <w:rsid w:val="002D0717"/>
    <w:rsid w:val="002D1EDB"/>
    <w:rsid w:val="002D4490"/>
    <w:rsid w:val="002E2980"/>
    <w:rsid w:val="002E323E"/>
    <w:rsid w:val="002E5EBF"/>
    <w:rsid w:val="002E7FF8"/>
    <w:rsid w:val="002F3A34"/>
    <w:rsid w:val="002F6400"/>
    <w:rsid w:val="002F747C"/>
    <w:rsid w:val="002F7E1D"/>
    <w:rsid w:val="0030273A"/>
    <w:rsid w:val="00302C1C"/>
    <w:rsid w:val="00306A34"/>
    <w:rsid w:val="00310481"/>
    <w:rsid w:val="00311CB0"/>
    <w:rsid w:val="003175FE"/>
    <w:rsid w:val="00320691"/>
    <w:rsid w:val="003218C7"/>
    <w:rsid w:val="0032361C"/>
    <w:rsid w:val="00323629"/>
    <w:rsid w:val="00324088"/>
    <w:rsid w:val="003240A9"/>
    <w:rsid w:val="00327840"/>
    <w:rsid w:val="00340CBF"/>
    <w:rsid w:val="00344097"/>
    <w:rsid w:val="00345C38"/>
    <w:rsid w:val="003470ED"/>
    <w:rsid w:val="003500EB"/>
    <w:rsid w:val="00352325"/>
    <w:rsid w:val="00352A6C"/>
    <w:rsid w:val="00352B56"/>
    <w:rsid w:val="00355477"/>
    <w:rsid w:val="003572D5"/>
    <w:rsid w:val="00367630"/>
    <w:rsid w:val="003718D8"/>
    <w:rsid w:val="00372C15"/>
    <w:rsid w:val="00372F05"/>
    <w:rsid w:val="00376EBA"/>
    <w:rsid w:val="00380F82"/>
    <w:rsid w:val="00385A68"/>
    <w:rsid w:val="003868FC"/>
    <w:rsid w:val="003925B9"/>
    <w:rsid w:val="003A12D0"/>
    <w:rsid w:val="003A3E7E"/>
    <w:rsid w:val="003C1AF8"/>
    <w:rsid w:val="003C38CB"/>
    <w:rsid w:val="003C6310"/>
    <w:rsid w:val="003D0F79"/>
    <w:rsid w:val="003E3EC5"/>
    <w:rsid w:val="003E41F0"/>
    <w:rsid w:val="003E6DCB"/>
    <w:rsid w:val="003F05F4"/>
    <w:rsid w:val="003F11A2"/>
    <w:rsid w:val="003F1E3B"/>
    <w:rsid w:val="003F6C08"/>
    <w:rsid w:val="00400D29"/>
    <w:rsid w:val="004016C4"/>
    <w:rsid w:val="004040F7"/>
    <w:rsid w:val="0040613D"/>
    <w:rsid w:val="004074C6"/>
    <w:rsid w:val="004103B8"/>
    <w:rsid w:val="00421FFF"/>
    <w:rsid w:val="004256AE"/>
    <w:rsid w:val="00426E95"/>
    <w:rsid w:val="004331A9"/>
    <w:rsid w:val="00446127"/>
    <w:rsid w:val="00450342"/>
    <w:rsid w:val="00453EBD"/>
    <w:rsid w:val="00453F6D"/>
    <w:rsid w:val="00460992"/>
    <w:rsid w:val="00465C21"/>
    <w:rsid w:val="00467D17"/>
    <w:rsid w:val="0047486F"/>
    <w:rsid w:val="0047534D"/>
    <w:rsid w:val="0047627A"/>
    <w:rsid w:val="00476485"/>
    <w:rsid w:val="00477AEC"/>
    <w:rsid w:val="00482383"/>
    <w:rsid w:val="0049198A"/>
    <w:rsid w:val="00492757"/>
    <w:rsid w:val="00492E58"/>
    <w:rsid w:val="00493B88"/>
    <w:rsid w:val="0049797D"/>
    <w:rsid w:val="00497E95"/>
    <w:rsid w:val="004A00D4"/>
    <w:rsid w:val="004A0493"/>
    <w:rsid w:val="004A0F75"/>
    <w:rsid w:val="004A2CC3"/>
    <w:rsid w:val="004A3981"/>
    <w:rsid w:val="004A7F43"/>
    <w:rsid w:val="004B174E"/>
    <w:rsid w:val="004B1BF7"/>
    <w:rsid w:val="004C380E"/>
    <w:rsid w:val="004C447B"/>
    <w:rsid w:val="004C5239"/>
    <w:rsid w:val="004D1E9C"/>
    <w:rsid w:val="004D6651"/>
    <w:rsid w:val="004D6F03"/>
    <w:rsid w:val="004D7C4F"/>
    <w:rsid w:val="004E12F9"/>
    <w:rsid w:val="004E7FD8"/>
    <w:rsid w:val="004F35EE"/>
    <w:rsid w:val="004F45EE"/>
    <w:rsid w:val="004F4E1B"/>
    <w:rsid w:val="005001E2"/>
    <w:rsid w:val="00501C64"/>
    <w:rsid w:val="00503834"/>
    <w:rsid w:val="005073A2"/>
    <w:rsid w:val="0051074C"/>
    <w:rsid w:val="00517120"/>
    <w:rsid w:val="00517F21"/>
    <w:rsid w:val="00520816"/>
    <w:rsid w:val="00522883"/>
    <w:rsid w:val="005317F7"/>
    <w:rsid w:val="00541A03"/>
    <w:rsid w:val="00543240"/>
    <w:rsid w:val="0054522A"/>
    <w:rsid w:val="00551570"/>
    <w:rsid w:val="00551BF4"/>
    <w:rsid w:val="00564573"/>
    <w:rsid w:val="00572844"/>
    <w:rsid w:val="00573BB2"/>
    <w:rsid w:val="00575E99"/>
    <w:rsid w:val="00586F5D"/>
    <w:rsid w:val="005A18CB"/>
    <w:rsid w:val="005A1961"/>
    <w:rsid w:val="005B0E5E"/>
    <w:rsid w:val="005B0F96"/>
    <w:rsid w:val="005B3096"/>
    <w:rsid w:val="005C2027"/>
    <w:rsid w:val="005C3E23"/>
    <w:rsid w:val="005C6857"/>
    <w:rsid w:val="005C7C76"/>
    <w:rsid w:val="005D1AA6"/>
    <w:rsid w:val="005D2B14"/>
    <w:rsid w:val="005D3FC9"/>
    <w:rsid w:val="005D556B"/>
    <w:rsid w:val="005D55CA"/>
    <w:rsid w:val="005D79E9"/>
    <w:rsid w:val="005E0B32"/>
    <w:rsid w:val="005E175D"/>
    <w:rsid w:val="005E3DF1"/>
    <w:rsid w:val="005E7EB7"/>
    <w:rsid w:val="005F2BDD"/>
    <w:rsid w:val="005F43D9"/>
    <w:rsid w:val="005F57D3"/>
    <w:rsid w:val="005F6215"/>
    <w:rsid w:val="005F6F62"/>
    <w:rsid w:val="005F7D6C"/>
    <w:rsid w:val="006040E6"/>
    <w:rsid w:val="00606C04"/>
    <w:rsid w:val="00607479"/>
    <w:rsid w:val="00610206"/>
    <w:rsid w:val="006129B7"/>
    <w:rsid w:val="00614015"/>
    <w:rsid w:val="00620BA8"/>
    <w:rsid w:val="0062286F"/>
    <w:rsid w:val="00622D00"/>
    <w:rsid w:val="006270EF"/>
    <w:rsid w:val="00637A43"/>
    <w:rsid w:val="00643B80"/>
    <w:rsid w:val="006447FF"/>
    <w:rsid w:val="00644C39"/>
    <w:rsid w:val="00650083"/>
    <w:rsid w:val="00650D36"/>
    <w:rsid w:val="00655FEB"/>
    <w:rsid w:val="00657B94"/>
    <w:rsid w:val="00666DDB"/>
    <w:rsid w:val="0067173F"/>
    <w:rsid w:val="006725A7"/>
    <w:rsid w:val="00673850"/>
    <w:rsid w:val="00674B26"/>
    <w:rsid w:val="00676537"/>
    <w:rsid w:val="00686F89"/>
    <w:rsid w:val="00692B05"/>
    <w:rsid w:val="00693961"/>
    <w:rsid w:val="006A03EF"/>
    <w:rsid w:val="006A0F1D"/>
    <w:rsid w:val="006A16F7"/>
    <w:rsid w:val="006A53BD"/>
    <w:rsid w:val="006B6085"/>
    <w:rsid w:val="006B6835"/>
    <w:rsid w:val="006C3FF2"/>
    <w:rsid w:val="006C4186"/>
    <w:rsid w:val="006C4A43"/>
    <w:rsid w:val="006D159A"/>
    <w:rsid w:val="006D4B12"/>
    <w:rsid w:val="006E199C"/>
    <w:rsid w:val="006E1F5B"/>
    <w:rsid w:val="006E309E"/>
    <w:rsid w:val="006E325F"/>
    <w:rsid w:val="006E5B12"/>
    <w:rsid w:val="006E6A98"/>
    <w:rsid w:val="006F107E"/>
    <w:rsid w:val="006F37D1"/>
    <w:rsid w:val="006F56C7"/>
    <w:rsid w:val="006F5ABC"/>
    <w:rsid w:val="00702DC6"/>
    <w:rsid w:val="00704696"/>
    <w:rsid w:val="007064BD"/>
    <w:rsid w:val="00711F98"/>
    <w:rsid w:val="00721108"/>
    <w:rsid w:val="007215E6"/>
    <w:rsid w:val="0072525D"/>
    <w:rsid w:val="00734C5E"/>
    <w:rsid w:val="007423D6"/>
    <w:rsid w:val="007426D6"/>
    <w:rsid w:val="00742F13"/>
    <w:rsid w:val="0074539B"/>
    <w:rsid w:val="0074562A"/>
    <w:rsid w:val="00746577"/>
    <w:rsid w:val="00746854"/>
    <w:rsid w:val="007517D0"/>
    <w:rsid w:val="00753897"/>
    <w:rsid w:val="00756AFA"/>
    <w:rsid w:val="0075713D"/>
    <w:rsid w:val="007601AF"/>
    <w:rsid w:val="00761313"/>
    <w:rsid w:val="007624DA"/>
    <w:rsid w:val="007624DE"/>
    <w:rsid w:val="007628A4"/>
    <w:rsid w:val="00767E08"/>
    <w:rsid w:val="007703CE"/>
    <w:rsid w:val="007750F3"/>
    <w:rsid w:val="007770B9"/>
    <w:rsid w:val="007776F1"/>
    <w:rsid w:val="00781078"/>
    <w:rsid w:val="00787715"/>
    <w:rsid w:val="00791611"/>
    <w:rsid w:val="00792399"/>
    <w:rsid w:val="0079499D"/>
    <w:rsid w:val="007952F7"/>
    <w:rsid w:val="007961E6"/>
    <w:rsid w:val="0079682F"/>
    <w:rsid w:val="007B10B9"/>
    <w:rsid w:val="007B22B2"/>
    <w:rsid w:val="007B6451"/>
    <w:rsid w:val="007B76FA"/>
    <w:rsid w:val="007B7F63"/>
    <w:rsid w:val="007C0F68"/>
    <w:rsid w:val="007D1C40"/>
    <w:rsid w:val="007E0370"/>
    <w:rsid w:val="007E0DF1"/>
    <w:rsid w:val="007E3AD8"/>
    <w:rsid w:val="007E3F29"/>
    <w:rsid w:val="007E7F85"/>
    <w:rsid w:val="007F1089"/>
    <w:rsid w:val="007F4B54"/>
    <w:rsid w:val="007F4C29"/>
    <w:rsid w:val="007F7538"/>
    <w:rsid w:val="00800385"/>
    <w:rsid w:val="00802078"/>
    <w:rsid w:val="008031FA"/>
    <w:rsid w:val="00817E5C"/>
    <w:rsid w:val="00823D3C"/>
    <w:rsid w:val="00826926"/>
    <w:rsid w:val="0082704A"/>
    <w:rsid w:val="00843A77"/>
    <w:rsid w:val="0084415A"/>
    <w:rsid w:val="00853C55"/>
    <w:rsid w:val="00856CC5"/>
    <w:rsid w:val="0085757F"/>
    <w:rsid w:val="0086124E"/>
    <w:rsid w:val="00862E90"/>
    <w:rsid w:val="00866B14"/>
    <w:rsid w:val="00880712"/>
    <w:rsid w:val="00882759"/>
    <w:rsid w:val="00885C40"/>
    <w:rsid w:val="00887220"/>
    <w:rsid w:val="008907ED"/>
    <w:rsid w:val="008919C5"/>
    <w:rsid w:val="00893534"/>
    <w:rsid w:val="008964C4"/>
    <w:rsid w:val="008968A1"/>
    <w:rsid w:val="008A20F2"/>
    <w:rsid w:val="008A25CB"/>
    <w:rsid w:val="008B1448"/>
    <w:rsid w:val="008B2DF3"/>
    <w:rsid w:val="008B572B"/>
    <w:rsid w:val="008C28FD"/>
    <w:rsid w:val="008C4570"/>
    <w:rsid w:val="008C4B4A"/>
    <w:rsid w:val="008C5E15"/>
    <w:rsid w:val="008C7933"/>
    <w:rsid w:val="008C7AEC"/>
    <w:rsid w:val="008D1926"/>
    <w:rsid w:val="008D2C1A"/>
    <w:rsid w:val="008D2F6D"/>
    <w:rsid w:val="008D43DC"/>
    <w:rsid w:val="008D719D"/>
    <w:rsid w:val="008D7D92"/>
    <w:rsid w:val="008E1038"/>
    <w:rsid w:val="008E188F"/>
    <w:rsid w:val="008E2A9A"/>
    <w:rsid w:val="008E3AA7"/>
    <w:rsid w:val="008E45C4"/>
    <w:rsid w:val="008E5E95"/>
    <w:rsid w:val="008E6DFB"/>
    <w:rsid w:val="008F0105"/>
    <w:rsid w:val="008F0E36"/>
    <w:rsid w:val="008F22B0"/>
    <w:rsid w:val="008F4666"/>
    <w:rsid w:val="008F47DD"/>
    <w:rsid w:val="00900D19"/>
    <w:rsid w:val="009011C8"/>
    <w:rsid w:val="00907889"/>
    <w:rsid w:val="0091028C"/>
    <w:rsid w:val="009201E7"/>
    <w:rsid w:val="00921EB9"/>
    <w:rsid w:val="009305F7"/>
    <w:rsid w:val="00930FAD"/>
    <w:rsid w:val="00932179"/>
    <w:rsid w:val="009329CE"/>
    <w:rsid w:val="00932EA3"/>
    <w:rsid w:val="00933055"/>
    <w:rsid w:val="00941306"/>
    <w:rsid w:val="00946098"/>
    <w:rsid w:val="00950781"/>
    <w:rsid w:val="00960D35"/>
    <w:rsid w:val="00960E57"/>
    <w:rsid w:val="00965AE4"/>
    <w:rsid w:val="0097196B"/>
    <w:rsid w:val="00971A7D"/>
    <w:rsid w:val="0097396E"/>
    <w:rsid w:val="00973A76"/>
    <w:rsid w:val="00975AEA"/>
    <w:rsid w:val="009772FF"/>
    <w:rsid w:val="0098114C"/>
    <w:rsid w:val="00981F27"/>
    <w:rsid w:val="00981F8B"/>
    <w:rsid w:val="009832B2"/>
    <w:rsid w:val="00984EA3"/>
    <w:rsid w:val="00991728"/>
    <w:rsid w:val="00991D47"/>
    <w:rsid w:val="00993DD8"/>
    <w:rsid w:val="00994D42"/>
    <w:rsid w:val="00996226"/>
    <w:rsid w:val="009A2673"/>
    <w:rsid w:val="009A614F"/>
    <w:rsid w:val="009A686B"/>
    <w:rsid w:val="009B0586"/>
    <w:rsid w:val="009C2857"/>
    <w:rsid w:val="009C321B"/>
    <w:rsid w:val="009C4B79"/>
    <w:rsid w:val="009C7A0A"/>
    <w:rsid w:val="009D169C"/>
    <w:rsid w:val="009D17C1"/>
    <w:rsid w:val="009D2DB1"/>
    <w:rsid w:val="009D64E5"/>
    <w:rsid w:val="009E341C"/>
    <w:rsid w:val="009E404C"/>
    <w:rsid w:val="009E4059"/>
    <w:rsid w:val="009E69E7"/>
    <w:rsid w:val="009E6F4E"/>
    <w:rsid w:val="009F02F4"/>
    <w:rsid w:val="009F2C83"/>
    <w:rsid w:val="009F4506"/>
    <w:rsid w:val="009F459F"/>
    <w:rsid w:val="009F47BA"/>
    <w:rsid w:val="00A0223E"/>
    <w:rsid w:val="00A04227"/>
    <w:rsid w:val="00A04445"/>
    <w:rsid w:val="00A05CBD"/>
    <w:rsid w:val="00A11F21"/>
    <w:rsid w:val="00A13A05"/>
    <w:rsid w:val="00A13EEA"/>
    <w:rsid w:val="00A2075D"/>
    <w:rsid w:val="00A22719"/>
    <w:rsid w:val="00A24726"/>
    <w:rsid w:val="00A24A37"/>
    <w:rsid w:val="00A25201"/>
    <w:rsid w:val="00A31A6B"/>
    <w:rsid w:val="00A32837"/>
    <w:rsid w:val="00A40D70"/>
    <w:rsid w:val="00A4179C"/>
    <w:rsid w:val="00A448EA"/>
    <w:rsid w:val="00A46A2D"/>
    <w:rsid w:val="00A507F5"/>
    <w:rsid w:val="00A5296A"/>
    <w:rsid w:val="00A54C45"/>
    <w:rsid w:val="00A55223"/>
    <w:rsid w:val="00A61B3D"/>
    <w:rsid w:val="00A634F2"/>
    <w:rsid w:val="00A63772"/>
    <w:rsid w:val="00A66028"/>
    <w:rsid w:val="00A72F2C"/>
    <w:rsid w:val="00A8203B"/>
    <w:rsid w:val="00A85103"/>
    <w:rsid w:val="00A86E95"/>
    <w:rsid w:val="00A92F4C"/>
    <w:rsid w:val="00AA1878"/>
    <w:rsid w:val="00AB0329"/>
    <w:rsid w:val="00AB2097"/>
    <w:rsid w:val="00AB35DD"/>
    <w:rsid w:val="00AB5750"/>
    <w:rsid w:val="00AB6BA5"/>
    <w:rsid w:val="00AC057B"/>
    <w:rsid w:val="00AC6337"/>
    <w:rsid w:val="00AC6549"/>
    <w:rsid w:val="00AC6D54"/>
    <w:rsid w:val="00AD0B62"/>
    <w:rsid w:val="00AD10A2"/>
    <w:rsid w:val="00AD3A1B"/>
    <w:rsid w:val="00AD48B7"/>
    <w:rsid w:val="00AD7181"/>
    <w:rsid w:val="00AD74F1"/>
    <w:rsid w:val="00AF5D25"/>
    <w:rsid w:val="00AF6AD2"/>
    <w:rsid w:val="00B01704"/>
    <w:rsid w:val="00B03CA6"/>
    <w:rsid w:val="00B12746"/>
    <w:rsid w:val="00B13D63"/>
    <w:rsid w:val="00B1459A"/>
    <w:rsid w:val="00B15465"/>
    <w:rsid w:val="00B2252E"/>
    <w:rsid w:val="00B2538F"/>
    <w:rsid w:val="00B279A5"/>
    <w:rsid w:val="00B31BD0"/>
    <w:rsid w:val="00B327D2"/>
    <w:rsid w:val="00B32A45"/>
    <w:rsid w:val="00B33D99"/>
    <w:rsid w:val="00B33F6D"/>
    <w:rsid w:val="00B35DFE"/>
    <w:rsid w:val="00B3662A"/>
    <w:rsid w:val="00B37185"/>
    <w:rsid w:val="00B43362"/>
    <w:rsid w:val="00B507E3"/>
    <w:rsid w:val="00B509B8"/>
    <w:rsid w:val="00B52EE0"/>
    <w:rsid w:val="00B6042C"/>
    <w:rsid w:val="00B64739"/>
    <w:rsid w:val="00B66926"/>
    <w:rsid w:val="00B66E99"/>
    <w:rsid w:val="00B67338"/>
    <w:rsid w:val="00B6780D"/>
    <w:rsid w:val="00B705A3"/>
    <w:rsid w:val="00B70BE6"/>
    <w:rsid w:val="00B72E19"/>
    <w:rsid w:val="00B777EB"/>
    <w:rsid w:val="00B806C5"/>
    <w:rsid w:val="00B873FC"/>
    <w:rsid w:val="00BA19D1"/>
    <w:rsid w:val="00BB3687"/>
    <w:rsid w:val="00BB52A5"/>
    <w:rsid w:val="00BB7CED"/>
    <w:rsid w:val="00BB7D8D"/>
    <w:rsid w:val="00BC0BD5"/>
    <w:rsid w:val="00BC6ABE"/>
    <w:rsid w:val="00BC6F3A"/>
    <w:rsid w:val="00BD2CA6"/>
    <w:rsid w:val="00BD2D1F"/>
    <w:rsid w:val="00BD35CF"/>
    <w:rsid w:val="00BD36B3"/>
    <w:rsid w:val="00BD3E31"/>
    <w:rsid w:val="00BD742D"/>
    <w:rsid w:val="00BE137A"/>
    <w:rsid w:val="00BE680F"/>
    <w:rsid w:val="00BF3EA0"/>
    <w:rsid w:val="00BF4BBC"/>
    <w:rsid w:val="00BF508F"/>
    <w:rsid w:val="00C03827"/>
    <w:rsid w:val="00C14588"/>
    <w:rsid w:val="00C22BF2"/>
    <w:rsid w:val="00C25143"/>
    <w:rsid w:val="00C26BA3"/>
    <w:rsid w:val="00C2789D"/>
    <w:rsid w:val="00C3145F"/>
    <w:rsid w:val="00C326EA"/>
    <w:rsid w:val="00C32FB2"/>
    <w:rsid w:val="00C34369"/>
    <w:rsid w:val="00C41785"/>
    <w:rsid w:val="00C44A5A"/>
    <w:rsid w:val="00C50DF3"/>
    <w:rsid w:val="00C55322"/>
    <w:rsid w:val="00C6041A"/>
    <w:rsid w:val="00C615AE"/>
    <w:rsid w:val="00C75111"/>
    <w:rsid w:val="00C823DC"/>
    <w:rsid w:val="00C86031"/>
    <w:rsid w:val="00C865E3"/>
    <w:rsid w:val="00C87D7C"/>
    <w:rsid w:val="00C977FC"/>
    <w:rsid w:val="00CA08CA"/>
    <w:rsid w:val="00CA161F"/>
    <w:rsid w:val="00CC0B1B"/>
    <w:rsid w:val="00CC143F"/>
    <w:rsid w:val="00CC5B8A"/>
    <w:rsid w:val="00CD2FC2"/>
    <w:rsid w:val="00CE26B3"/>
    <w:rsid w:val="00CE5EDC"/>
    <w:rsid w:val="00CE66F9"/>
    <w:rsid w:val="00CF3049"/>
    <w:rsid w:val="00CF564D"/>
    <w:rsid w:val="00D01E50"/>
    <w:rsid w:val="00D03159"/>
    <w:rsid w:val="00D032BD"/>
    <w:rsid w:val="00D062D8"/>
    <w:rsid w:val="00D12FD0"/>
    <w:rsid w:val="00D174AC"/>
    <w:rsid w:val="00D17AC0"/>
    <w:rsid w:val="00D230D5"/>
    <w:rsid w:val="00D23677"/>
    <w:rsid w:val="00D25829"/>
    <w:rsid w:val="00D25E3E"/>
    <w:rsid w:val="00D263A2"/>
    <w:rsid w:val="00D3275F"/>
    <w:rsid w:val="00D34798"/>
    <w:rsid w:val="00D37A48"/>
    <w:rsid w:val="00D4096E"/>
    <w:rsid w:val="00D412D3"/>
    <w:rsid w:val="00D41C99"/>
    <w:rsid w:val="00D44D81"/>
    <w:rsid w:val="00D451BC"/>
    <w:rsid w:val="00D47F63"/>
    <w:rsid w:val="00D51BB6"/>
    <w:rsid w:val="00D54CB6"/>
    <w:rsid w:val="00D62E41"/>
    <w:rsid w:val="00D6574D"/>
    <w:rsid w:val="00D669DB"/>
    <w:rsid w:val="00D670B6"/>
    <w:rsid w:val="00D70BDB"/>
    <w:rsid w:val="00D7555F"/>
    <w:rsid w:val="00D8607F"/>
    <w:rsid w:val="00D864E2"/>
    <w:rsid w:val="00D876A6"/>
    <w:rsid w:val="00D95CE3"/>
    <w:rsid w:val="00D97635"/>
    <w:rsid w:val="00D97D29"/>
    <w:rsid w:val="00DA1571"/>
    <w:rsid w:val="00DA4102"/>
    <w:rsid w:val="00DB1DF0"/>
    <w:rsid w:val="00DC0DFC"/>
    <w:rsid w:val="00DC0E28"/>
    <w:rsid w:val="00DC3FD7"/>
    <w:rsid w:val="00DC5DEF"/>
    <w:rsid w:val="00DC799B"/>
    <w:rsid w:val="00DD0B0A"/>
    <w:rsid w:val="00DD0F5D"/>
    <w:rsid w:val="00DD12B1"/>
    <w:rsid w:val="00DD36DD"/>
    <w:rsid w:val="00DD43EC"/>
    <w:rsid w:val="00DD5B60"/>
    <w:rsid w:val="00DD5B6B"/>
    <w:rsid w:val="00DE2794"/>
    <w:rsid w:val="00DE3077"/>
    <w:rsid w:val="00DE6922"/>
    <w:rsid w:val="00DF1941"/>
    <w:rsid w:val="00E012EB"/>
    <w:rsid w:val="00E022D2"/>
    <w:rsid w:val="00E027FB"/>
    <w:rsid w:val="00E03236"/>
    <w:rsid w:val="00E049F2"/>
    <w:rsid w:val="00E04E6F"/>
    <w:rsid w:val="00E05DF5"/>
    <w:rsid w:val="00E13832"/>
    <w:rsid w:val="00E13C7D"/>
    <w:rsid w:val="00E15374"/>
    <w:rsid w:val="00E1634A"/>
    <w:rsid w:val="00E16E4D"/>
    <w:rsid w:val="00E17422"/>
    <w:rsid w:val="00E17D7C"/>
    <w:rsid w:val="00E21CFB"/>
    <w:rsid w:val="00E26C8D"/>
    <w:rsid w:val="00E31863"/>
    <w:rsid w:val="00E328C7"/>
    <w:rsid w:val="00E349A2"/>
    <w:rsid w:val="00E34B04"/>
    <w:rsid w:val="00E37A69"/>
    <w:rsid w:val="00E45D74"/>
    <w:rsid w:val="00E5746D"/>
    <w:rsid w:val="00E64FF9"/>
    <w:rsid w:val="00E67E8E"/>
    <w:rsid w:val="00E708B9"/>
    <w:rsid w:val="00E738C3"/>
    <w:rsid w:val="00E77300"/>
    <w:rsid w:val="00E907A7"/>
    <w:rsid w:val="00E9219E"/>
    <w:rsid w:val="00E92937"/>
    <w:rsid w:val="00E93C42"/>
    <w:rsid w:val="00EA025C"/>
    <w:rsid w:val="00EA1B2E"/>
    <w:rsid w:val="00EA2C2D"/>
    <w:rsid w:val="00EA3E98"/>
    <w:rsid w:val="00EA4913"/>
    <w:rsid w:val="00EB05F1"/>
    <w:rsid w:val="00EB21C3"/>
    <w:rsid w:val="00EC0686"/>
    <w:rsid w:val="00EC6A71"/>
    <w:rsid w:val="00ED0F5C"/>
    <w:rsid w:val="00ED25C2"/>
    <w:rsid w:val="00ED43B5"/>
    <w:rsid w:val="00EE110A"/>
    <w:rsid w:val="00EE2F5D"/>
    <w:rsid w:val="00EE302B"/>
    <w:rsid w:val="00EE31EE"/>
    <w:rsid w:val="00EE3248"/>
    <w:rsid w:val="00EE4627"/>
    <w:rsid w:val="00EE582C"/>
    <w:rsid w:val="00EE63C1"/>
    <w:rsid w:val="00EF0D57"/>
    <w:rsid w:val="00EF34E1"/>
    <w:rsid w:val="00EF4BEE"/>
    <w:rsid w:val="00F0029A"/>
    <w:rsid w:val="00F028E0"/>
    <w:rsid w:val="00F0290B"/>
    <w:rsid w:val="00F04E09"/>
    <w:rsid w:val="00F064CD"/>
    <w:rsid w:val="00F072EA"/>
    <w:rsid w:val="00F07B43"/>
    <w:rsid w:val="00F07D83"/>
    <w:rsid w:val="00F12ECC"/>
    <w:rsid w:val="00F159EC"/>
    <w:rsid w:val="00F1671A"/>
    <w:rsid w:val="00F16C8B"/>
    <w:rsid w:val="00F16E14"/>
    <w:rsid w:val="00F17C61"/>
    <w:rsid w:val="00F2090F"/>
    <w:rsid w:val="00F23153"/>
    <w:rsid w:val="00F24C64"/>
    <w:rsid w:val="00F26894"/>
    <w:rsid w:val="00F33C0C"/>
    <w:rsid w:val="00F3579E"/>
    <w:rsid w:val="00F41FCC"/>
    <w:rsid w:val="00F54BC6"/>
    <w:rsid w:val="00F63F56"/>
    <w:rsid w:val="00F63F74"/>
    <w:rsid w:val="00F65F86"/>
    <w:rsid w:val="00F66796"/>
    <w:rsid w:val="00F852E4"/>
    <w:rsid w:val="00F866B3"/>
    <w:rsid w:val="00F87158"/>
    <w:rsid w:val="00F93351"/>
    <w:rsid w:val="00F95958"/>
    <w:rsid w:val="00F96FC3"/>
    <w:rsid w:val="00FA1DF3"/>
    <w:rsid w:val="00FA6643"/>
    <w:rsid w:val="00FA6D1C"/>
    <w:rsid w:val="00FB0C61"/>
    <w:rsid w:val="00FB18B8"/>
    <w:rsid w:val="00FB3D56"/>
    <w:rsid w:val="00FB4917"/>
    <w:rsid w:val="00FB6A47"/>
    <w:rsid w:val="00FC11CA"/>
    <w:rsid w:val="00FC321D"/>
    <w:rsid w:val="00FC3333"/>
    <w:rsid w:val="00FD1552"/>
    <w:rsid w:val="00FD283E"/>
    <w:rsid w:val="00FD3FBA"/>
    <w:rsid w:val="00FD661A"/>
    <w:rsid w:val="00FE3BE7"/>
    <w:rsid w:val="00FE4747"/>
    <w:rsid w:val="00FF3891"/>
    <w:rsid w:val="00FF4728"/>
    <w:rsid w:val="00FF7654"/>
    <w:rsid w:val="65F0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14" w:firstLineChars="214"/>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911C9-F532-4437-AFC8-31270F294A4E}">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2780</Characters>
  <Lines>23</Lines>
  <Paragraphs>6</Paragraphs>
  <TotalTime>322</TotalTime>
  <ScaleCrop>false</ScaleCrop>
  <LinksUpToDate>false</LinksUpToDate>
  <CharactersWithSpaces>3261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2018-10-09T06:00:00Z</dcterms:created>
  <dc:creator>张海川</dc:creator>
  <cp:lastModifiedBy>Admin</cp:lastModifiedBy>
  <cp:lastPrinted>2018-10-18T12:05:00Z</cp:lastPrinted>
  <dcterms:modified xsi:type="dcterms:W3CDTF">2018-10-22T02:44:08Z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