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000000"/>
          <w:sz w:val="32"/>
          <w:szCs w:val="32"/>
          <w:lang w:val="en-US" w:eastAsia="zh-CN"/>
        </w:rPr>
      </w:pPr>
      <w:bookmarkStart w:id="0" w:name="OLE_LINK2"/>
      <w:r>
        <w:rPr>
          <w:rFonts w:hint="eastAsia" w:ascii="黑体" w:hAnsi="黑体" w:eastAsia="黑体" w:cs="黑体"/>
          <w:b w:val="0"/>
          <w:bCs w:val="0"/>
          <w:color w:val="00000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开平市2024年典型村培育资金分配方案</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为扎实推进省“百县千镇万村高质量发展工程”典型村培育工作，</w:t>
      </w:r>
      <w:r>
        <w:rPr>
          <w:rFonts w:hint="eastAsia" w:ascii="仿宋" w:hAnsi="仿宋" w:eastAsia="仿宋" w:cs="仿宋"/>
          <w:b w:val="0"/>
          <w:bCs w:val="0"/>
          <w:color w:val="000000"/>
          <w:sz w:val="32"/>
          <w:szCs w:val="32"/>
        </w:rPr>
        <w:t>根据</w:t>
      </w:r>
      <w:r>
        <w:rPr>
          <w:rFonts w:hint="eastAsia" w:ascii="仿宋" w:hAnsi="仿宋" w:eastAsia="仿宋" w:cs="仿宋"/>
          <w:color w:val="000000"/>
          <w:sz w:val="32"/>
          <w:szCs w:val="32"/>
          <w:lang w:eastAsia="zh-CN"/>
        </w:rPr>
        <w:t>《广东省财政厅关于下达2024年典型村培育资金（奖补部分）的通知》（粤财农〔2024〕204号）和《开平市财政局</w:t>
      </w:r>
      <w:r>
        <w:rPr>
          <w:rFonts w:hint="eastAsia" w:ascii="仿宋" w:hAnsi="仿宋" w:eastAsia="仿宋" w:cs="仿宋"/>
          <w:color w:val="auto"/>
          <w:sz w:val="32"/>
          <w:szCs w:val="32"/>
          <w:lang w:eastAsia="zh-CN"/>
        </w:rPr>
        <w:t>关于下达2024年典型村培育资金（奖补部分）的通知》（台财农〔2024〕81号）文件精神，</w:t>
      </w:r>
      <w:r>
        <w:rPr>
          <w:rFonts w:hint="eastAsia" w:ascii="仿宋" w:hAnsi="仿宋" w:eastAsia="仿宋" w:cs="仿宋"/>
          <w:b w:val="0"/>
          <w:bCs w:val="0"/>
          <w:color w:val="000000"/>
          <w:sz w:val="32"/>
          <w:szCs w:val="32"/>
        </w:rPr>
        <w:t>下达我市</w:t>
      </w:r>
      <w:r>
        <w:rPr>
          <w:rFonts w:hint="eastAsia" w:ascii="仿宋" w:hAnsi="仿宋" w:eastAsia="仿宋" w:cs="仿宋"/>
          <w:b w:val="0"/>
          <w:bCs w:val="0"/>
          <w:color w:val="000000"/>
          <w:sz w:val="32"/>
          <w:szCs w:val="32"/>
          <w:lang w:val="en-US" w:eastAsia="zh-CN"/>
        </w:rPr>
        <w:t>30</w:t>
      </w:r>
      <w:r>
        <w:rPr>
          <w:rFonts w:hint="eastAsia" w:ascii="仿宋" w:hAnsi="仿宋" w:eastAsia="仿宋" w:cs="仿宋"/>
          <w:b w:val="0"/>
          <w:bCs w:val="0"/>
          <w:color w:val="000000"/>
          <w:sz w:val="32"/>
          <w:szCs w:val="32"/>
        </w:rPr>
        <w:t>00万元，支持我市省第二批典型村发展壮大县域经济、提升县城承载能力、强化乡镇联城带村功能、推进乡村产业振兴、实施乡村建设行动、加强和完善乡村治理、加强县域基础设施建设、打造绿美生态县城、推进基本公共服务均等化等方面。现结合我市实际情况，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一、资金分配安排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省下达我市2024年典型村培育资金（奖补部分）3000万元，最终根据省“百县千镇万村高质量发展工程”指挥办对典型村评定达标情况进行清算，达标的典型村每个安排100万元奖补资金，未达到标准的村，不安排奖补资金。为加快推进</w:t>
      </w:r>
      <w:bookmarkStart w:id="1" w:name="OLE_LINK1"/>
      <w:r>
        <w:rPr>
          <w:rFonts w:hint="eastAsia" w:ascii="仿宋" w:hAnsi="仿宋" w:eastAsia="仿宋" w:cs="仿宋"/>
          <w:color w:val="auto"/>
          <w:sz w:val="32"/>
          <w:szCs w:val="32"/>
          <w:lang w:eastAsia="zh-CN"/>
        </w:rPr>
        <w:t>“百县千镇万村高质量发展工程”第二批省典型村培育</w:t>
      </w:r>
      <w:bookmarkEnd w:id="1"/>
      <w:r>
        <w:rPr>
          <w:rFonts w:hint="eastAsia" w:ascii="仿宋" w:hAnsi="仿宋" w:eastAsia="仿宋" w:cs="仿宋"/>
          <w:color w:val="auto"/>
          <w:sz w:val="32"/>
          <w:szCs w:val="32"/>
          <w:lang w:eastAsia="zh-CN"/>
        </w:rPr>
        <w:t>建设工作，</w:t>
      </w:r>
      <w:r>
        <w:rPr>
          <w:rFonts w:hint="eastAsia" w:ascii="仿宋" w:hAnsi="仿宋" w:eastAsia="仿宋" w:cs="仿宋"/>
          <w:color w:val="auto"/>
          <w:sz w:val="32"/>
          <w:szCs w:val="32"/>
          <w:lang w:val="en-US" w:eastAsia="zh-CN"/>
        </w:rPr>
        <w:t>将</w:t>
      </w:r>
      <w:r>
        <w:rPr>
          <w:rFonts w:hint="eastAsia" w:ascii="仿宋" w:hAnsi="仿宋" w:eastAsia="仿宋" w:cs="仿宋"/>
          <w:color w:val="auto"/>
          <w:sz w:val="32"/>
          <w:szCs w:val="32"/>
          <w:lang w:eastAsia="zh-CN"/>
        </w:rPr>
        <w:t>按每个第二批省典型村培育对象</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0万元额度预下达2024年典型村培育资金（奖补部分）</w:t>
      </w:r>
      <w:r>
        <w:rPr>
          <w:rFonts w:hint="eastAsia" w:ascii="仿宋" w:hAnsi="仿宋" w:eastAsia="仿宋" w:cs="仿宋"/>
          <w:color w:val="auto"/>
          <w:sz w:val="32"/>
          <w:szCs w:val="32"/>
          <w:lang w:val="en-US" w:eastAsia="zh-CN"/>
        </w:rPr>
        <w:t>到村</w:t>
      </w:r>
      <w:r>
        <w:rPr>
          <w:rFonts w:hint="eastAsia" w:ascii="仿宋" w:hAnsi="仿宋" w:eastAsia="仿宋" w:cs="仿宋"/>
          <w:color w:val="auto"/>
          <w:sz w:val="32"/>
          <w:szCs w:val="32"/>
          <w:lang w:eastAsia="zh-CN"/>
        </w:rPr>
        <w:t>推动建设项目实施，市农业农村局将视项目建设进度情况申请下达剩余资金。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auto"/>
          <w:sz w:val="32"/>
          <w:szCs w:val="32"/>
          <w:lang w:eastAsia="zh-CN"/>
        </w:rPr>
        <w:t>本次申请下达的资金为预下达资金，待省“百</w:t>
      </w:r>
      <w:r>
        <w:rPr>
          <w:rFonts w:hint="eastAsia" w:ascii="仿宋" w:hAnsi="仿宋" w:eastAsia="仿宋" w:cs="仿宋"/>
          <w:color w:val="000000"/>
          <w:sz w:val="32"/>
          <w:szCs w:val="32"/>
          <w:lang w:eastAsia="zh-CN"/>
        </w:rPr>
        <w:t>县千镇万村高质量发展工程”指挥办评定典型村结果出台后，每个达标的典型村按照相关要求再安排20万元奖补资金用于典型村建设，未达到标准的村不再安排奖补资金，已使用的预下达资金由镇(街)兜底负责，并在省“百千万工程”第二批典型村评定工作结束后一个月内将预下达资金退回到市财政县镇村重点任务专户(“百千万”专户),或在市财政下达到镇(街)的其他财政资金中予以等额扣减。2024年典型村培育资金（奖补部分）纳入“百县千镇万村高质量发展工程”重点任务保障专项资金范围，按照“百县千镇</w:t>
      </w:r>
      <w:r>
        <w:rPr>
          <w:rFonts w:hint="eastAsia" w:ascii="仿宋" w:hAnsi="仿宋" w:eastAsia="仿宋" w:cs="仿宋"/>
          <w:color w:val="auto"/>
          <w:sz w:val="32"/>
          <w:szCs w:val="32"/>
          <w:lang w:eastAsia="zh-CN"/>
        </w:rPr>
        <w:t>万村高质量发展工程”重点任务保障资金使用管理监督办法有关要求，要求各</w:t>
      </w:r>
      <w:r>
        <w:rPr>
          <w:rFonts w:hint="eastAsia" w:ascii="仿宋" w:hAnsi="仿宋" w:eastAsia="仿宋" w:cs="仿宋"/>
          <w:color w:val="auto"/>
          <w:sz w:val="32"/>
          <w:szCs w:val="32"/>
          <w:lang w:val="en-US" w:eastAsia="zh-CN"/>
        </w:rPr>
        <w:t>典型村</w:t>
      </w:r>
      <w:r>
        <w:rPr>
          <w:rFonts w:hint="eastAsia" w:ascii="仿宋" w:hAnsi="仿宋" w:eastAsia="仿宋" w:cs="仿宋"/>
          <w:color w:val="auto"/>
          <w:sz w:val="32"/>
          <w:szCs w:val="32"/>
          <w:lang w:eastAsia="zh-CN"/>
        </w:rPr>
        <w:t>实行</w:t>
      </w:r>
      <w:r>
        <w:rPr>
          <w:rFonts w:hint="eastAsia" w:ascii="仿宋" w:hAnsi="仿宋" w:eastAsia="仿宋" w:cs="仿宋"/>
          <w:color w:val="000000"/>
          <w:sz w:val="32"/>
          <w:szCs w:val="32"/>
          <w:lang w:eastAsia="zh-CN"/>
        </w:rPr>
        <w:t>专账管理，加强资金使用监督管理。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二、资金使用要求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本次预下达资金可用于典型村开展人居环境整治、农房风貌管控、村庄绿美建设、特色资源保护、基础设施建设、公共服务配置、产业发展、乡村治理等方面工作。除产业发展类项目外，其他类别项目使用省级财政奖补资金原则上不得超过项目实际工程结算金额的80%，剩余资金可通过村集体自筹、社会捐资、村民投工投劳等途径筹集，鼓励各镇（街）通过以工代赈等方式引导农民参与典型村培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lang w:eastAsia="zh-CN"/>
        </w:rPr>
      </w:pPr>
      <w:r>
        <w:rPr>
          <w:rFonts w:hint="eastAsia" w:ascii="仿宋" w:hAnsi="仿宋" w:eastAsia="仿宋" w:cs="仿宋"/>
          <w:color w:val="000000"/>
          <w:sz w:val="32"/>
          <w:szCs w:val="32"/>
          <w:lang w:eastAsia="zh-CN"/>
        </w:rPr>
        <w:t>本次下达资金专款专用，用于第二批省典型村培育对象实施“百千万工程”以来的新建、在建项目</w:t>
      </w:r>
      <w:r>
        <w:rPr>
          <w:rFonts w:hint="eastAsia" w:ascii="仿宋" w:hAnsi="仿宋" w:eastAsia="仿宋" w:cs="仿宋"/>
          <w:b w:val="0"/>
          <w:bCs w:val="0"/>
          <w:color w:val="000000"/>
          <w:sz w:val="32"/>
          <w:szCs w:val="32"/>
          <w:lang w:eastAsia="zh-CN"/>
        </w:rPr>
        <w:t>，不得用于以下方面：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（一）建设楼堂馆所、牌坊门楼、亭台楼阁等；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二）行政事业单位和企业经营性开支（包括日常成本费用，含农资、非农产品的生产原料等开支、职工薪酬及社会保险费用、临时人员劳务费用、奖金津贴和福利补助、非正常成本费用开支）和债务等一般性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（三）分红、购买理财产品、发放借款及平衡预算等；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（四）形成地方政府债务的支出；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（五）规划编制、可研报告、项目验收、监督检查、内部审计、绩效管理、咨询服务、业务培训等管理费用支出；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（六）建设超出当地经济发展水平和财政承受能力、不符合发展规律和群众意愿的“形象工程”、“政绩工程”；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（七）省级已有专项资金政策支持的支出，如“四好农村路”、农村生活污水治理等。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yellow"/>
        </w:rPr>
      </w:pPr>
      <w:r>
        <w:rPr>
          <w:rFonts w:hint="eastAsia" w:ascii="仿宋" w:hAnsi="仿宋" w:eastAsia="仿宋" w:cs="仿宋"/>
          <w:color w:val="000000"/>
          <w:sz w:val="32"/>
          <w:szCs w:val="32"/>
          <w:lang w:eastAsia="zh-CN"/>
        </w:rPr>
        <w:t>（八）其他与“百千万工程”典型村培育无关的支出。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bookmarkStart w:id="2" w:name="_GoBack"/>
      <w:r>
        <w:rPr>
          <w:rFonts w:hint="eastAsia" w:ascii="黑体" w:hAnsi="黑体" w:eastAsia="黑体" w:cs="黑体"/>
          <w:b w:val="0"/>
          <w:bCs w:val="0"/>
          <w:color w:val="000000"/>
          <w:sz w:val="32"/>
          <w:szCs w:val="32"/>
        </w:rPr>
        <w:t>三、其他工作要求</w:t>
      </w:r>
    </w:p>
    <w:bookmarkEnd w:id="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rPr>
        <w:t>请各镇（街）严格按照</w:t>
      </w:r>
      <w:r>
        <w:rPr>
          <w:rFonts w:hint="eastAsia" w:ascii="仿宋" w:hAnsi="仿宋" w:eastAsia="仿宋" w:cs="仿宋"/>
          <w:b w:val="0"/>
          <w:bCs w:val="0"/>
          <w:color w:val="auto"/>
          <w:sz w:val="32"/>
          <w:szCs w:val="32"/>
        </w:rPr>
        <w:t>《广东省财政厅广东省审计厅关于印发〈“百县千镇万村高质量发展工程”重点任务保障专项资金使用管理监督办法〉的通知》(粤财农〔2024〕27号)，</w:t>
      </w:r>
      <w:r>
        <w:rPr>
          <w:rFonts w:hint="eastAsia" w:ascii="仿宋" w:hAnsi="仿宋" w:eastAsia="仿宋" w:cs="仿宋"/>
          <w:b w:val="0"/>
          <w:bCs w:val="0"/>
          <w:color w:val="000000"/>
          <w:sz w:val="32"/>
          <w:szCs w:val="32"/>
        </w:rPr>
        <w:t>切实加强资金监管，</w:t>
      </w:r>
      <w:r>
        <w:rPr>
          <w:rFonts w:hint="eastAsia" w:ascii="仿宋" w:hAnsi="仿宋" w:eastAsia="仿宋" w:cs="仿宋"/>
          <w:b w:val="0"/>
          <w:bCs w:val="0"/>
          <w:color w:val="000000"/>
          <w:sz w:val="32"/>
          <w:szCs w:val="32"/>
          <w:highlight w:val="none"/>
        </w:rPr>
        <w:t>不得挤占、截留或挪用，确保专款专用，加快资金使用进度，并按实际工程进度办理资金拨付。各镇（街）确保年度绩效目标如期实现，财政资金发挥预期效益。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 xml:space="preserve">附件：2024年典型村培育资金（奖补部分）分配表 </w:t>
      </w:r>
    </w:p>
    <w:sectPr>
      <w:pgSz w:w="11906" w:h="16838"/>
      <w:pgMar w:top="1417"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800002BF" w:usb1="38CF7CFA" w:usb2="00000016"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MTUyYmQ1MWMzNTNmMWE0MmM4MjdhZTA2MGIzN2QifQ=="/>
    <w:docVar w:name="KSO_WPS_MARK_KEY" w:val="4470c5d0-c0d9-49a0-a3d8-63bc6382589c"/>
  </w:docVars>
  <w:rsids>
    <w:rsidRoot w:val="00000000"/>
    <w:rsid w:val="0377186D"/>
    <w:rsid w:val="0812567D"/>
    <w:rsid w:val="0D81437D"/>
    <w:rsid w:val="16B212CB"/>
    <w:rsid w:val="180E1588"/>
    <w:rsid w:val="31A80078"/>
    <w:rsid w:val="3B7C13E7"/>
    <w:rsid w:val="3BC4191A"/>
    <w:rsid w:val="41E83B08"/>
    <w:rsid w:val="4C0D46FC"/>
    <w:rsid w:val="5B4458AE"/>
    <w:rsid w:val="5E790D45"/>
    <w:rsid w:val="688651C2"/>
    <w:rsid w:val="6F283A6C"/>
    <w:rsid w:val="72B4156C"/>
    <w:rsid w:val="733C5562"/>
    <w:rsid w:val="78F7661C"/>
    <w:rsid w:val="7A50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1519</Words>
  <Characters>1566</Characters>
  <Lines>0</Lines>
  <Paragraphs>0</Paragraphs>
  <TotalTime>151</TotalTime>
  <ScaleCrop>false</ScaleCrop>
  <LinksUpToDate>false</LinksUpToDate>
  <CharactersWithSpaces>1567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2025-04-02T02:01:00Z</dcterms:created>
  <dc:creator>admin</dc:creator>
  <cp:lastModifiedBy>(눈_눈)</cp:lastModifiedBy>
  <dcterms:modified xsi:type="dcterms:W3CDTF">2025-05-15T08:45:11Z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83D1B1988F9742A990ED904351BCAAE5</vt:lpwstr>
  </property>
  <property fmtid="{D5CDD505-2E9C-101B-9397-08002B2CF9AE}" pid="4" name="KSOTemplateDocerSaveRecord">
    <vt:lpwstr>eyJoZGlkIjoiZTQzZDJmYzk0Y2U2ZjA3MTlkNzZiZGY2ZGE0NDdmNjYiLCJ1c2VySWQiOiIzMTM1MzI4OTEifQ==</vt:lpwstr>
  </property>
</Properties>
</file>