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EB563">
      <w:pPr>
        <w:spacing w:before="100" w:after="100" w:line="360" w:lineRule="auto"/>
        <w:jc w:val="center"/>
        <w:rPr>
          <w:rFonts w:ascii="宋体" w:hAnsi="宋体" w:eastAsia="宋体"/>
          <w:b/>
          <w:sz w:val="56"/>
          <w:szCs w:val="56"/>
          <w:highlight w:val="none"/>
        </w:rPr>
      </w:pPr>
      <w:bookmarkStart w:id="0" w:name="_Toc458262589"/>
    </w:p>
    <w:p w14:paraId="109FBF83">
      <w:pPr>
        <w:spacing w:before="100" w:after="100" w:line="360" w:lineRule="auto"/>
        <w:jc w:val="center"/>
        <w:outlineLvl w:val="0"/>
        <w:rPr>
          <w:rFonts w:hint="default" w:ascii="宋体" w:hAnsi="宋体" w:eastAsia="宋体"/>
          <w:b/>
          <w:color w:val="auto"/>
          <w:sz w:val="52"/>
          <w:szCs w:val="52"/>
          <w:highlight w:val="none"/>
          <w:lang w:val="en-US" w:eastAsia="zh-CN"/>
        </w:rPr>
      </w:pPr>
      <w:r>
        <w:rPr>
          <w:rFonts w:hint="eastAsia" w:ascii="宋体" w:hAnsi="宋体" w:eastAsia="宋体"/>
          <w:b/>
          <w:color w:val="auto"/>
          <w:sz w:val="56"/>
          <w:szCs w:val="56"/>
          <w:highlight w:val="none"/>
        </w:rPr>
        <w:t>开平市中医院</w:t>
      </w:r>
      <w:r>
        <w:rPr>
          <w:rFonts w:hint="eastAsia" w:ascii="宋体" w:hAnsi="宋体" w:eastAsia="宋体"/>
          <w:b/>
          <w:color w:val="auto"/>
          <w:sz w:val="56"/>
          <w:szCs w:val="56"/>
          <w:highlight w:val="none"/>
          <w:lang w:eastAsia="zh-CN"/>
        </w:rPr>
        <w:t>电子镜</w:t>
      </w:r>
      <w:r>
        <w:rPr>
          <w:rFonts w:hint="eastAsia" w:ascii="宋体" w:hAnsi="宋体" w:eastAsia="宋体"/>
          <w:b/>
          <w:color w:val="auto"/>
          <w:sz w:val="56"/>
          <w:szCs w:val="56"/>
          <w:highlight w:val="none"/>
          <w:lang w:val="en-US" w:eastAsia="zh-CN"/>
        </w:rPr>
        <w:t>设备</w:t>
      </w:r>
      <w:r>
        <w:rPr>
          <w:rFonts w:hint="eastAsia" w:ascii="宋体" w:hAnsi="宋体" w:eastAsia="宋体"/>
          <w:b/>
          <w:color w:val="auto"/>
          <w:sz w:val="56"/>
          <w:szCs w:val="56"/>
          <w:highlight w:val="none"/>
          <w:lang w:eastAsia="zh-CN"/>
        </w:rPr>
        <w:t>年度维</w:t>
      </w:r>
      <w:r>
        <w:rPr>
          <w:rFonts w:hint="eastAsia" w:ascii="宋体" w:hAnsi="宋体" w:eastAsia="宋体"/>
          <w:b/>
          <w:color w:val="auto"/>
          <w:sz w:val="56"/>
          <w:szCs w:val="56"/>
          <w:highlight w:val="none"/>
          <w:lang w:val="en-US" w:eastAsia="zh-CN"/>
        </w:rPr>
        <w:t>保</w:t>
      </w:r>
      <w:r>
        <w:rPr>
          <w:rFonts w:hint="eastAsia" w:ascii="宋体" w:hAnsi="宋体" w:eastAsia="宋体"/>
          <w:b/>
          <w:color w:val="auto"/>
          <w:sz w:val="56"/>
          <w:szCs w:val="56"/>
          <w:highlight w:val="none"/>
          <w:lang w:eastAsia="zh-CN"/>
        </w:rPr>
        <w:t>服务采购</w:t>
      </w:r>
      <w:r>
        <w:rPr>
          <w:rFonts w:hint="eastAsia" w:ascii="宋体" w:hAnsi="宋体" w:eastAsia="宋体"/>
          <w:b/>
          <w:color w:val="auto"/>
          <w:sz w:val="56"/>
          <w:szCs w:val="56"/>
          <w:highlight w:val="none"/>
        </w:rPr>
        <w:t>项目</w:t>
      </w:r>
    </w:p>
    <w:p w14:paraId="7930927C">
      <w:pPr>
        <w:spacing w:before="100" w:after="100" w:line="360" w:lineRule="auto"/>
        <w:jc w:val="center"/>
        <w:rPr>
          <w:rFonts w:ascii="宋体" w:hAnsi="宋体" w:eastAsia="宋体"/>
          <w:b/>
          <w:sz w:val="52"/>
          <w:szCs w:val="52"/>
          <w:highlight w:val="none"/>
        </w:rPr>
      </w:pPr>
    </w:p>
    <w:p w14:paraId="78E973A0">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14:paraId="22E405DA">
      <w:pPr>
        <w:spacing w:line="360" w:lineRule="auto"/>
        <w:jc w:val="center"/>
        <w:rPr>
          <w:rFonts w:ascii="宋体" w:hAnsi="宋体" w:eastAsia="宋体"/>
          <w:b/>
          <w:sz w:val="36"/>
          <w:szCs w:val="36"/>
          <w:highlight w:val="none"/>
        </w:rPr>
      </w:pPr>
    </w:p>
    <w:p w14:paraId="67864DBA">
      <w:pPr>
        <w:spacing w:line="360" w:lineRule="auto"/>
        <w:jc w:val="center"/>
        <w:rPr>
          <w:rFonts w:ascii="宋体" w:hAnsi="宋体" w:eastAsia="宋体"/>
          <w:b/>
          <w:sz w:val="36"/>
          <w:szCs w:val="36"/>
          <w:highlight w:val="none"/>
        </w:rPr>
      </w:pPr>
    </w:p>
    <w:p w14:paraId="7CBDEEC5">
      <w:pPr>
        <w:spacing w:line="360" w:lineRule="auto"/>
        <w:jc w:val="center"/>
        <w:rPr>
          <w:rFonts w:ascii="宋体" w:hAnsi="宋体" w:eastAsia="宋体"/>
          <w:b/>
          <w:sz w:val="36"/>
          <w:szCs w:val="36"/>
          <w:highlight w:val="none"/>
        </w:rPr>
      </w:pPr>
    </w:p>
    <w:p w14:paraId="6A3B4BE4">
      <w:pPr>
        <w:spacing w:line="360" w:lineRule="auto"/>
        <w:rPr>
          <w:rFonts w:ascii="宋体" w:hAnsi="宋体" w:eastAsia="宋体"/>
          <w:b/>
          <w:sz w:val="36"/>
          <w:szCs w:val="36"/>
          <w:highlight w:val="none"/>
        </w:rPr>
      </w:pPr>
    </w:p>
    <w:p w14:paraId="00F47E86">
      <w:pPr>
        <w:spacing w:line="480" w:lineRule="auto"/>
        <w:rPr>
          <w:rFonts w:ascii="宋体" w:hAnsi="宋体" w:eastAsia="宋体"/>
          <w:b/>
          <w:sz w:val="32"/>
          <w:highlight w:val="none"/>
        </w:rPr>
      </w:pPr>
      <w:bookmarkStart w:id="2" w:name="_Hlk169100851"/>
    </w:p>
    <w:p w14:paraId="73DF3206">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14:paraId="347AAD4D">
      <w:pPr>
        <w:spacing w:line="480" w:lineRule="auto"/>
        <w:jc w:val="center"/>
        <w:rPr>
          <w:rFonts w:ascii="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color w:val="auto"/>
          <w:sz w:val="32"/>
          <w:szCs w:val="32"/>
          <w:highlight w:val="none"/>
        </w:rPr>
        <w:t>2</w:t>
      </w:r>
      <w:r>
        <w:rPr>
          <w:rFonts w:ascii="宋体" w:hAnsi="宋体" w:eastAsia="宋体"/>
          <w:b/>
          <w:color w:val="auto"/>
          <w:sz w:val="32"/>
          <w:szCs w:val="32"/>
          <w:highlight w:val="none"/>
        </w:rPr>
        <w:t>02</w:t>
      </w:r>
      <w:r>
        <w:rPr>
          <w:rFonts w:hint="eastAsia" w:ascii="宋体" w:hAnsi="宋体" w:eastAsia="宋体"/>
          <w:b/>
          <w:color w:val="auto"/>
          <w:sz w:val="32"/>
          <w:szCs w:val="32"/>
          <w:highlight w:val="none"/>
          <w:lang w:val="en-US" w:eastAsia="zh-CN"/>
        </w:rPr>
        <w:t>6</w:t>
      </w:r>
      <w:r>
        <w:rPr>
          <w:rFonts w:ascii="宋体" w:hAnsi="宋体" w:eastAsia="宋体"/>
          <w:b/>
          <w:color w:val="auto"/>
          <w:sz w:val="32"/>
          <w:szCs w:val="32"/>
          <w:highlight w:val="none"/>
        </w:rPr>
        <w:t>年</w:t>
      </w:r>
      <w:r>
        <w:rPr>
          <w:rFonts w:hint="eastAsia" w:ascii="宋体" w:hAnsi="宋体" w:eastAsia="宋体"/>
          <w:b/>
          <w:color w:val="auto"/>
          <w:sz w:val="32"/>
          <w:szCs w:val="32"/>
          <w:highlight w:val="none"/>
          <w:lang w:val="en-US" w:eastAsia="zh-CN"/>
        </w:rPr>
        <w:t>1</w:t>
      </w:r>
      <w:r>
        <w:rPr>
          <w:rFonts w:ascii="宋体" w:hAnsi="宋体" w:eastAsia="宋体"/>
          <w:b/>
          <w:color w:val="auto"/>
          <w:sz w:val="32"/>
          <w:szCs w:val="32"/>
          <w:highlight w:val="none"/>
        </w:rPr>
        <w:t>月</w:t>
      </w:r>
      <w:bookmarkEnd w:id="2"/>
    </w:p>
    <w:p w14:paraId="03A8BFF4">
      <w:pPr>
        <w:pStyle w:val="30"/>
        <w:tabs>
          <w:tab w:val="center" w:pos="4225"/>
          <w:tab w:val="left" w:pos="6266"/>
        </w:tabs>
        <w:spacing w:line="500" w:lineRule="exact"/>
        <w:ind w:left="300" w:right="300"/>
        <w:jc w:val="left"/>
        <w:outlineLvl w:val="0"/>
        <w:rPr>
          <w:rFonts w:ascii="宋体"/>
          <w:sz w:val="44"/>
          <w:szCs w:val="44"/>
          <w:highlight w:val="none"/>
        </w:rPr>
      </w:pPr>
      <w:bookmarkStart w:id="3" w:name="_Toc184723186"/>
      <w:r>
        <w:rPr>
          <w:rFonts w:hint="eastAsia" w:ascii="宋体"/>
          <w:b/>
          <w:sz w:val="44"/>
          <w:szCs w:val="44"/>
          <w:highlight w:val="none"/>
          <w:lang w:eastAsia="zh-CN"/>
        </w:rPr>
        <w:tab/>
      </w:r>
      <w:r>
        <w:rPr>
          <w:rFonts w:ascii="宋体"/>
          <w:b/>
          <w:sz w:val="44"/>
          <w:szCs w:val="44"/>
          <w:highlight w:val="none"/>
        </w:rPr>
        <w:t>目    录</w:t>
      </w:r>
      <w:bookmarkEnd w:id="3"/>
      <w:r>
        <w:rPr>
          <w:rFonts w:hint="eastAsia" w:ascii="宋体"/>
          <w:b/>
          <w:sz w:val="44"/>
          <w:szCs w:val="44"/>
          <w:highlight w:val="none"/>
          <w:lang w:eastAsia="zh-CN"/>
        </w:rPr>
        <w:tab/>
      </w:r>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64AD9DDA">
      <w:pPr>
        <w:pStyle w:val="30"/>
        <w:spacing w:line="500" w:lineRule="exact"/>
        <w:rPr>
          <w:rStyle w:val="48"/>
          <w:b/>
          <w:highlight w:val="none"/>
        </w:rPr>
      </w:pPr>
    </w:p>
    <w:p w14:paraId="33DC08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3DD5D9D4">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408DF1A7">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2BBB1C9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14:paraId="65DCBF61">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"_Toc184723207" </w:instrText>
      </w:r>
      <w:r>
        <w:rPr>
          <w:color w:val="auto"/>
          <w:highlight w:val="none"/>
        </w:rPr>
        <w:fldChar w:fldCharType="separate"/>
      </w:r>
      <w:r>
        <w:rPr>
          <w:rStyle w:val="48"/>
          <w:rFonts w:hint="eastAsia"/>
          <w:bCs/>
          <w:color w:val="auto"/>
          <w:highlight w:val="none"/>
        </w:rPr>
        <w:t>四、</w:t>
      </w:r>
      <w:r>
        <w:rPr>
          <w:rStyle w:val="48"/>
          <w:rFonts w:hint="eastAsia"/>
          <w:bCs/>
          <w:color w:val="auto"/>
          <w:highlight w:val="none"/>
          <w:u w:val="none"/>
          <w:lang w:val="en-US" w:eastAsia="zh-CN"/>
        </w:rPr>
        <w:t>报名、</w:t>
      </w:r>
      <w:r>
        <w:rPr>
          <w:rStyle w:val="48"/>
          <w:rFonts w:hint="eastAsia"/>
          <w:bCs/>
          <w:color w:val="auto"/>
          <w:highlight w:val="none"/>
          <w:u w:val="none"/>
        </w:rPr>
        <w:t>资</w:t>
      </w:r>
      <w:r>
        <w:rPr>
          <w:rStyle w:val="48"/>
          <w:rFonts w:hint="eastAsia"/>
          <w:bCs/>
          <w:color w:val="auto"/>
          <w:highlight w:val="none"/>
        </w:rPr>
        <w:t>料递交时间、地点、报价方式及评审办法：</w:t>
      </w:r>
      <w:r>
        <w:rPr>
          <w:color w:val="auto"/>
          <w:highlight w:val="none"/>
        </w:rPr>
        <w:tab/>
      </w:r>
      <w:r>
        <w:rPr>
          <w:color w:val="auto"/>
          <w:highlight w:val="none"/>
        </w:rPr>
        <w:fldChar w:fldCharType="begin"/>
      </w:r>
      <w:r>
        <w:rPr>
          <w:color w:val="auto"/>
          <w:highlight w:val="none"/>
        </w:rPr>
        <w:instrText xml:space="preserve"> PAGEREF _Toc184723207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F23D539">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"_Toc184723214" </w:instrText>
      </w:r>
      <w:r>
        <w:rPr>
          <w:color w:val="auto"/>
          <w:highlight w:val="none"/>
        </w:rPr>
        <w:fldChar w:fldCharType="separate"/>
      </w:r>
      <w:r>
        <w:rPr>
          <w:rStyle w:val="48"/>
          <w:rFonts w:hint="eastAsia"/>
          <w:bCs/>
          <w:color w:val="auto"/>
          <w:highlight w:val="none"/>
        </w:rPr>
        <w:t>五、本次遴选相关事宜联系：</w:t>
      </w:r>
      <w:r>
        <w:rPr>
          <w:color w:val="auto"/>
          <w:highlight w:val="none"/>
        </w:rPr>
        <w:tab/>
      </w:r>
      <w:r>
        <w:rPr>
          <w:color w:val="auto"/>
          <w:highlight w:val="none"/>
        </w:rPr>
        <w:fldChar w:fldCharType="begin"/>
      </w:r>
      <w:r>
        <w:rPr>
          <w:color w:val="auto"/>
          <w:highlight w:val="none"/>
        </w:rPr>
        <w:instrText xml:space="preserve"> PAGEREF _Toc184723214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C6F3CEB">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"_Toc184723216" </w:instrText>
      </w:r>
      <w:r>
        <w:rPr>
          <w:color w:val="auto"/>
          <w:highlight w:val="none"/>
        </w:rPr>
        <w:fldChar w:fldCharType="separate"/>
      </w:r>
      <w:r>
        <w:rPr>
          <w:rStyle w:val="48"/>
          <w:rFonts w:hint="eastAsia"/>
          <w:bCs/>
          <w:color w:val="auto"/>
          <w:highlight w:val="none"/>
        </w:rPr>
        <w:t>六、报名须知</w:t>
      </w:r>
      <w:r>
        <w:rPr>
          <w:color w:val="auto"/>
          <w:highlight w:val="none"/>
        </w:rPr>
        <w:tab/>
      </w:r>
      <w:r>
        <w:rPr>
          <w:color w:val="auto"/>
          <w:highlight w:val="none"/>
        </w:rPr>
        <w:fldChar w:fldCharType="begin"/>
      </w:r>
      <w:r>
        <w:rPr>
          <w:color w:val="auto"/>
          <w:highlight w:val="none"/>
        </w:rPr>
        <w:instrText xml:space="preserve"> PAGEREF _Toc184723216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9F5BB33">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"_Toc184723224" </w:instrText>
      </w:r>
      <w:r>
        <w:rPr>
          <w:color w:val="auto"/>
          <w:highlight w:val="none"/>
        </w:rPr>
        <w:fldChar w:fldCharType="separate"/>
      </w:r>
      <w:r>
        <w:rPr>
          <w:rStyle w:val="48"/>
          <w:rFonts w:hint="eastAsia"/>
          <w:bCs/>
          <w:color w:val="auto"/>
          <w:highlight w:val="none"/>
        </w:rPr>
        <w:t>七、注意事项</w:t>
      </w:r>
      <w:r>
        <w:rPr>
          <w:color w:val="auto"/>
          <w:highlight w:val="none"/>
        </w:rPr>
        <w:tab/>
      </w:r>
      <w:r>
        <w:rPr>
          <w:color w:val="auto"/>
          <w:highlight w:val="none"/>
        </w:rPr>
        <w:fldChar w:fldCharType="begin"/>
      </w:r>
      <w:r>
        <w:rPr>
          <w:color w:val="auto"/>
          <w:highlight w:val="none"/>
        </w:rPr>
        <w:instrText xml:space="preserve"> PAGEREF _Toc184723224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77A43150">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"_Toc184723226" </w:instrText>
      </w:r>
      <w:r>
        <w:rPr>
          <w:color w:val="auto"/>
          <w:highlight w:val="none"/>
        </w:rPr>
        <w:fldChar w:fldCharType="separate"/>
      </w:r>
      <w:r>
        <w:rPr>
          <w:rStyle w:val="48"/>
          <w:rFonts w:hint="eastAsia"/>
          <w:bCs/>
          <w:color w:val="auto"/>
          <w:highlight w:val="none"/>
        </w:rPr>
        <w:t>八、遴选响应文件的制作、装订、密封、标记</w:t>
      </w:r>
      <w:r>
        <w:rPr>
          <w:color w:val="auto"/>
          <w:highlight w:val="none"/>
        </w:rPr>
        <w:tab/>
      </w:r>
      <w:r>
        <w:rPr>
          <w:color w:val="auto"/>
          <w:highlight w:val="none"/>
        </w:rPr>
        <w:fldChar w:fldCharType="begin"/>
      </w:r>
      <w:r>
        <w:rPr>
          <w:color w:val="auto"/>
          <w:highlight w:val="none"/>
        </w:rPr>
        <w:instrText xml:space="preserve"> PAGEREF _Toc184723226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8425AF6">
      <w:pPr>
        <w:pStyle w:val="30"/>
        <w:spacing w:line="500" w:lineRule="exact"/>
        <w:rPr>
          <w:rFonts w:asciiTheme="minorHAnsi" w:hAnsiTheme="minorHAnsi" w:eastAsiaTheme="minorEastAsia" w:cstheme="minorBidi"/>
          <w:b/>
          <w:bCs w:val="0"/>
          <w:color w:val="auto"/>
          <w:sz w:val="21"/>
          <w:szCs w:val="22"/>
          <w:highlight w:val="none"/>
        </w:rPr>
      </w:pPr>
      <w:r>
        <w:rPr>
          <w:color w:val="auto"/>
          <w:highlight w:val="none"/>
        </w:rPr>
        <w:fldChar w:fldCharType="begin"/>
      </w:r>
      <w:r>
        <w:rPr>
          <w:color w:val="auto"/>
          <w:highlight w:val="none"/>
        </w:rPr>
        <w:instrText xml:space="preserve"> HYPERLINK \l "_Toc184723234" </w:instrText>
      </w:r>
      <w:r>
        <w:rPr>
          <w:color w:val="auto"/>
          <w:highlight w:val="none"/>
        </w:rPr>
        <w:fldChar w:fldCharType="separate"/>
      </w:r>
      <w:r>
        <w:rPr>
          <w:rStyle w:val="48"/>
          <w:rFonts w:hint="eastAsia" w:ascii="Times New Roman"/>
          <w:b/>
          <w:color w:val="auto"/>
          <w:highlight w:val="none"/>
        </w:rPr>
        <w:t>第二部分采购需求</w:t>
      </w:r>
      <w:r>
        <w:rPr>
          <w:b/>
          <w:color w:val="auto"/>
          <w:highlight w:val="none"/>
        </w:rPr>
        <w:tab/>
      </w:r>
      <w:r>
        <w:rPr>
          <w:b/>
          <w:color w:val="auto"/>
          <w:highlight w:val="none"/>
        </w:rPr>
        <w:fldChar w:fldCharType="begin"/>
      </w:r>
      <w:r>
        <w:rPr>
          <w:b/>
          <w:color w:val="auto"/>
          <w:highlight w:val="none"/>
        </w:rPr>
        <w:instrText xml:space="preserve"> PAGEREF _Toc184723234 \h </w:instrText>
      </w:r>
      <w:r>
        <w:rPr>
          <w:b/>
          <w:color w:val="auto"/>
          <w:highlight w:val="none"/>
        </w:rPr>
        <w:fldChar w:fldCharType="separate"/>
      </w:r>
      <w:r>
        <w:rPr>
          <w:b/>
          <w:color w:val="auto"/>
          <w:highlight w:val="none"/>
        </w:rPr>
        <w:t>7</w:t>
      </w:r>
      <w:r>
        <w:rPr>
          <w:b/>
          <w:color w:val="auto"/>
          <w:highlight w:val="none"/>
        </w:rPr>
        <w:fldChar w:fldCharType="end"/>
      </w:r>
      <w:r>
        <w:rPr>
          <w:b/>
          <w:color w:val="auto"/>
          <w:highlight w:val="none"/>
        </w:rPr>
        <w:fldChar w:fldCharType="end"/>
      </w:r>
    </w:p>
    <w:p w14:paraId="35D38359">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"_Toc184723235" </w:instrText>
      </w:r>
      <w:r>
        <w:rPr>
          <w:color w:val="auto"/>
          <w:highlight w:val="none"/>
        </w:rPr>
        <w:fldChar w:fldCharType="separate"/>
      </w:r>
      <w:r>
        <w:rPr>
          <w:rStyle w:val="48"/>
          <w:rFonts w:hint="eastAsia"/>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_Toc184723235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FE1768F">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"_Toc184723236" </w:instrText>
      </w:r>
      <w:r>
        <w:rPr>
          <w:color w:val="auto"/>
          <w:highlight w:val="none"/>
        </w:rPr>
        <w:fldChar w:fldCharType="separate"/>
      </w:r>
      <w:r>
        <w:rPr>
          <w:rStyle w:val="48"/>
          <w:rFonts w:hint="eastAsia"/>
          <w:color w:val="auto"/>
          <w:highlight w:val="none"/>
        </w:rPr>
        <w:t>二、供应商资格条件</w:t>
      </w:r>
      <w:r>
        <w:rPr>
          <w:color w:val="auto"/>
          <w:highlight w:val="none"/>
        </w:rPr>
        <w:tab/>
      </w:r>
      <w:r>
        <w:rPr>
          <w:color w:val="auto"/>
          <w:highlight w:val="none"/>
        </w:rPr>
        <w:fldChar w:fldCharType="begin"/>
      </w:r>
      <w:r>
        <w:rPr>
          <w:color w:val="auto"/>
          <w:highlight w:val="none"/>
        </w:rPr>
        <w:instrText xml:space="preserve"> PAGEREF _Toc184723236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49B5E08">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"_Toc184723250" </w:instrText>
      </w:r>
      <w:r>
        <w:rPr>
          <w:color w:val="auto"/>
          <w:highlight w:val="none"/>
        </w:rPr>
        <w:fldChar w:fldCharType="separate"/>
      </w:r>
      <w:r>
        <w:rPr>
          <w:rStyle w:val="48"/>
          <w:rFonts w:hint="eastAsia"/>
          <w:color w:val="auto"/>
          <w:highlight w:val="none"/>
        </w:rPr>
        <w:t>三、服务</w:t>
      </w:r>
      <w:r>
        <w:rPr>
          <w:rStyle w:val="48"/>
          <w:rFonts w:hint="eastAsia"/>
          <w:color w:val="auto"/>
          <w:highlight w:val="none"/>
          <w:lang w:val="en-US" w:eastAsia="zh-CN"/>
        </w:rPr>
        <w:t>内容及</w:t>
      </w:r>
      <w:r>
        <w:rPr>
          <w:rStyle w:val="48"/>
          <w:rFonts w:hint="eastAsia"/>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_Toc184723250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5A4979A">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"_Toc184723289" </w:instrText>
      </w:r>
      <w:r>
        <w:rPr>
          <w:color w:val="auto"/>
          <w:highlight w:val="none"/>
        </w:rPr>
        <w:fldChar w:fldCharType="separate"/>
      </w:r>
      <w:r>
        <w:rPr>
          <w:rStyle w:val="48"/>
          <w:rFonts w:hint="eastAsia"/>
          <w:color w:val="auto"/>
          <w:highlight w:val="none"/>
        </w:rPr>
        <w:t>四、保修清单</w:t>
      </w:r>
      <w:r>
        <w:rPr>
          <w:color w:val="auto"/>
          <w:highlight w:val="none"/>
        </w:rPr>
        <w:tab/>
      </w:r>
      <w:r>
        <w:rPr>
          <w:color w:val="auto"/>
          <w:highlight w:val="none"/>
        </w:rPr>
        <w:fldChar w:fldCharType="begin"/>
      </w:r>
      <w:r>
        <w:rPr>
          <w:color w:val="auto"/>
          <w:highlight w:val="none"/>
        </w:rPr>
        <w:instrText xml:space="preserve"> PAGEREF _Toc184723293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B211B15">
      <w:pPr>
        <w:pStyle w:val="36"/>
        <w:spacing w:line="500" w:lineRule="exact"/>
        <w:ind w:left="450" w:right="450"/>
        <w:rPr>
          <w:rFonts w:asciiTheme="minorHAnsi" w:hAnsiTheme="minorHAnsi" w:eastAsiaTheme="minorEastAsia" w:cstheme="minorBidi"/>
          <w:sz w:val="21"/>
          <w:szCs w:val="22"/>
          <w:highlight w:val="none"/>
        </w:rPr>
      </w:pPr>
      <w:r>
        <w:rPr>
          <w:color w:val="auto"/>
          <w:highlight w:val="none"/>
        </w:rPr>
        <w:fldChar w:fldCharType="begin"/>
      </w:r>
      <w:r>
        <w:rPr>
          <w:color w:val="auto"/>
          <w:highlight w:val="none"/>
        </w:rPr>
        <w:instrText xml:space="preserve"> HYPERLINK \l "_Toc184723293" </w:instrText>
      </w:r>
      <w:r>
        <w:rPr>
          <w:color w:val="auto"/>
          <w:highlight w:val="none"/>
        </w:rPr>
        <w:fldChar w:fldCharType="separate"/>
      </w:r>
      <w:r>
        <w:rPr>
          <w:rStyle w:val="48"/>
          <w:rFonts w:hint="eastAsia"/>
          <w:color w:val="auto"/>
          <w:highlight w:val="none"/>
        </w:rPr>
        <w:t>五、报价要求</w:t>
      </w:r>
      <w:r>
        <w:rPr>
          <w:color w:val="auto"/>
          <w:highlight w:val="none"/>
        </w:rPr>
        <w:tab/>
      </w:r>
      <w:r>
        <w:rPr>
          <w:color w:val="auto"/>
          <w:highlight w:val="none"/>
        </w:rPr>
        <w:fldChar w:fldCharType="begin"/>
      </w:r>
      <w:r>
        <w:rPr>
          <w:color w:val="auto"/>
          <w:highlight w:val="none"/>
        </w:rPr>
        <w:instrText xml:space="preserve"> PAGEREF _Toc184723293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1541DBE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10</w:t>
      </w:r>
      <w:r>
        <w:rPr>
          <w:highlight w:val="none"/>
        </w:rPr>
        <w:fldChar w:fldCharType="end"/>
      </w:r>
      <w:r>
        <w:rPr>
          <w:highlight w:val="none"/>
        </w:rPr>
        <w:fldChar w:fldCharType="end"/>
      </w:r>
    </w:p>
    <w:p w14:paraId="40F4A826">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10</w:t>
      </w:r>
      <w:r>
        <w:rPr>
          <w:highlight w:val="none"/>
        </w:rPr>
        <w:fldChar w:fldCharType="end"/>
      </w:r>
      <w:r>
        <w:rPr>
          <w:highlight w:val="none"/>
        </w:rPr>
        <w:fldChar w:fldCharType="end"/>
      </w:r>
    </w:p>
    <w:p w14:paraId="66E413C0">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11</w:t>
      </w:r>
      <w:r>
        <w:rPr>
          <w:b/>
          <w:highlight w:val="none"/>
        </w:rPr>
        <w:fldChar w:fldCharType="end"/>
      </w:r>
      <w:r>
        <w:rPr>
          <w:b/>
          <w:highlight w:val="none"/>
        </w:rPr>
        <w:fldChar w:fldCharType="end"/>
      </w:r>
    </w:p>
    <w:p w14:paraId="2D6B430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11</w:t>
      </w:r>
      <w:r>
        <w:rPr>
          <w:highlight w:val="none"/>
        </w:rPr>
        <w:fldChar w:fldCharType="end"/>
      </w:r>
      <w:r>
        <w:rPr>
          <w:highlight w:val="none"/>
        </w:rPr>
        <w:fldChar w:fldCharType="end"/>
      </w:r>
    </w:p>
    <w:p w14:paraId="26D769D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13</w:t>
      </w:r>
      <w:r>
        <w:rPr>
          <w:highlight w:val="none"/>
        </w:rPr>
        <w:fldChar w:fldCharType="end"/>
      </w:r>
      <w:r>
        <w:rPr>
          <w:highlight w:val="none"/>
        </w:rPr>
        <w:fldChar w:fldCharType="end"/>
      </w:r>
    </w:p>
    <w:p w14:paraId="002AF4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13</w:t>
      </w:r>
      <w:r>
        <w:rPr>
          <w:highlight w:val="none"/>
        </w:rPr>
        <w:fldChar w:fldCharType="end"/>
      </w:r>
      <w:r>
        <w:rPr>
          <w:highlight w:val="none"/>
        </w:rPr>
        <w:fldChar w:fldCharType="end"/>
      </w:r>
    </w:p>
    <w:p w14:paraId="0CCEDB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15</w:t>
      </w:r>
      <w:r>
        <w:rPr>
          <w:highlight w:val="none"/>
        </w:rPr>
        <w:fldChar w:fldCharType="end"/>
      </w:r>
      <w:r>
        <w:rPr>
          <w:highlight w:val="none"/>
        </w:rPr>
        <w:fldChar w:fldCharType="end"/>
      </w:r>
    </w:p>
    <w:p w14:paraId="5D8C76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17</w:t>
      </w:r>
      <w:r>
        <w:rPr>
          <w:b/>
          <w:highlight w:val="none"/>
        </w:rPr>
        <w:fldChar w:fldCharType="end"/>
      </w:r>
      <w:r>
        <w:rPr>
          <w:b/>
          <w:highlight w:val="none"/>
        </w:rPr>
        <w:fldChar w:fldCharType="end"/>
      </w:r>
    </w:p>
    <w:p w14:paraId="1D84D0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21</w:t>
      </w:r>
      <w:r>
        <w:rPr>
          <w:b/>
          <w:highlight w:val="none"/>
        </w:rPr>
        <w:fldChar w:fldCharType="end"/>
      </w:r>
      <w:r>
        <w:rPr>
          <w:b/>
          <w:highlight w:val="none"/>
        </w:rPr>
        <w:fldChar w:fldCharType="end"/>
      </w:r>
    </w:p>
    <w:p w14:paraId="104A53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27</w:t>
      </w:r>
      <w:r>
        <w:rPr>
          <w:b/>
          <w:highlight w:val="none"/>
        </w:rPr>
        <w:fldChar w:fldCharType="end"/>
      </w:r>
      <w:r>
        <w:rPr>
          <w:b/>
          <w:highlight w:val="none"/>
        </w:rPr>
        <w:fldChar w:fldCharType="end"/>
      </w:r>
    </w:p>
    <w:p w14:paraId="31969C06">
      <w:pPr>
        <w:spacing w:line="500" w:lineRule="exact"/>
        <w:rPr>
          <w:highlight w:val="none"/>
        </w:rPr>
      </w:pPr>
      <w:r>
        <w:rPr>
          <w:rFonts w:ascii="宋体" w:hAnsi="宋体" w:eastAsia="宋体"/>
          <w:b/>
          <w:sz w:val="24"/>
          <w:szCs w:val="24"/>
          <w:highlight w:val="none"/>
        </w:rPr>
        <w:fldChar w:fldCharType="end"/>
      </w:r>
      <w:bookmarkStart w:id="4" w:name="_Toc56352965"/>
      <w:bookmarkStart w:id="5" w:name="_Toc52021495"/>
      <w:bookmarkStart w:id="6" w:name="_Toc51756448"/>
      <w:bookmarkStart w:id="7" w:name="_Toc52027882"/>
      <w:bookmarkStart w:id="8" w:name="_Toc51939413"/>
      <w:bookmarkStart w:id="9" w:name="_Toc486671525"/>
      <w:bookmarkStart w:id="10" w:name="_Toc476976153"/>
      <w:bookmarkStart w:id="11" w:name="_Toc467236720"/>
    </w:p>
    <w:p w14:paraId="51046DB8">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2" w:name="_Toc184723187"/>
      <w:r>
        <w:rPr>
          <w:rFonts w:ascii="Times New Roman"/>
          <w:sz w:val="36"/>
          <w:szCs w:val="28"/>
          <w:highlight w:val="none"/>
        </w:rPr>
        <w:t>第一部分</w:t>
      </w:r>
      <w:bookmarkEnd w:id="4"/>
      <w:bookmarkEnd w:id="5"/>
      <w:bookmarkEnd w:id="6"/>
      <w:bookmarkEnd w:id="7"/>
      <w:bookmarkEnd w:id="8"/>
      <w:r>
        <w:rPr>
          <w:rFonts w:hint="eastAsia" w:ascii="Times New Roman"/>
          <w:sz w:val="36"/>
          <w:szCs w:val="28"/>
          <w:highlight w:val="none"/>
        </w:rPr>
        <w:t xml:space="preserve"> 遴选</w:t>
      </w:r>
      <w:bookmarkEnd w:id="0"/>
      <w:bookmarkEnd w:id="9"/>
      <w:bookmarkEnd w:id="10"/>
      <w:bookmarkEnd w:id="11"/>
      <w:r>
        <w:rPr>
          <w:rFonts w:hint="eastAsia" w:ascii="Times New Roman"/>
          <w:sz w:val="36"/>
          <w:szCs w:val="28"/>
          <w:highlight w:val="none"/>
        </w:rPr>
        <w:t>公告</w:t>
      </w:r>
      <w:bookmarkEnd w:id="12"/>
    </w:p>
    <w:p w14:paraId="6A0442DC">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val="0"/>
          <w:sz w:val="24"/>
          <w:szCs w:val="21"/>
          <w:highlight w:val="none"/>
        </w:rPr>
        <w:t>开平市中医院</w:t>
      </w:r>
      <w:r>
        <w:rPr>
          <w:rFonts w:hint="eastAsia" w:ascii="宋体" w:hAnsi="宋体" w:eastAsia="宋体"/>
          <w:b/>
          <w:bCs w:val="0"/>
          <w:sz w:val="24"/>
          <w:szCs w:val="21"/>
          <w:highlight w:val="none"/>
          <w:lang w:eastAsia="zh-CN"/>
        </w:rPr>
        <w:t>电子镜</w:t>
      </w:r>
      <w:r>
        <w:rPr>
          <w:rFonts w:hint="eastAsia" w:ascii="宋体" w:hAnsi="宋体" w:eastAsia="宋体"/>
          <w:b/>
          <w:bCs w:val="0"/>
          <w:sz w:val="24"/>
          <w:szCs w:val="21"/>
          <w:highlight w:val="none"/>
          <w:lang w:val="en-US" w:eastAsia="zh-CN"/>
        </w:rPr>
        <w:t>设备</w:t>
      </w:r>
      <w:r>
        <w:rPr>
          <w:rFonts w:hint="eastAsia" w:ascii="宋体" w:hAnsi="宋体" w:eastAsia="宋体"/>
          <w:b/>
          <w:bCs w:val="0"/>
          <w:sz w:val="24"/>
          <w:szCs w:val="21"/>
          <w:highlight w:val="none"/>
          <w:lang w:eastAsia="zh-CN"/>
        </w:rPr>
        <w:t>年度维</w:t>
      </w:r>
      <w:r>
        <w:rPr>
          <w:rFonts w:hint="eastAsia" w:ascii="宋体" w:hAnsi="宋体" w:eastAsia="宋体"/>
          <w:b/>
          <w:bCs w:val="0"/>
          <w:sz w:val="24"/>
          <w:szCs w:val="21"/>
          <w:highlight w:val="none"/>
          <w:lang w:val="en-US" w:eastAsia="zh-CN"/>
        </w:rPr>
        <w:t>保</w:t>
      </w:r>
      <w:r>
        <w:rPr>
          <w:rFonts w:hint="eastAsia" w:ascii="宋体" w:hAnsi="宋体" w:eastAsia="宋体"/>
          <w:b/>
          <w:bCs w:val="0"/>
          <w:sz w:val="24"/>
          <w:szCs w:val="21"/>
          <w:highlight w:val="none"/>
          <w:lang w:eastAsia="zh-CN"/>
        </w:rPr>
        <w:t>服务采购</w:t>
      </w:r>
      <w:r>
        <w:rPr>
          <w:rFonts w:hint="eastAsia" w:ascii="宋体" w:hAnsi="宋体" w:eastAsia="宋体"/>
          <w:b/>
          <w:bCs w:val="0"/>
          <w:sz w:val="24"/>
          <w:szCs w:val="21"/>
          <w:highlight w:val="none"/>
        </w:rPr>
        <w:t>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，欢迎具备相应资质的供应商参与遴选。相关事宜公告如下：</w:t>
      </w:r>
    </w:p>
    <w:p w14:paraId="53FE9386">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14:paraId="0EB3613A">
      <w:pPr>
        <w:spacing w:line="360" w:lineRule="auto"/>
        <w:ind w:left="482"/>
        <w:rPr>
          <w:rFonts w:hint="eastAsia" w:ascii="宋体" w:hAnsi="宋体" w:eastAsia="宋体"/>
          <w:b/>
          <w:bCs/>
          <w:color w:val="auto"/>
          <w:sz w:val="24"/>
          <w:szCs w:val="21"/>
          <w:highlight w:val="none"/>
          <w:u w:val="single"/>
          <w:lang w:eastAsia="zh-CN"/>
        </w:rPr>
      </w:pPr>
      <w:r>
        <w:rPr>
          <w:rFonts w:hint="eastAsia" w:ascii="宋体" w:hAnsi="宋体" w:eastAsia="宋体"/>
          <w:b/>
          <w:bCs/>
          <w:sz w:val="24"/>
          <w:szCs w:val="21"/>
          <w:highlight w:val="none"/>
        </w:rPr>
        <w:t>1、采购项目名称：</w:t>
      </w:r>
      <w:r>
        <w:rPr>
          <w:rFonts w:hint="eastAsia" w:ascii="宋体" w:hAnsi="宋体" w:eastAsia="宋体"/>
          <w:b/>
          <w:bCs/>
          <w:color w:val="auto"/>
          <w:sz w:val="24"/>
          <w:szCs w:val="21"/>
          <w:highlight w:val="none"/>
          <w:u w:val="single"/>
        </w:rPr>
        <w:t>开平市中医院</w:t>
      </w:r>
      <w:r>
        <w:rPr>
          <w:rFonts w:hint="eastAsia" w:ascii="宋体" w:hAnsi="宋体" w:eastAsia="宋体"/>
          <w:b/>
          <w:bCs/>
          <w:color w:val="auto"/>
          <w:sz w:val="24"/>
          <w:szCs w:val="21"/>
          <w:highlight w:val="none"/>
          <w:u w:val="single"/>
          <w:lang w:eastAsia="zh-CN"/>
        </w:rPr>
        <w:t>电子镜</w:t>
      </w:r>
      <w:r>
        <w:rPr>
          <w:rFonts w:hint="eastAsia" w:ascii="宋体" w:hAnsi="宋体" w:eastAsia="宋体"/>
          <w:b/>
          <w:bCs/>
          <w:color w:val="auto"/>
          <w:sz w:val="24"/>
          <w:szCs w:val="21"/>
          <w:highlight w:val="none"/>
          <w:u w:val="single"/>
          <w:lang w:val="en-US" w:eastAsia="zh-CN"/>
        </w:rPr>
        <w:t>设备</w:t>
      </w:r>
      <w:r>
        <w:rPr>
          <w:rFonts w:hint="eastAsia" w:ascii="宋体" w:hAnsi="宋体" w:eastAsia="宋体"/>
          <w:b/>
          <w:bCs/>
          <w:color w:val="auto"/>
          <w:sz w:val="24"/>
          <w:szCs w:val="21"/>
          <w:highlight w:val="none"/>
          <w:u w:val="single"/>
          <w:lang w:eastAsia="zh-CN"/>
        </w:rPr>
        <w:t>年度维</w:t>
      </w:r>
      <w:r>
        <w:rPr>
          <w:rFonts w:hint="eastAsia" w:ascii="宋体" w:hAnsi="宋体" w:eastAsia="宋体"/>
          <w:b/>
          <w:bCs/>
          <w:color w:val="auto"/>
          <w:sz w:val="24"/>
          <w:szCs w:val="21"/>
          <w:highlight w:val="none"/>
          <w:u w:val="single"/>
          <w:lang w:val="en-US" w:eastAsia="zh-CN"/>
        </w:rPr>
        <w:t>保</w:t>
      </w:r>
      <w:r>
        <w:rPr>
          <w:rFonts w:hint="eastAsia" w:ascii="宋体" w:hAnsi="宋体" w:eastAsia="宋体"/>
          <w:b/>
          <w:bCs/>
          <w:color w:val="auto"/>
          <w:sz w:val="24"/>
          <w:szCs w:val="21"/>
          <w:highlight w:val="none"/>
          <w:u w:val="single"/>
          <w:lang w:eastAsia="zh-CN"/>
        </w:rPr>
        <w:t>服务采购</w:t>
      </w:r>
      <w:r>
        <w:rPr>
          <w:rFonts w:hint="eastAsia" w:ascii="宋体" w:hAnsi="宋体" w:eastAsia="宋体"/>
          <w:b/>
          <w:bCs/>
          <w:color w:val="auto"/>
          <w:sz w:val="24"/>
          <w:szCs w:val="21"/>
          <w:highlight w:val="none"/>
          <w:u w:val="single"/>
        </w:rPr>
        <w:t>项目</w:t>
      </w:r>
    </w:p>
    <w:p w14:paraId="6A9220DA">
      <w:pPr>
        <w:spacing w:line="360" w:lineRule="auto"/>
        <w:ind w:left="482"/>
        <w:rPr>
          <w:rFonts w:hint="default" w:ascii="宋体" w:hAnsi="宋体" w:eastAsia="宋体"/>
          <w:b/>
          <w:bCs/>
          <w:color w:val="auto"/>
          <w:sz w:val="24"/>
          <w:szCs w:val="21"/>
          <w:highlight w:val="none"/>
          <w:lang w:val="en-US" w:eastAsia="zh-CN"/>
        </w:rPr>
      </w:pPr>
      <w:r>
        <w:rPr>
          <w:rFonts w:hint="eastAsia" w:ascii="宋体" w:hAnsi="宋体" w:eastAsia="宋体"/>
          <w:b/>
          <w:bCs/>
          <w:sz w:val="24"/>
          <w:szCs w:val="21"/>
          <w:highlight w:val="none"/>
        </w:rPr>
        <w:t>2、项目编号：</w:t>
      </w:r>
      <w:r>
        <w:rPr>
          <w:rFonts w:hint="eastAsia" w:ascii="宋体" w:hAnsi="宋体" w:eastAsia="宋体"/>
          <w:b/>
          <w:bCs/>
          <w:color w:val="auto"/>
          <w:sz w:val="24"/>
          <w:szCs w:val="21"/>
          <w:highlight w:val="none"/>
          <w:lang w:eastAsia="zh-CN"/>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0101</w:t>
      </w:r>
    </w:p>
    <w:p w14:paraId="5D5E8FC6">
      <w:pPr>
        <w:spacing w:line="360" w:lineRule="auto"/>
        <w:ind w:left="0" w:firstLine="482" w:firstLineChars="200"/>
        <w:rPr>
          <w:rFonts w:hint="eastAsia" w:ascii="宋体" w:hAnsi="宋体" w:eastAsia="宋体"/>
          <w:b/>
          <w:bCs/>
          <w:sz w:val="24"/>
          <w:szCs w:val="21"/>
          <w:highlight w:val="none"/>
        </w:rPr>
      </w:pPr>
      <w:r>
        <w:rPr>
          <w:rFonts w:hint="eastAsia" w:ascii="宋体" w:hAnsi="宋体" w:eastAsia="宋体"/>
          <w:b/>
          <w:bCs/>
          <w:color w:val="auto"/>
          <w:sz w:val="24"/>
          <w:szCs w:val="21"/>
          <w:highlight w:val="none"/>
        </w:rPr>
        <w:t>3、采购项目预算金额：</w:t>
      </w:r>
      <w:r>
        <w:rPr>
          <w:rFonts w:hint="eastAsia" w:ascii="宋体" w:hAnsi="宋体" w:eastAsia="宋体"/>
          <w:b/>
          <w:bCs/>
          <w:color w:val="auto"/>
          <w:sz w:val="24"/>
          <w:szCs w:val="21"/>
          <w:highlight w:val="none"/>
          <w:u w:val="single"/>
          <w:lang w:val="en-US" w:eastAsia="zh-CN"/>
        </w:rPr>
        <w:t xml:space="preserve">  192000.00  </w:t>
      </w:r>
      <w:r>
        <w:rPr>
          <w:rFonts w:hint="eastAsia" w:ascii="宋体" w:hAnsi="宋体" w:eastAsia="宋体"/>
          <w:b/>
          <w:bCs/>
          <w:color w:val="auto"/>
          <w:sz w:val="24"/>
          <w:szCs w:val="21"/>
          <w:highlight w:val="none"/>
        </w:rPr>
        <w:t>元（</w:t>
      </w:r>
      <w:r>
        <w:rPr>
          <w:rFonts w:hint="eastAsia" w:ascii="宋体" w:hAnsi="宋体" w:eastAsia="宋体"/>
          <w:b/>
          <w:bCs/>
          <w:sz w:val="24"/>
          <w:szCs w:val="21"/>
          <w:highlight w:val="none"/>
        </w:rPr>
        <w:t>预算金额为项目最高限价</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该限价总价为完成本项目所需的全部费用的总和，但不限于所有设备的维修费用、保养费用、人工费用、更换配件费（仅包含主镜配件或备件，设备周边耗材不在本项目维保范围内）、交通费用、管理费用、利润、税金以及合同包含的所有风险、责任等一切费用，供应商必须自行考虑本项目在实施期间的一切可能发生的费用）</w:t>
      </w:r>
    </w:p>
    <w:p w14:paraId="0C1EB783">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08CFF271">
      <w:pPr>
        <w:spacing w:line="360" w:lineRule="auto"/>
        <w:ind w:firstLine="482" w:firstLineChars="200"/>
        <w:rPr>
          <w:rFonts w:hint="eastAsia" w:ascii="宋体" w:hAnsi="宋体" w:eastAsia="宋体"/>
          <w:b/>
          <w:bCs/>
          <w:sz w:val="24"/>
          <w:szCs w:val="21"/>
          <w:highlight w:val="none"/>
          <w:lang w:eastAsia="zh-CN"/>
        </w:rPr>
      </w:pPr>
      <w:r>
        <w:rPr>
          <w:rFonts w:hint="eastAsia" w:ascii="宋体" w:hAnsi="宋体" w:eastAsia="宋体"/>
          <w:b/>
          <w:bCs/>
          <w:sz w:val="24"/>
          <w:szCs w:val="21"/>
          <w:highlight w:val="none"/>
        </w:rPr>
        <w:t>5、</w:t>
      </w:r>
      <w:r>
        <w:rPr>
          <w:rFonts w:hint="eastAsia" w:ascii="宋体" w:hAnsi="宋体" w:eastAsia="宋体"/>
          <w:b/>
          <w:bCs/>
          <w:sz w:val="24"/>
          <w:szCs w:val="21"/>
          <w:highlight w:val="none"/>
          <w:lang w:eastAsia="zh-CN"/>
        </w:rPr>
        <w:t>项目内容及需求：本项目</w:t>
      </w:r>
      <w:r>
        <w:rPr>
          <w:rFonts w:hint="eastAsia" w:ascii="宋体" w:hAnsi="宋体" w:eastAsia="宋体"/>
          <w:b/>
          <w:bCs/>
          <w:sz w:val="24"/>
          <w:szCs w:val="21"/>
          <w:highlight w:val="none"/>
          <w:u w:val="none"/>
          <w:lang w:eastAsia="zh-CN"/>
        </w:rPr>
        <w:t>主要</w:t>
      </w:r>
      <w:r>
        <w:rPr>
          <w:rFonts w:hint="eastAsia" w:ascii="宋体" w:hAnsi="宋体" w:eastAsia="宋体"/>
          <w:b/>
          <w:bCs/>
          <w:sz w:val="24"/>
          <w:szCs w:val="21"/>
          <w:highlight w:val="none"/>
          <w:u w:val="none"/>
          <w:lang w:val="en-US" w:eastAsia="zh-CN"/>
        </w:rPr>
        <w:t>涉及</w:t>
      </w:r>
      <w:r>
        <w:rPr>
          <w:rFonts w:hint="eastAsia" w:ascii="宋体" w:hAnsi="宋体" w:eastAsia="宋体"/>
          <w:b/>
          <w:bCs/>
          <w:sz w:val="24"/>
          <w:szCs w:val="21"/>
          <w:highlight w:val="none"/>
          <w:lang w:val="en-US" w:eastAsia="zh-CN"/>
        </w:rPr>
        <w:t>对开平市中医院电子镜设备的维修和保养服务。</w:t>
      </w:r>
    </w:p>
    <w:p w14:paraId="1DF3D72E">
      <w:pPr>
        <w:spacing w:line="360" w:lineRule="auto"/>
        <w:ind w:firstLine="482" w:firstLineChars="200"/>
        <w:rPr>
          <w:rFonts w:hint="eastAsia" w:ascii="宋体" w:hAnsi="宋体" w:eastAsia="宋体"/>
          <w:b/>
          <w:bCs/>
          <w:sz w:val="24"/>
          <w:szCs w:val="21"/>
          <w:highlight w:val="none"/>
        </w:rPr>
      </w:pPr>
      <w:r>
        <w:rPr>
          <w:rFonts w:hint="eastAsia" w:ascii="宋体" w:hAnsi="宋体" w:eastAsia="宋体"/>
          <w:b/>
          <w:bCs/>
          <w:sz w:val="24"/>
          <w:szCs w:val="21"/>
          <w:lang w:val="en-US" w:eastAsia="zh-CN"/>
        </w:rPr>
        <w:t>6、服务期限</w:t>
      </w:r>
      <w:r>
        <w:rPr>
          <w:rFonts w:hint="eastAsia" w:ascii="宋体" w:hAnsi="宋体" w:eastAsia="宋体"/>
          <w:b/>
          <w:bCs/>
          <w:sz w:val="24"/>
          <w:szCs w:val="21"/>
        </w:rPr>
        <w:t>：</w:t>
      </w:r>
      <w:r>
        <w:rPr>
          <w:rFonts w:hint="eastAsia" w:ascii="宋体" w:hAnsi="宋体" w:eastAsia="宋体"/>
          <w:b/>
          <w:bCs/>
          <w:color w:val="auto"/>
          <w:sz w:val="24"/>
          <w:szCs w:val="21"/>
          <w:u w:val="single"/>
          <w:lang w:val="en-US" w:eastAsia="zh-CN"/>
        </w:rPr>
        <w:t xml:space="preserve"> </w:t>
      </w:r>
      <w:r>
        <w:rPr>
          <w:rFonts w:hint="default" w:ascii="宋体" w:hAnsi="宋体" w:eastAsia="宋体"/>
          <w:b/>
          <w:bCs/>
          <w:color w:val="auto"/>
          <w:sz w:val="24"/>
          <w:szCs w:val="21"/>
          <w:u w:val="single"/>
          <w:lang w:val="en-US"/>
        </w:rPr>
        <w:t>2</w:t>
      </w:r>
      <w:r>
        <w:rPr>
          <w:rFonts w:hint="eastAsia" w:ascii="宋体" w:hAnsi="宋体" w:eastAsia="宋体"/>
          <w:b/>
          <w:bCs/>
          <w:color w:val="auto"/>
          <w:sz w:val="24"/>
          <w:szCs w:val="21"/>
          <w:u w:val="single"/>
          <w:lang w:val="en-US" w:eastAsia="zh-CN"/>
        </w:rPr>
        <w:t xml:space="preserve"> </w:t>
      </w:r>
      <w:r>
        <w:rPr>
          <w:rFonts w:hint="eastAsia" w:ascii="宋体" w:hAnsi="宋体" w:eastAsia="宋体"/>
          <w:b/>
          <w:bCs/>
          <w:color w:val="auto"/>
          <w:sz w:val="24"/>
          <w:szCs w:val="21"/>
          <w:u w:val="none"/>
        </w:rPr>
        <w:t>年</w:t>
      </w:r>
      <w:r>
        <w:rPr>
          <w:rFonts w:hint="eastAsia" w:ascii="宋体" w:hAnsi="宋体" w:eastAsia="宋体"/>
          <w:b/>
          <w:bCs/>
          <w:color w:val="auto"/>
          <w:sz w:val="24"/>
          <w:szCs w:val="21"/>
          <w:u w:val="none"/>
          <w:lang w:val="en-US" w:eastAsia="zh-CN"/>
        </w:rPr>
        <w:t xml:space="preserve"> </w:t>
      </w:r>
      <w:r>
        <w:rPr>
          <w:rFonts w:hint="eastAsia" w:ascii="宋体" w:hAnsi="宋体" w:eastAsia="宋体"/>
          <w:b/>
          <w:bCs/>
          <w:color w:val="auto"/>
          <w:sz w:val="24"/>
          <w:szCs w:val="21"/>
          <w:u w:val="none"/>
          <w:lang w:eastAsia="zh-CN"/>
        </w:rPr>
        <w:t>，</w:t>
      </w:r>
      <w:r>
        <w:rPr>
          <w:rFonts w:hint="eastAsia" w:ascii="宋体" w:hAnsi="宋体" w:eastAsia="宋体"/>
          <w:b/>
          <w:bCs/>
          <w:color w:val="auto"/>
          <w:sz w:val="24"/>
          <w:szCs w:val="21"/>
          <w:highlight w:val="none"/>
        </w:rPr>
        <w:t>从合同签</w:t>
      </w:r>
      <w:r>
        <w:rPr>
          <w:rFonts w:hint="eastAsia" w:ascii="宋体" w:hAnsi="宋体" w:eastAsia="宋体"/>
          <w:b/>
          <w:bCs/>
          <w:sz w:val="24"/>
          <w:szCs w:val="21"/>
          <w:highlight w:val="none"/>
        </w:rPr>
        <w:t>订生效之日起开始计算。</w:t>
      </w:r>
    </w:p>
    <w:p w14:paraId="313E4667">
      <w:pPr>
        <w:numPr>
          <w:ilvl w:val="0"/>
          <w:numId w:val="0"/>
        </w:numPr>
        <w:spacing w:line="360" w:lineRule="auto"/>
        <w:ind w:firstLine="482" w:firstLineChars="200"/>
        <w:rPr>
          <w:rFonts w:hint="eastAsia" w:ascii="宋体" w:hAnsi="宋体" w:eastAsia="宋体"/>
          <w:b/>
          <w:bCs/>
          <w:sz w:val="24"/>
          <w:szCs w:val="21"/>
          <w:highlight w:val="none"/>
        </w:rPr>
      </w:pPr>
      <w:r>
        <w:rPr>
          <w:rFonts w:hint="eastAsia" w:ascii="宋体" w:hAnsi="宋体" w:eastAsia="宋体" w:cs="Times New Roman"/>
          <w:b/>
          <w:bCs/>
          <w:kern w:val="2"/>
          <w:sz w:val="24"/>
          <w:szCs w:val="21"/>
          <w:lang w:val="en-US" w:eastAsia="zh-CN" w:bidi="ar-SA"/>
        </w:rPr>
        <w:t>7、</w:t>
      </w:r>
      <w:r>
        <w:rPr>
          <w:rFonts w:hint="eastAsia" w:ascii="宋体" w:hAnsi="宋体" w:eastAsia="宋体"/>
          <w:b/>
          <w:bCs/>
          <w:sz w:val="24"/>
          <w:szCs w:val="21"/>
          <w:highlight w:val="none"/>
          <w:lang w:val="en-US" w:eastAsia="zh-CN"/>
        </w:rPr>
        <w:t>质量要求：符合国家及行业现行有关规范和标准。</w:t>
      </w:r>
    </w:p>
    <w:bookmarkEnd w:id="13"/>
    <w:p w14:paraId="1248C79C">
      <w:pPr>
        <w:numPr>
          <w:ilvl w:val="0"/>
          <w:numId w:val="2"/>
        </w:numPr>
        <w:spacing w:line="360" w:lineRule="auto"/>
        <w:outlineLvl w:val="1"/>
        <w:rPr>
          <w:rFonts w:eastAsia="宋体"/>
          <w:b/>
          <w:bCs/>
          <w:sz w:val="24"/>
          <w:szCs w:val="21"/>
          <w:highlight w:val="none"/>
        </w:rPr>
      </w:pPr>
      <w:bookmarkStart w:id="15" w:name="_Toc184723189"/>
      <w:r>
        <w:rPr>
          <w:rFonts w:hint="eastAsia" w:eastAsia="宋体"/>
          <w:b/>
          <w:bCs/>
          <w:sz w:val="24"/>
          <w:szCs w:val="21"/>
          <w:highlight w:val="none"/>
        </w:rPr>
        <w:t>供应商资格条件</w:t>
      </w:r>
      <w:bookmarkEnd w:id="15"/>
    </w:p>
    <w:p w14:paraId="42264312">
      <w:pPr>
        <w:spacing w:line="360" w:lineRule="auto"/>
        <w:ind w:firstLine="420"/>
        <w:outlineLvl w:val="1"/>
        <w:rPr>
          <w:rFonts w:eastAsia="宋体"/>
          <w:bCs/>
          <w:sz w:val="24"/>
          <w:szCs w:val="21"/>
          <w:highlight w:val="none"/>
        </w:rPr>
      </w:pPr>
      <w:bookmarkStart w:id="16" w:name="_Toc184723190"/>
      <w:r>
        <w:rPr>
          <w:rFonts w:hint="eastAsia" w:eastAsia="宋体"/>
          <w:bCs/>
          <w:sz w:val="24"/>
          <w:szCs w:val="21"/>
          <w:highlight w:val="none"/>
        </w:rPr>
        <w:t>供应商必须满足以下资格要求中的所有条款，并按照相关规定递交资格证明文件。</w:t>
      </w:r>
      <w:bookmarkEnd w:id="16"/>
    </w:p>
    <w:p w14:paraId="6E6077B3">
      <w:pPr>
        <w:numPr>
          <w:ilvl w:val="0"/>
          <w:numId w:val="0"/>
        </w:numPr>
        <w:spacing w:line="360" w:lineRule="auto"/>
        <w:ind w:firstLine="420" w:firstLineChars="0"/>
        <w:outlineLvl w:val="1"/>
        <w:rPr>
          <w:rFonts w:hint="eastAsia" w:ascii="宋体" w:hAnsi="宋体" w:eastAsia="宋体" w:cs="宋体"/>
          <w:sz w:val="24"/>
          <w:szCs w:val="21"/>
          <w:highlight w:val="none"/>
        </w:rPr>
      </w:pPr>
      <w:bookmarkStart w:id="17" w:name="_Toc184723191"/>
      <w:r>
        <w:rPr>
          <w:rFonts w:hint="eastAsia" w:ascii="宋体" w:hAnsi="宋体" w:eastAsia="宋体" w:cs="宋体"/>
          <w:kern w:val="2"/>
          <w:sz w:val="24"/>
          <w:szCs w:val="21"/>
          <w:lang w:val="en-US" w:eastAsia="zh-CN" w:bidi="ar-SA"/>
        </w:rPr>
        <w:t>1、</w:t>
      </w:r>
      <w:r>
        <w:rPr>
          <w:rFonts w:hint="eastAsia" w:ascii="宋体" w:hAnsi="宋体" w:eastAsia="宋体" w:cs="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r>
        <w:rPr>
          <w:rFonts w:hint="eastAsia" w:ascii="宋体" w:hAnsi="宋体" w:eastAsia="宋体" w:cs="宋体"/>
          <w:bCs/>
          <w:sz w:val="24"/>
          <w:szCs w:val="21"/>
          <w:highlight w:val="none"/>
        </w:rPr>
        <w:t>。</w:t>
      </w:r>
    </w:p>
    <w:p w14:paraId="77D0D130">
      <w:pPr>
        <w:numPr>
          <w:ilvl w:val="0"/>
          <w:numId w:val="0"/>
        </w:numPr>
        <w:spacing w:line="360" w:lineRule="auto"/>
        <w:ind w:firstLine="420" w:firstLineChars="0"/>
        <w:outlineLvl w:val="1"/>
        <w:rPr>
          <w:rFonts w:hint="default" w:ascii="宋体" w:hAnsi="宋体" w:eastAsia="宋体" w:cs="宋体"/>
          <w:color w:val="auto"/>
          <w:sz w:val="24"/>
          <w:szCs w:val="21"/>
          <w:highlight w:val="none"/>
          <w:lang w:val="en-US"/>
        </w:rPr>
      </w:pPr>
      <w:r>
        <w:rPr>
          <w:rFonts w:hint="eastAsia" w:ascii="宋体" w:hAnsi="宋体" w:eastAsia="宋体" w:cs="宋体"/>
          <w:kern w:val="2"/>
          <w:sz w:val="24"/>
          <w:szCs w:val="21"/>
          <w:lang w:val="en-US" w:eastAsia="zh-CN" w:bidi="ar-SA"/>
        </w:rPr>
        <w:t>2、</w:t>
      </w:r>
      <w:r>
        <w:rPr>
          <w:rFonts w:hint="eastAsia" w:ascii="宋体" w:hAnsi="宋体" w:eastAsia="宋体" w:cs="宋体"/>
          <w:color w:val="auto"/>
          <w:sz w:val="24"/>
          <w:szCs w:val="21"/>
          <w:highlight w:val="none"/>
          <w:lang w:val="en-US" w:eastAsia="zh-CN"/>
        </w:rPr>
        <w:t>供应商应具备履行合同所</w:t>
      </w:r>
      <w:r>
        <w:rPr>
          <w:rFonts w:hint="eastAsia" w:ascii="宋体" w:hAnsi="宋体" w:eastAsia="宋体" w:cs="宋体"/>
          <w:color w:val="auto"/>
          <w:sz w:val="24"/>
          <w:szCs w:val="21"/>
          <w:highlight w:val="none"/>
        </w:rPr>
        <w:t>必需的设备和专业技术能力</w:t>
      </w:r>
      <w:r>
        <w:rPr>
          <w:rFonts w:hint="eastAsia" w:ascii="宋体" w:hAnsi="宋体" w:eastAsia="宋体" w:cs="宋体"/>
          <w:color w:val="auto"/>
          <w:sz w:val="24"/>
          <w:szCs w:val="21"/>
          <w:highlight w:val="none"/>
          <w:lang w:val="en-US" w:eastAsia="zh-CN"/>
        </w:rPr>
        <w:t>（提供承诺函）</w:t>
      </w:r>
      <w:r>
        <w:rPr>
          <w:rFonts w:hint="eastAsia" w:ascii="宋体" w:hAnsi="宋体" w:eastAsia="宋体" w:cs="宋体"/>
          <w:bCs/>
          <w:color w:val="auto"/>
          <w:sz w:val="24"/>
          <w:szCs w:val="21"/>
          <w:highlight w:val="none"/>
        </w:rPr>
        <w:t>。</w:t>
      </w:r>
    </w:p>
    <w:p w14:paraId="558C8980">
      <w:pPr>
        <w:spacing w:line="360" w:lineRule="auto"/>
        <w:ind w:firstLine="424" w:firstLineChars="177"/>
        <w:outlineLvl w:val="1"/>
        <w:rPr>
          <w:rFonts w:hint="eastAsia" w:ascii="宋体" w:hAnsi="宋体" w:eastAsia="宋体" w:cs="宋体"/>
          <w:bCs/>
          <w:sz w:val="24"/>
          <w:szCs w:val="21"/>
          <w:highlight w:val="none"/>
        </w:rPr>
      </w:pPr>
      <w:bookmarkStart w:id="18" w:name="_Toc184723195"/>
      <w:r>
        <w:rPr>
          <w:rFonts w:hint="eastAsia" w:ascii="宋体" w:hAnsi="宋体" w:eastAsia="宋体" w:cs="宋体"/>
          <w:bCs/>
          <w:sz w:val="24"/>
          <w:szCs w:val="21"/>
          <w:highlight w:val="none"/>
          <w:lang w:val="en-US" w:eastAsia="zh-CN"/>
        </w:rPr>
        <w:t>3</w:t>
      </w:r>
      <w:r>
        <w:rPr>
          <w:rFonts w:hint="eastAsia" w:ascii="宋体" w:hAnsi="宋体" w:eastAsia="宋体" w:cs="宋体"/>
          <w:bCs/>
          <w:sz w:val="24"/>
          <w:szCs w:val="21"/>
          <w:highlight w:val="none"/>
        </w:rPr>
        <w:t>、具有良好的商业信誉和完善的售后服务体系，提供信誉良好承诺函。</w:t>
      </w:r>
      <w:bookmarkEnd w:id="18"/>
    </w:p>
    <w:p w14:paraId="02DD34F9">
      <w:pPr>
        <w:spacing w:line="360" w:lineRule="auto"/>
        <w:ind w:firstLine="424" w:firstLineChars="177"/>
        <w:outlineLvl w:val="1"/>
        <w:rPr>
          <w:rFonts w:hint="eastAsia" w:ascii="宋体" w:hAnsi="宋体" w:eastAsia="宋体" w:cs="宋体"/>
          <w:bCs/>
          <w:sz w:val="24"/>
          <w:szCs w:val="21"/>
          <w:highlight w:val="none"/>
        </w:rPr>
      </w:pPr>
      <w:bookmarkStart w:id="19" w:name="_Toc184723196"/>
      <w:r>
        <w:rPr>
          <w:rFonts w:hint="eastAsia" w:ascii="宋体" w:hAnsi="宋体" w:eastAsia="宋体" w:cs="宋体"/>
          <w:bCs/>
          <w:sz w:val="24"/>
          <w:szCs w:val="21"/>
          <w:highlight w:val="none"/>
          <w:lang w:val="en-US" w:eastAsia="zh-CN"/>
        </w:rPr>
        <w:t>4</w:t>
      </w:r>
      <w:r>
        <w:rPr>
          <w:rFonts w:hint="eastAsia" w:ascii="宋体" w:hAnsi="宋体" w:eastAsia="宋体" w:cs="宋体"/>
          <w:bCs/>
          <w:sz w:val="24"/>
          <w:szCs w:val="21"/>
          <w:highlight w:val="none"/>
        </w:rPr>
        <w:t>、不得有商业贿赂和不正当欺诈行为。如遴选响应人被证实有以上行为，将被视为不合格。</w:t>
      </w:r>
      <w:bookmarkEnd w:id="19"/>
    </w:p>
    <w:p w14:paraId="0A2CD3B2">
      <w:pPr>
        <w:spacing w:line="360" w:lineRule="auto"/>
        <w:ind w:firstLine="424" w:firstLineChars="177"/>
        <w:outlineLvl w:val="1"/>
        <w:rPr>
          <w:rFonts w:hint="eastAsia" w:ascii="宋体" w:hAnsi="宋体" w:eastAsia="宋体" w:cs="宋体"/>
          <w:bCs/>
          <w:sz w:val="24"/>
          <w:szCs w:val="21"/>
          <w:highlight w:val="none"/>
        </w:rPr>
      </w:pPr>
      <w:bookmarkStart w:id="20" w:name="_Toc184723197"/>
      <w:r>
        <w:rPr>
          <w:rFonts w:hint="eastAsia" w:ascii="宋体" w:hAnsi="宋体" w:eastAsia="宋体" w:cs="宋体"/>
          <w:bCs/>
          <w:sz w:val="24"/>
          <w:szCs w:val="21"/>
          <w:highlight w:val="none"/>
          <w:lang w:val="en-US" w:eastAsia="zh-CN"/>
        </w:rPr>
        <w:t>5</w:t>
      </w:r>
      <w:r>
        <w:rPr>
          <w:rFonts w:hint="eastAsia" w:ascii="宋体" w:hAnsi="宋体" w:eastAsia="宋体" w:cs="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0"/>
    </w:p>
    <w:p w14:paraId="0F4C6FDA">
      <w:pPr>
        <w:spacing w:line="360" w:lineRule="auto"/>
        <w:ind w:firstLine="424" w:firstLineChars="177"/>
        <w:outlineLvl w:val="1"/>
        <w:rPr>
          <w:rFonts w:hint="eastAsia" w:ascii="宋体" w:hAnsi="宋体" w:eastAsia="宋体" w:cs="宋体"/>
          <w:bCs/>
          <w:sz w:val="24"/>
          <w:szCs w:val="21"/>
          <w:highlight w:val="none"/>
        </w:rPr>
      </w:pPr>
      <w:bookmarkStart w:id="21" w:name="_Toc184723198"/>
      <w:r>
        <w:rPr>
          <w:rFonts w:hint="eastAsia" w:ascii="宋体" w:hAnsi="宋体" w:eastAsia="宋体" w:cs="宋体"/>
          <w:bCs/>
          <w:sz w:val="24"/>
          <w:szCs w:val="21"/>
          <w:highlight w:val="none"/>
          <w:lang w:val="en-US" w:eastAsia="zh-CN"/>
        </w:rPr>
        <w:t>6</w:t>
      </w:r>
      <w:r>
        <w:rPr>
          <w:rFonts w:hint="eastAsia" w:ascii="宋体" w:hAnsi="宋体" w:eastAsia="宋体" w:cs="宋体"/>
          <w:bCs/>
          <w:sz w:val="24"/>
          <w:szCs w:val="21"/>
          <w:highlight w:val="none"/>
        </w:rPr>
        <w:t>、如遴选响应人被政府有关部门通报列入黑名单的，禁止参加本项目遴选响应。</w:t>
      </w:r>
      <w:bookmarkEnd w:id="21"/>
    </w:p>
    <w:p w14:paraId="17DBCC1F">
      <w:pPr>
        <w:spacing w:line="360" w:lineRule="auto"/>
        <w:ind w:firstLine="424" w:firstLineChars="177"/>
        <w:outlineLvl w:val="1"/>
        <w:rPr>
          <w:rFonts w:hint="eastAsia" w:ascii="宋体" w:hAnsi="宋体" w:eastAsia="宋体" w:cs="宋体"/>
          <w:bCs/>
          <w:sz w:val="24"/>
          <w:szCs w:val="21"/>
          <w:highlight w:val="none"/>
        </w:rPr>
      </w:pPr>
      <w:bookmarkStart w:id="22" w:name="_Toc184723199"/>
      <w:r>
        <w:rPr>
          <w:rFonts w:hint="eastAsia" w:ascii="宋体" w:hAnsi="宋体" w:eastAsia="宋体" w:cs="宋体"/>
          <w:bCs/>
          <w:sz w:val="24"/>
          <w:szCs w:val="21"/>
          <w:highlight w:val="none"/>
          <w:lang w:val="en-US" w:eastAsia="zh-CN"/>
        </w:rPr>
        <w:t>7</w:t>
      </w:r>
      <w:r>
        <w:rPr>
          <w:rFonts w:hint="eastAsia" w:ascii="宋体" w:hAnsi="宋体" w:eastAsia="宋体" w:cs="宋体"/>
          <w:bCs/>
          <w:sz w:val="24"/>
          <w:szCs w:val="21"/>
          <w:highlight w:val="none"/>
        </w:rPr>
        <w:t>、单位负责人为同一人或者存在控股、管理关系的不同单位，不得同时参加同一项目的遴选响应。</w:t>
      </w:r>
      <w:bookmarkEnd w:id="22"/>
    </w:p>
    <w:p w14:paraId="410FDD6E">
      <w:pPr>
        <w:spacing w:line="360" w:lineRule="auto"/>
        <w:ind w:firstLine="424" w:firstLineChars="177"/>
        <w:outlineLvl w:val="1"/>
        <w:rPr>
          <w:rFonts w:hint="eastAsia" w:ascii="宋体" w:hAnsi="宋体" w:eastAsia="宋体" w:cs="宋体"/>
          <w:bCs/>
          <w:sz w:val="24"/>
          <w:szCs w:val="21"/>
          <w:highlight w:val="none"/>
        </w:rPr>
      </w:pPr>
      <w:bookmarkStart w:id="23" w:name="_Toc184723200"/>
      <w:r>
        <w:rPr>
          <w:rFonts w:hint="eastAsia" w:ascii="宋体" w:hAnsi="宋体" w:eastAsia="宋体" w:cs="宋体"/>
          <w:bCs/>
          <w:sz w:val="24"/>
          <w:szCs w:val="21"/>
          <w:highlight w:val="none"/>
          <w:lang w:val="en-US" w:eastAsia="zh-CN"/>
        </w:rPr>
        <w:t>8</w:t>
      </w:r>
      <w:r>
        <w:rPr>
          <w:rFonts w:hint="eastAsia" w:ascii="宋体" w:hAnsi="宋体" w:eastAsia="宋体" w:cs="宋体"/>
          <w:bCs/>
          <w:sz w:val="24"/>
          <w:szCs w:val="21"/>
          <w:highlight w:val="none"/>
        </w:rPr>
        <w:t>、遴选响应人经营行为必须符合国家法律、法规和有关规定。</w:t>
      </w:r>
      <w:bookmarkEnd w:id="23"/>
    </w:p>
    <w:p w14:paraId="74815291">
      <w:pPr>
        <w:spacing w:line="360" w:lineRule="auto"/>
        <w:ind w:firstLine="424" w:firstLineChars="177"/>
        <w:outlineLvl w:val="1"/>
        <w:rPr>
          <w:rFonts w:hint="eastAsia" w:ascii="宋体" w:hAnsi="宋体" w:eastAsia="宋体" w:cs="宋体"/>
          <w:bCs/>
          <w:sz w:val="24"/>
          <w:szCs w:val="21"/>
          <w:highlight w:val="none"/>
        </w:rPr>
      </w:pPr>
      <w:bookmarkStart w:id="24" w:name="_Toc184723201"/>
      <w:r>
        <w:rPr>
          <w:rFonts w:hint="eastAsia" w:ascii="宋体" w:hAnsi="宋体" w:eastAsia="宋体" w:cs="宋体"/>
          <w:bCs/>
          <w:sz w:val="24"/>
          <w:szCs w:val="21"/>
          <w:highlight w:val="none"/>
          <w:lang w:val="en-US" w:eastAsia="zh-CN"/>
        </w:rPr>
        <w:t>9</w:t>
      </w:r>
      <w:r>
        <w:rPr>
          <w:rFonts w:hint="eastAsia" w:ascii="宋体" w:hAnsi="宋体" w:eastAsia="宋体" w:cs="宋体"/>
          <w:bCs/>
          <w:sz w:val="24"/>
          <w:szCs w:val="21"/>
          <w:highlight w:val="none"/>
        </w:rPr>
        <w:t>、本次遴选不接受联合体遴选响应。</w:t>
      </w:r>
      <w:bookmarkEnd w:id="24"/>
    </w:p>
    <w:p w14:paraId="7591B456">
      <w:pPr>
        <w:spacing w:line="360" w:lineRule="auto"/>
        <w:ind w:firstLine="424" w:firstLineChars="177"/>
        <w:outlineLvl w:val="1"/>
        <w:rPr>
          <w:rFonts w:hint="eastAsia" w:ascii="宋体" w:hAnsi="宋体" w:eastAsia="宋体" w:cs="宋体"/>
          <w:bCs/>
          <w:sz w:val="24"/>
          <w:szCs w:val="21"/>
          <w:highlight w:val="none"/>
        </w:rPr>
      </w:pPr>
      <w:bookmarkStart w:id="25" w:name="_Toc184723202"/>
      <w:r>
        <w:rPr>
          <w:rFonts w:hint="eastAsia" w:ascii="宋体" w:hAnsi="宋体" w:eastAsia="宋体" w:cs="宋体"/>
          <w:bCs/>
          <w:sz w:val="24"/>
          <w:szCs w:val="21"/>
          <w:highlight w:val="none"/>
          <w:lang w:val="en-US" w:eastAsia="zh-CN"/>
        </w:rPr>
        <w:t>10</w:t>
      </w:r>
      <w:r>
        <w:rPr>
          <w:rFonts w:hint="eastAsia" w:ascii="宋体" w:hAnsi="宋体" w:eastAsia="宋体" w:cs="宋体"/>
          <w:bCs/>
          <w:sz w:val="24"/>
          <w:szCs w:val="21"/>
          <w:highlight w:val="none"/>
        </w:rPr>
        <w:t>、本次遴选未得到采购人允许，不得转包、分包，否则取消其响应、成交资格，并赔偿采购人全部损失。</w:t>
      </w:r>
      <w:bookmarkEnd w:id="25"/>
    </w:p>
    <w:p w14:paraId="5638ED72">
      <w:pPr>
        <w:spacing w:line="360" w:lineRule="auto"/>
        <w:ind w:firstLine="426" w:firstLineChars="177"/>
        <w:outlineLvl w:val="1"/>
        <w:rPr>
          <w:rFonts w:eastAsia="宋体"/>
          <w:b/>
          <w:bCs/>
          <w:sz w:val="24"/>
          <w:szCs w:val="21"/>
          <w:highlight w:val="none"/>
        </w:rPr>
      </w:pPr>
      <w:bookmarkStart w:id="26" w:name="_Toc184723203"/>
      <w:r>
        <w:rPr>
          <w:rFonts w:hint="eastAsia" w:eastAsia="宋体"/>
          <w:b/>
          <w:bCs/>
          <w:sz w:val="24"/>
          <w:szCs w:val="21"/>
          <w:highlight w:val="none"/>
        </w:rPr>
        <w:t>三．遴选响应资料</w:t>
      </w:r>
      <w:bookmarkEnd w:id="26"/>
    </w:p>
    <w:p w14:paraId="344FD54B">
      <w:pPr>
        <w:spacing w:line="360" w:lineRule="auto"/>
        <w:ind w:firstLine="424" w:firstLineChars="177"/>
        <w:outlineLvl w:val="1"/>
        <w:rPr>
          <w:rFonts w:eastAsia="宋体"/>
          <w:bCs/>
          <w:sz w:val="24"/>
          <w:szCs w:val="21"/>
          <w:highlight w:val="none"/>
        </w:rPr>
      </w:pPr>
      <w:bookmarkStart w:id="27" w:name="_Toc184723204"/>
      <w:r>
        <w:rPr>
          <w:rFonts w:hint="eastAsia" w:eastAsia="宋体"/>
          <w:bCs/>
          <w:sz w:val="24"/>
          <w:szCs w:val="21"/>
          <w:highlight w:val="none"/>
        </w:rPr>
        <w:t>1、报名资料</w:t>
      </w:r>
    </w:p>
    <w:p w14:paraId="219C2E31">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27"/>
    </w:p>
    <w:p w14:paraId="032997E6">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14:paraId="04A5A88C">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14:paraId="6CF11C10">
      <w:pPr>
        <w:spacing w:line="360" w:lineRule="auto"/>
        <w:ind w:firstLine="424" w:firstLineChars="177"/>
        <w:outlineLvl w:val="1"/>
        <w:rPr>
          <w:rFonts w:eastAsia="宋体"/>
          <w:bCs/>
          <w:sz w:val="24"/>
          <w:szCs w:val="21"/>
          <w:highlight w:val="none"/>
        </w:rPr>
      </w:pPr>
      <w:bookmarkStart w:id="28" w:name="_Toc184723205"/>
      <w:r>
        <w:rPr>
          <w:rFonts w:hint="eastAsia" w:eastAsia="宋体"/>
          <w:bCs/>
          <w:sz w:val="24"/>
          <w:szCs w:val="21"/>
          <w:highlight w:val="none"/>
        </w:rPr>
        <w:t>2、遴选响应文件</w:t>
      </w:r>
    </w:p>
    <w:p w14:paraId="05ADD9B2">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28"/>
    </w:p>
    <w:p w14:paraId="6C5C33E9">
      <w:pPr>
        <w:spacing w:line="360" w:lineRule="auto"/>
        <w:ind w:firstLine="424" w:firstLineChars="177"/>
        <w:outlineLvl w:val="1"/>
        <w:rPr>
          <w:rFonts w:eastAsia="宋体"/>
          <w:bCs/>
          <w:sz w:val="24"/>
          <w:szCs w:val="21"/>
          <w:highlight w:val="none"/>
        </w:rPr>
      </w:pPr>
      <w:bookmarkStart w:id="29" w:name="_Toc184723206"/>
      <w:r>
        <w:rPr>
          <w:rFonts w:hint="eastAsia" w:eastAsia="宋体"/>
          <w:bCs/>
          <w:sz w:val="24"/>
          <w:szCs w:val="21"/>
          <w:highlight w:val="none"/>
        </w:rPr>
        <w:t>以上资料准备完整的供应商方可参加，遴选响应文件和报名表获取方式：本页面底部下载。</w:t>
      </w:r>
      <w:bookmarkEnd w:id="29"/>
    </w:p>
    <w:p w14:paraId="79B5E236">
      <w:pPr>
        <w:spacing w:line="360" w:lineRule="auto"/>
        <w:ind w:firstLine="426" w:firstLineChars="177"/>
        <w:outlineLvl w:val="1"/>
        <w:rPr>
          <w:rFonts w:eastAsia="宋体"/>
          <w:b/>
          <w:bCs/>
          <w:sz w:val="24"/>
          <w:szCs w:val="21"/>
          <w:highlight w:val="none"/>
        </w:rPr>
      </w:pPr>
      <w:bookmarkStart w:id="30" w:name="_Toc184723207"/>
      <w:r>
        <w:rPr>
          <w:rFonts w:hint="eastAsia" w:eastAsia="宋体"/>
          <w:b/>
          <w:bCs/>
          <w:sz w:val="24"/>
          <w:szCs w:val="21"/>
          <w:highlight w:val="none"/>
        </w:rPr>
        <w:t>四、</w:t>
      </w:r>
      <w:r>
        <w:rPr>
          <w:rFonts w:hint="eastAsia" w:eastAsia="宋体"/>
          <w:b/>
          <w:bCs/>
          <w:sz w:val="24"/>
          <w:szCs w:val="21"/>
          <w:highlight w:val="none"/>
          <w:lang w:val="en-US" w:eastAsia="zh-CN"/>
        </w:rPr>
        <w:t>报名</w:t>
      </w:r>
      <w:r>
        <w:rPr>
          <w:rFonts w:hint="eastAsia" w:eastAsia="宋体"/>
          <w:b/>
          <w:bCs/>
          <w:sz w:val="24"/>
          <w:szCs w:val="21"/>
          <w:highlight w:val="none"/>
        </w:rPr>
        <w:t>、资料递交时间、地点、报价</w:t>
      </w:r>
      <w:r>
        <w:rPr>
          <w:rFonts w:hint="eastAsia" w:eastAsia="宋体"/>
          <w:b/>
          <w:bCs/>
          <w:sz w:val="24"/>
          <w:szCs w:val="21"/>
          <w:highlight w:val="none"/>
          <w:lang w:val="en-US" w:eastAsia="zh-CN"/>
        </w:rPr>
        <w:t>要求</w:t>
      </w:r>
      <w:r>
        <w:rPr>
          <w:rFonts w:hint="eastAsia" w:eastAsia="宋体"/>
          <w:b/>
          <w:bCs/>
          <w:sz w:val="24"/>
          <w:szCs w:val="21"/>
          <w:highlight w:val="none"/>
        </w:rPr>
        <w:t>及评审办法：</w:t>
      </w:r>
      <w:bookmarkEnd w:id="30"/>
    </w:p>
    <w:p w14:paraId="6C1C65F5">
      <w:pPr>
        <w:spacing w:line="360" w:lineRule="auto"/>
        <w:ind w:firstLine="424" w:firstLineChars="177"/>
        <w:outlineLvl w:val="1"/>
        <w:rPr>
          <w:rFonts w:eastAsia="宋体"/>
          <w:bCs/>
          <w:color w:val="000000" w:themeColor="text1"/>
          <w:sz w:val="24"/>
          <w:szCs w:val="21"/>
          <w:highlight w:val="none"/>
          <w14:textFill>
            <w14:solidFill>
              <w14:schemeClr w14:val="tx1"/>
            </w14:solidFill>
          </w14:textFill>
        </w:rPr>
      </w:pPr>
      <w:bookmarkStart w:id="31" w:name="_Toc184723208"/>
      <w:r>
        <w:rPr>
          <w:rFonts w:hint="eastAsia" w:eastAsia="宋体"/>
          <w:bCs/>
          <w:color w:val="000000" w:themeColor="text1"/>
          <w:sz w:val="24"/>
          <w:szCs w:val="21"/>
          <w:highlight w:val="none"/>
          <w14:textFill>
            <w14:solidFill>
              <w14:schemeClr w14:val="tx1"/>
            </w14:solidFill>
          </w14:textFill>
        </w:rPr>
        <w:t>1、报名时间：202</w:t>
      </w:r>
      <w:r>
        <w:rPr>
          <w:rFonts w:hint="eastAsia" w:eastAsia="宋体"/>
          <w:bCs/>
          <w:color w:val="000000" w:themeColor="text1"/>
          <w:sz w:val="24"/>
          <w:szCs w:val="21"/>
          <w:highlight w:val="none"/>
          <w:lang w:val="en-US" w:eastAsia="zh-CN"/>
          <w14:textFill>
            <w14:solidFill>
              <w14:schemeClr w14:val="tx1"/>
            </w14:solidFill>
          </w14:textFill>
        </w:rPr>
        <w:t>6</w:t>
      </w:r>
      <w:r>
        <w:rPr>
          <w:rFonts w:hint="eastAsia" w:eastAsia="宋体"/>
          <w:bCs/>
          <w:color w:val="000000" w:themeColor="text1"/>
          <w:sz w:val="24"/>
          <w:szCs w:val="21"/>
          <w:highlight w:val="none"/>
          <w14:textFill>
            <w14:solidFill>
              <w14:schemeClr w14:val="tx1"/>
            </w14:solidFill>
          </w14:textFill>
        </w:rPr>
        <w:t>年</w:t>
      </w:r>
      <w:r>
        <w:rPr>
          <w:rFonts w:hint="eastAsia" w:eastAsia="宋体"/>
          <w:bCs/>
          <w:color w:val="000000" w:themeColor="text1"/>
          <w:sz w:val="24"/>
          <w:szCs w:val="21"/>
          <w:highlight w:val="none"/>
          <w:lang w:val="en-US" w:eastAsia="zh-CN"/>
          <w14:textFill>
            <w14:solidFill>
              <w14:schemeClr w14:val="tx1"/>
            </w14:solidFill>
          </w14:textFill>
        </w:rPr>
        <w:t>1</w:t>
      </w:r>
      <w:r>
        <w:rPr>
          <w:rFonts w:hint="eastAsia" w:eastAsia="宋体"/>
          <w:bCs/>
          <w:color w:val="000000" w:themeColor="text1"/>
          <w:sz w:val="24"/>
          <w:szCs w:val="21"/>
          <w:highlight w:val="none"/>
          <w14:textFill>
            <w14:solidFill>
              <w14:schemeClr w14:val="tx1"/>
            </w14:solidFill>
          </w14:textFill>
        </w:rPr>
        <w:t>月</w:t>
      </w:r>
      <w:r>
        <w:rPr>
          <w:rFonts w:hint="eastAsia" w:eastAsia="宋体"/>
          <w:bCs/>
          <w:color w:val="000000" w:themeColor="text1"/>
          <w:sz w:val="24"/>
          <w:szCs w:val="21"/>
          <w:highlight w:val="none"/>
          <w:lang w:val="en-US" w:eastAsia="zh-CN"/>
          <w14:textFill>
            <w14:solidFill>
              <w14:schemeClr w14:val="tx1"/>
            </w14:solidFill>
          </w14:textFill>
        </w:rPr>
        <w:t>9</w:t>
      </w:r>
      <w:r>
        <w:rPr>
          <w:rFonts w:hint="eastAsia" w:eastAsia="宋体"/>
          <w:bCs/>
          <w:color w:val="000000" w:themeColor="text1"/>
          <w:sz w:val="24"/>
          <w:szCs w:val="21"/>
          <w:highlight w:val="none"/>
          <w14:textFill>
            <w14:solidFill>
              <w14:schemeClr w14:val="tx1"/>
            </w14:solidFill>
          </w14:textFill>
        </w:rPr>
        <w:t>日-20</w:t>
      </w:r>
      <w:r>
        <w:rPr>
          <w:rFonts w:hint="eastAsia" w:eastAsia="宋体"/>
          <w:bCs/>
          <w:color w:val="000000" w:themeColor="text1"/>
          <w:sz w:val="24"/>
          <w:szCs w:val="21"/>
          <w:highlight w:val="none"/>
          <w:lang w:val="en-US" w:eastAsia="zh-CN"/>
          <w14:textFill>
            <w14:solidFill>
              <w14:schemeClr w14:val="tx1"/>
            </w14:solidFill>
          </w14:textFill>
        </w:rPr>
        <w:t>26</w:t>
      </w:r>
      <w:r>
        <w:rPr>
          <w:rFonts w:hint="eastAsia" w:eastAsia="宋体"/>
          <w:bCs/>
          <w:color w:val="000000" w:themeColor="text1"/>
          <w:sz w:val="24"/>
          <w:szCs w:val="21"/>
          <w:highlight w:val="none"/>
          <w14:textFill>
            <w14:solidFill>
              <w14:schemeClr w14:val="tx1"/>
            </w14:solidFill>
          </w14:textFill>
        </w:rPr>
        <w:t>年</w:t>
      </w:r>
      <w:r>
        <w:rPr>
          <w:rFonts w:hint="eastAsia" w:eastAsia="宋体"/>
          <w:bCs/>
          <w:color w:val="000000" w:themeColor="text1"/>
          <w:sz w:val="24"/>
          <w:szCs w:val="21"/>
          <w:highlight w:val="none"/>
          <w:lang w:val="en-US" w:eastAsia="zh-CN"/>
          <w14:textFill>
            <w14:solidFill>
              <w14:schemeClr w14:val="tx1"/>
            </w14:solidFill>
          </w14:textFill>
        </w:rPr>
        <w:t>1</w:t>
      </w:r>
      <w:r>
        <w:rPr>
          <w:rFonts w:hint="eastAsia" w:eastAsia="宋体"/>
          <w:bCs/>
          <w:color w:val="000000" w:themeColor="text1"/>
          <w:sz w:val="24"/>
          <w:szCs w:val="21"/>
          <w:highlight w:val="none"/>
          <w14:textFill>
            <w14:solidFill>
              <w14:schemeClr w14:val="tx1"/>
            </w14:solidFill>
          </w14:textFill>
        </w:rPr>
        <w:t>月</w:t>
      </w:r>
      <w:r>
        <w:rPr>
          <w:rFonts w:hint="eastAsia" w:eastAsia="宋体"/>
          <w:bCs/>
          <w:color w:val="000000" w:themeColor="text1"/>
          <w:sz w:val="24"/>
          <w:szCs w:val="21"/>
          <w:highlight w:val="none"/>
          <w:lang w:val="en-US" w:eastAsia="zh-CN"/>
          <w14:textFill>
            <w14:solidFill>
              <w14:schemeClr w14:val="tx1"/>
            </w14:solidFill>
          </w14:textFill>
        </w:rPr>
        <w:t>13</w:t>
      </w:r>
      <w:r>
        <w:rPr>
          <w:rFonts w:hint="eastAsia" w:eastAsia="宋体"/>
          <w:bCs/>
          <w:color w:val="000000" w:themeColor="text1"/>
          <w:sz w:val="24"/>
          <w:szCs w:val="21"/>
          <w:highlight w:val="none"/>
          <w14:textFill>
            <w14:solidFill>
              <w14:schemeClr w14:val="tx1"/>
            </w14:solidFill>
          </w14:textFill>
        </w:rPr>
        <w:t>日（工作日上午8：30——11:30，下午2:30——5:30，</w:t>
      </w:r>
      <w:r>
        <w:rPr>
          <w:rFonts w:hint="eastAsia" w:ascii="宋体" w:hAnsi="宋体" w:eastAsia="宋体"/>
          <w:color w:val="000000" w:themeColor="text1"/>
          <w:sz w:val="24"/>
          <w:szCs w:val="21"/>
          <w:highlight w:val="none"/>
          <w14:textFill>
            <w14:solidFill>
              <w14:schemeClr w14:val="tx1"/>
            </w14:solidFill>
          </w14:textFill>
        </w:rPr>
        <w:t>北京时间</w:t>
      </w:r>
      <w:r>
        <w:rPr>
          <w:rFonts w:hint="eastAsia" w:eastAsia="宋体"/>
          <w:bCs/>
          <w:color w:val="000000" w:themeColor="text1"/>
          <w:sz w:val="24"/>
          <w:szCs w:val="21"/>
          <w:highlight w:val="none"/>
          <w14:textFill>
            <w14:solidFill>
              <w14:schemeClr w14:val="tx1"/>
            </w14:solidFill>
          </w14:textFill>
        </w:rPr>
        <w:t>）</w:t>
      </w:r>
      <w:bookmarkEnd w:id="31"/>
      <w:r>
        <w:rPr>
          <w:rFonts w:hint="eastAsia" w:eastAsia="宋体"/>
          <w:bCs/>
          <w:color w:val="000000" w:themeColor="text1"/>
          <w:sz w:val="24"/>
          <w:szCs w:val="21"/>
          <w:highlight w:val="none"/>
          <w14:textFill>
            <w14:solidFill>
              <w14:schemeClr w14:val="tx1"/>
            </w14:solidFill>
          </w14:textFill>
        </w:rPr>
        <w:t>。</w:t>
      </w:r>
    </w:p>
    <w:p w14:paraId="6958DEFF">
      <w:pPr>
        <w:spacing w:line="360" w:lineRule="auto"/>
        <w:ind w:firstLine="424" w:firstLineChars="177"/>
        <w:outlineLvl w:val="1"/>
        <w:rPr>
          <w:rFonts w:eastAsia="宋体"/>
          <w:bCs/>
          <w:color w:val="auto"/>
          <w:sz w:val="24"/>
          <w:szCs w:val="21"/>
          <w:highlight w:val="none"/>
        </w:rPr>
      </w:pPr>
      <w:r>
        <w:rPr>
          <w:rFonts w:hint="eastAsia" w:eastAsia="宋体"/>
          <w:bCs/>
          <w:color w:val="000000" w:themeColor="text1"/>
          <w:sz w:val="24"/>
          <w:szCs w:val="21"/>
          <w:highlight w:val="none"/>
          <w:lang w:val="en-US" w:eastAsia="zh-CN"/>
          <w14:textFill>
            <w14:solidFill>
              <w14:schemeClr w14:val="tx1"/>
            </w14:solidFill>
          </w14:textFill>
        </w:rPr>
        <w:t>2</w:t>
      </w:r>
      <w:r>
        <w:rPr>
          <w:rFonts w:hint="eastAsia" w:eastAsia="宋体"/>
          <w:bCs/>
          <w:color w:val="000000" w:themeColor="text1"/>
          <w:sz w:val="24"/>
          <w:szCs w:val="21"/>
          <w:highlight w:val="none"/>
          <w14:textFill>
            <w14:solidFill>
              <w14:schemeClr w14:val="tx1"/>
            </w14:solidFill>
          </w14:textFill>
        </w:rPr>
        <w:t>、遴选文件递交时间：202</w:t>
      </w:r>
      <w:r>
        <w:rPr>
          <w:rFonts w:hint="eastAsia" w:eastAsia="宋体"/>
          <w:bCs/>
          <w:color w:val="000000" w:themeColor="text1"/>
          <w:sz w:val="24"/>
          <w:szCs w:val="21"/>
          <w:highlight w:val="none"/>
          <w:lang w:val="en-US" w:eastAsia="zh-CN"/>
          <w14:textFill>
            <w14:solidFill>
              <w14:schemeClr w14:val="tx1"/>
            </w14:solidFill>
          </w14:textFill>
        </w:rPr>
        <w:t>6</w:t>
      </w:r>
      <w:r>
        <w:rPr>
          <w:rFonts w:hint="eastAsia" w:eastAsia="宋体"/>
          <w:bCs/>
          <w:color w:val="000000" w:themeColor="text1"/>
          <w:sz w:val="24"/>
          <w:szCs w:val="21"/>
          <w:highlight w:val="none"/>
          <w14:textFill>
            <w14:solidFill>
              <w14:schemeClr w14:val="tx1"/>
            </w14:solidFill>
          </w14:textFill>
        </w:rPr>
        <w:t>年</w:t>
      </w:r>
      <w:r>
        <w:rPr>
          <w:rFonts w:hint="eastAsia" w:eastAsia="宋体"/>
          <w:bCs/>
          <w:color w:val="000000" w:themeColor="text1"/>
          <w:sz w:val="24"/>
          <w:szCs w:val="21"/>
          <w:highlight w:val="none"/>
          <w:lang w:val="en-US" w:eastAsia="zh-CN"/>
          <w14:textFill>
            <w14:solidFill>
              <w14:schemeClr w14:val="tx1"/>
            </w14:solidFill>
          </w14:textFill>
        </w:rPr>
        <w:t>1</w:t>
      </w:r>
      <w:r>
        <w:rPr>
          <w:rFonts w:hint="eastAsia" w:eastAsia="宋体"/>
          <w:bCs/>
          <w:color w:val="000000" w:themeColor="text1"/>
          <w:sz w:val="24"/>
          <w:szCs w:val="21"/>
          <w:highlight w:val="none"/>
          <w14:textFill>
            <w14:solidFill>
              <w14:schemeClr w14:val="tx1"/>
            </w14:solidFill>
          </w14:textFill>
        </w:rPr>
        <w:t>月</w:t>
      </w:r>
      <w:r>
        <w:rPr>
          <w:rFonts w:hint="eastAsia" w:eastAsia="宋体"/>
          <w:bCs/>
          <w:color w:val="000000" w:themeColor="text1"/>
          <w:sz w:val="24"/>
          <w:szCs w:val="21"/>
          <w:highlight w:val="none"/>
          <w:lang w:val="en-US" w:eastAsia="zh-CN"/>
          <w14:textFill>
            <w14:solidFill>
              <w14:schemeClr w14:val="tx1"/>
            </w14:solidFill>
          </w14:textFill>
        </w:rPr>
        <w:t>15</w:t>
      </w:r>
      <w:r>
        <w:rPr>
          <w:rFonts w:hint="eastAsia" w:eastAsia="宋体"/>
          <w:bCs/>
          <w:color w:val="000000" w:themeColor="text1"/>
          <w:sz w:val="24"/>
          <w:szCs w:val="21"/>
          <w:highlight w:val="none"/>
          <w14:textFill>
            <w14:solidFill>
              <w14:schemeClr w14:val="tx1"/>
            </w14:solidFill>
          </w14:textFill>
        </w:rPr>
        <w:t>日14：30——15:30</w:t>
      </w:r>
      <w:r>
        <w:rPr>
          <w:rFonts w:hint="eastAsia" w:ascii="宋体" w:hAnsi="宋体" w:eastAsia="宋体"/>
          <w:color w:val="000000" w:themeColor="text1"/>
          <w:sz w:val="24"/>
          <w:szCs w:val="21"/>
          <w:highlight w:val="none"/>
          <w14:textFill>
            <w14:solidFill>
              <w14:schemeClr w14:val="tx1"/>
            </w14:solidFill>
          </w14:textFill>
        </w:rPr>
        <w:t>（</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p>
    <w:p w14:paraId="43FF3245">
      <w:pPr>
        <w:spacing w:line="360" w:lineRule="auto"/>
        <w:ind w:firstLine="424" w:firstLineChars="177"/>
        <w:outlineLvl w:val="1"/>
        <w:rPr>
          <w:rFonts w:eastAsia="宋体"/>
          <w:bCs/>
          <w:sz w:val="24"/>
          <w:szCs w:val="21"/>
          <w:highlight w:val="none"/>
        </w:rPr>
      </w:pPr>
      <w:bookmarkStart w:id="32" w:name="_Toc184723209"/>
      <w:r>
        <w:rPr>
          <w:rFonts w:hint="eastAsia" w:eastAsia="宋体"/>
          <w:bCs/>
          <w:color w:val="auto"/>
          <w:sz w:val="24"/>
          <w:szCs w:val="21"/>
          <w:highlight w:val="none"/>
          <w:lang w:val="en-US" w:eastAsia="zh-CN"/>
        </w:rPr>
        <w:t>3</w:t>
      </w:r>
      <w:r>
        <w:rPr>
          <w:rFonts w:hint="eastAsia" w:eastAsia="宋体"/>
          <w:bCs/>
          <w:color w:val="auto"/>
          <w:sz w:val="24"/>
          <w:szCs w:val="21"/>
          <w:highlight w:val="none"/>
        </w:rPr>
        <w:t>、地点：广东省开平市三埠街道新昌西桥二马路6号，开平市中医院新</w:t>
      </w:r>
      <w:r>
        <w:rPr>
          <w:rFonts w:hint="eastAsia" w:eastAsia="宋体"/>
          <w:bCs/>
          <w:sz w:val="24"/>
          <w:szCs w:val="21"/>
          <w:highlight w:val="none"/>
        </w:rPr>
        <w:t>昌总院2号楼8楼817室</w:t>
      </w:r>
      <w:bookmarkEnd w:id="32"/>
      <w:r>
        <w:rPr>
          <w:rFonts w:hint="eastAsia" w:eastAsia="宋体"/>
          <w:bCs/>
          <w:sz w:val="24"/>
          <w:szCs w:val="21"/>
          <w:highlight w:val="none"/>
        </w:rPr>
        <w:t>。</w:t>
      </w:r>
    </w:p>
    <w:p w14:paraId="3E737745">
      <w:pPr>
        <w:spacing w:line="360" w:lineRule="auto"/>
        <w:ind w:firstLine="424" w:firstLineChars="177"/>
        <w:outlineLvl w:val="1"/>
        <w:rPr>
          <w:rFonts w:eastAsia="宋体"/>
          <w:bCs/>
          <w:sz w:val="24"/>
          <w:szCs w:val="21"/>
          <w:highlight w:val="none"/>
        </w:rPr>
      </w:pPr>
      <w:bookmarkStart w:id="33" w:name="_Toc184723210"/>
      <w:r>
        <w:rPr>
          <w:rFonts w:hint="eastAsia" w:eastAsia="宋体"/>
          <w:bCs/>
          <w:sz w:val="24"/>
          <w:szCs w:val="21"/>
          <w:highlight w:val="none"/>
          <w:lang w:val="en-US" w:eastAsia="zh-CN"/>
        </w:rPr>
        <w:t>4</w:t>
      </w:r>
      <w:r>
        <w:rPr>
          <w:rFonts w:hint="eastAsia" w:eastAsia="宋体"/>
          <w:bCs/>
          <w:sz w:val="24"/>
          <w:szCs w:val="21"/>
          <w:highlight w:val="none"/>
        </w:rPr>
        <w:t>、报价</w:t>
      </w:r>
      <w:r>
        <w:rPr>
          <w:rFonts w:hint="eastAsia" w:eastAsia="宋体"/>
          <w:bCs/>
          <w:sz w:val="24"/>
          <w:szCs w:val="21"/>
          <w:highlight w:val="none"/>
          <w:lang w:val="en-US" w:eastAsia="zh-CN"/>
        </w:rPr>
        <w:t>要求</w:t>
      </w:r>
      <w:r>
        <w:rPr>
          <w:rFonts w:hint="eastAsia" w:eastAsia="宋体"/>
          <w:bCs/>
          <w:sz w:val="24"/>
          <w:szCs w:val="21"/>
          <w:highlight w:val="none"/>
        </w:rPr>
        <w:t>：</w:t>
      </w:r>
      <w:bookmarkEnd w:id="33"/>
    </w:p>
    <w:p w14:paraId="4F814D13">
      <w:pPr>
        <w:spacing w:line="360" w:lineRule="auto"/>
        <w:ind w:firstLine="424" w:firstLineChars="177"/>
        <w:outlineLvl w:val="1"/>
        <w:rPr>
          <w:rFonts w:eastAsia="宋体"/>
          <w:bCs/>
          <w:color w:val="auto"/>
          <w:sz w:val="24"/>
          <w:szCs w:val="21"/>
          <w:highlight w:val="none"/>
        </w:rPr>
      </w:pPr>
      <w:bookmarkStart w:id="34" w:name="_Toc184723211"/>
      <w:r>
        <w:rPr>
          <w:rFonts w:hint="eastAsia" w:eastAsia="宋体"/>
          <w:bCs/>
          <w:sz w:val="24"/>
          <w:szCs w:val="21"/>
          <w:highlight w:val="none"/>
        </w:rPr>
        <w:t>遴选响应人应根据遴选文件的要求，结合本单位的实际情况考虑后进行一次</w:t>
      </w:r>
      <w:r>
        <w:rPr>
          <w:rFonts w:hint="eastAsia" w:eastAsia="宋体"/>
          <w:bCs/>
          <w:color w:val="auto"/>
          <w:sz w:val="24"/>
          <w:szCs w:val="21"/>
          <w:highlight w:val="none"/>
        </w:rPr>
        <w:t>性报价，采购人不再支付因遴选响应人漏项或是填写错误而增加的任何费用。</w:t>
      </w:r>
      <w:bookmarkEnd w:id="34"/>
      <w:r>
        <w:rPr>
          <w:rFonts w:hint="eastAsia" w:eastAsia="宋体"/>
          <w:bCs/>
          <w:color w:val="auto"/>
          <w:sz w:val="24"/>
          <w:szCs w:val="21"/>
          <w:highlight w:val="none"/>
          <w:lang w:val="en-US" w:eastAsia="zh-CN"/>
        </w:rPr>
        <w:t>响应报价</w:t>
      </w:r>
      <w:r>
        <w:rPr>
          <w:rFonts w:hint="eastAsia" w:eastAsia="宋体"/>
          <w:bCs/>
          <w:color w:val="auto"/>
          <w:sz w:val="24"/>
          <w:szCs w:val="21"/>
          <w:highlight w:val="none"/>
        </w:rPr>
        <w:t>包含</w:t>
      </w:r>
      <w:r>
        <w:rPr>
          <w:rFonts w:hint="eastAsia" w:eastAsia="宋体"/>
          <w:bCs/>
          <w:color w:val="auto"/>
          <w:sz w:val="24"/>
          <w:szCs w:val="21"/>
          <w:highlight w:val="none"/>
          <w:lang w:val="en-US" w:eastAsia="zh-CN"/>
        </w:rPr>
        <w:t>完成本项目所需的全部费用的总和，但不限于所有设备的维修费用、保养费用、人工费用、更换配件费（仅包含主镜配件或备件，设备周边耗材不在本项目维保范围内）、交通费用、管理费用、利润、税金以及合同包含的所有风险、责任等一切费用，供应商必须自行考虑本项目在实施期间的一切可能发生的费用</w:t>
      </w:r>
      <w:r>
        <w:rPr>
          <w:rFonts w:hint="eastAsia" w:eastAsia="宋体"/>
          <w:bCs/>
          <w:color w:val="auto"/>
          <w:sz w:val="24"/>
          <w:szCs w:val="21"/>
          <w:highlight w:val="none"/>
        </w:rPr>
        <w:t>。</w:t>
      </w:r>
    </w:p>
    <w:p w14:paraId="417F197E">
      <w:pPr>
        <w:spacing w:line="360" w:lineRule="auto"/>
        <w:ind w:firstLine="424" w:firstLineChars="177"/>
        <w:outlineLvl w:val="1"/>
        <w:rPr>
          <w:rFonts w:eastAsia="宋体"/>
          <w:bCs/>
          <w:sz w:val="24"/>
          <w:szCs w:val="21"/>
          <w:highlight w:val="none"/>
        </w:rPr>
      </w:pPr>
      <w:bookmarkStart w:id="35" w:name="_Toc184723212"/>
      <w:r>
        <w:rPr>
          <w:rFonts w:hint="eastAsia" w:eastAsia="宋体"/>
          <w:bCs/>
          <w:sz w:val="24"/>
          <w:szCs w:val="21"/>
          <w:highlight w:val="none"/>
          <w:lang w:val="en-US" w:eastAsia="zh-CN"/>
        </w:rPr>
        <w:t>5</w:t>
      </w:r>
      <w:r>
        <w:rPr>
          <w:rFonts w:hint="eastAsia" w:eastAsia="宋体"/>
          <w:bCs/>
          <w:sz w:val="24"/>
          <w:szCs w:val="21"/>
          <w:highlight w:val="none"/>
        </w:rPr>
        <w:t>、评审办法：综合评分法</w:t>
      </w:r>
      <w:bookmarkEnd w:id="35"/>
    </w:p>
    <w:p w14:paraId="0AB73DE0">
      <w:pPr>
        <w:spacing w:line="360" w:lineRule="auto"/>
        <w:ind w:firstLine="420"/>
        <w:outlineLvl w:val="1"/>
        <w:rPr>
          <w:rFonts w:eastAsia="宋体"/>
          <w:bCs/>
          <w:sz w:val="24"/>
          <w:szCs w:val="21"/>
          <w:highlight w:val="none"/>
        </w:rPr>
      </w:pPr>
      <w:bookmarkStart w:id="36" w:name="_Toc184723213"/>
      <w:r>
        <w:rPr>
          <w:rFonts w:hint="eastAsia" w:eastAsia="宋体"/>
          <w:bCs/>
          <w:sz w:val="24"/>
          <w:szCs w:val="21"/>
          <w:highlight w:val="none"/>
          <w:lang w:val="en-US" w:eastAsia="zh-CN"/>
        </w:rPr>
        <w:t>6</w:t>
      </w:r>
      <w:r>
        <w:rPr>
          <w:rFonts w:hint="eastAsia" w:eastAsia="宋体"/>
          <w:bCs/>
          <w:sz w:val="24"/>
          <w:szCs w:val="21"/>
          <w:highlight w:val="none"/>
        </w:rPr>
        <w:t>、遴选结果：开平市卫生健康局官网公示</w:t>
      </w:r>
      <w:bookmarkEnd w:id="36"/>
    </w:p>
    <w:p w14:paraId="224B9D10">
      <w:pPr>
        <w:spacing w:line="360" w:lineRule="auto"/>
        <w:ind w:firstLine="420"/>
        <w:outlineLvl w:val="1"/>
        <w:rPr>
          <w:rFonts w:eastAsia="宋体"/>
          <w:b/>
          <w:bCs/>
          <w:sz w:val="24"/>
          <w:szCs w:val="21"/>
          <w:highlight w:val="none"/>
        </w:rPr>
      </w:pPr>
      <w:bookmarkStart w:id="37" w:name="_Toc184723214"/>
      <w:r>
        <w:rPr>
          <w:rFonts w:hint="eastAsia" w:eastAsia="宋体"/>
          <w:b/>
          <w:bCs/>
          <w:sz w:val="24"/>
          <w:szCs w:val="21"/>
          <w:highlight w:val="none"/>
        </w:rPr>
        <w:t>五、本次遴选相关事宜联系：</w:t>
      </w:r>
      <w:bookmarkEnd w:id="37"/>
    </w:p>
    <w:p w14:paraId="2F692F30">
      <w:pPr>
        <w:spacing w:line="360" w:lineRule="auto"/>
        <w:ind w:firstLine="420"/>
        <w:outlineLvl w:val="1"/>
        <w:rPr>
          <w:rFonts w:eastAsia="宋体"/>
          <w:bCs/>
          <w:sz w:val="24"/>
          <w:szCs w:val="21"/>
          <w:highlight w:val="none"/>
        </w:rPr>
      </w:pPr>
      <w:bookmarkStart w:id="38" w:name="_Toc184723215"/>
      <w:r>
        <w:rPr>
          <w:rFonts w:hint="eastAsia" w:eastAsia="宋体"/>
          <w:bCs/>
          <w:sz w:val="24"/>
          <w:szCs w:val="21"/>
          <w:highlight w:val="none"/>
        </w:rPr>
        <w:t>项目联系人：</w:t>
      </w:r>
      <w:r>
        <w:rPr>
          <w:rFonts w:hint="eastAsia" w:eastAsia="宋体"/>
          <w:bCs/>
          <w:sz w:val="24"/>
          <w:szCs w:val="21"/>
          <w:highlight w:val="none"/>
          <w:lang w:eastAsia="zh-CN"/>
        </w:rPr>
        <w:t>李先生</w:t>
      </w:r>
      <w:r>
        <w:rPr>
          <w:rFonts w:hint="eastAsia" w:eastAsia="宋体"/>
          <w:bCs/>
          <w:sz w:val="24"/>
          <w:szCs w:val="21"/>
          <w:highlight w:val="none"/>
        </w:rPr>
        <w:t>、雷先生，电话：0750-2389697</w:t>
      </w:r>
      <w:bookmarkEnd w:id="38"/>
    </w:p>
    <w:p w14:paraId="50E88D75">
      <w:pPr>
        <w:spacing w:line="360" w:lineRule="auto"/>
        <w:ind w:firstLine="420"/>
        <w:outlineLvl w:val="1"/>
        <w:rPr>
          <w:rFonts w:eastAsia="宋体"/>
          <w:b/>
          <w:bCs/>
          <w:sz w:val="24"/>
          <w:szCs w:val="21"/>
          <w:highlight w:val="none"/>
        </w:rPr>
      </w:pPr>
      <w:bookmarkStart w:id="39" w:name="_Toc184723216"/>
      <w:r>
        <w:rPr>
          <w:rFonts w:hint="eastAsia" w:eastAsia="宋体"/>
          <w:b/>
          <w:bCs/>
          <w:sz w:val="24"/>
          <w:szCs w:val="21"/>
          <w:highlight w:val="none"/>
        </w:rPr>
        <w:t>六、报名须知</w:t>
      </w:r>
      <w:bookmarkEnd w:id="39"/>
    </w:p>
    <w:p w14:paraId="19182348">
      <w:pPr>
        <w:spacing w:line="360" w:lineRule="auto"/>
        <w:ind w:firstLine="420"/>
        <w:outlineLvl w:val="1"/>
        <w:rPr>
          <w:rFonts w:eastAsia="宋体"/>
          <w:bCs/>
          <w:sz w:val="24"/>
          <w:szCs w:val="21"/>
          <w:highlight w:val="none"/>
        </w:rPr>
      </w:pPr>
      <w:bookmarkStart w:id="40" w:name="_Toc184723217"/>
      <w:r>
        <w:rPr>
          <w:rFonts w:hint="eastAsia" w:eastAsia="宋体"/>
          <w:bCs/>
          <w:sz w:val="24"/>
          <w:szCs w:val="21"/>
          <w:highlight w:val="none"/>
        </w:rPr>
        <w:t>1、本次遴选项目仅接受现场资料递交，不接受邮寄等其他方式。</w:t>
      </w:r>
      <w:bookmarkEnd w:id="40"/>
    </w:p>
    <w:p w14:paraId="4F01C05A">
      <w:pPr>
        <w:spacing w:line="360" w:lineRule="auto"/>
        <w:ind w:firstLine="420"/>
        <w:outlineLvl w:val="1"/>
        <w:rPr>
          <w:rFonts w:eastAsia="宋体"/>
          <w:bCs/>
          <w:sz w:val="24"/>
          <w:szCs w:val="21"/>
          <w:highlight w:val="none"/>
        </w:rPr>
      </w:pPr>
      <w:bookmarkStart w:id="41"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41"/>
    </w:p>
    <w:p w14:paraId="4E58BF41">
      <w:pPr>
        <w:spacing w:line="360" w:lineRule="auto"/>
        <w:ind w:firstLine="420"/>
        <w:outlineLvl w:val="1"/>
        <w:rPr>
          <w:rFonts w:eastAsia="宋体"/>
          <w:bCs/>
          <w:sz w:val="24"/>
          <w:szCs w:val="21"/>
          <w:highlight w:val="none"/>
        </w:rPr>
      </w:pPr>
      <w:bookmarkStart w:id="42" w:name="_Toc184723219"/>
      <w:r>
        <w:rPr>
          <w:rFonts w:hint="eastAsia" w:eastAsia="宋体"/>
          <w:bCs/>
          <w:sz w:val="24"/>
          <w:szCs w:val="21"/>
          <w:highlight w:val="none"/>
        </w:rPr>
        <w:t>3、其他视为失信人的情况：</w:t>
      </w:r>
      <w:bookmarkEnd w:id="42"/>
    </w:p>
    <w:p w14:paraId="0AA34BE8">
      <w:pPr>
        <w:spacing w:line="360" w:lineRule="auto"/>
        <w:ind w:firstLine="420"/>
        <w:outlineLvl w:val="1"/>
        <w:rPr>
          <w:rFonts w:eastAsia="宋体"/>
          <w:bCs/>
          <w:sz w:val="24"/>
          <w:szCs w:val="21"/>
          <w:highlight w:val="none"/>
        </w:rPr>
      </w:pPr>
      <w:bookmarkStart w:id="43" w:name="_Toc184723220"/>
      <w:r>
        <w:rPr>
          <w:rFonts w:hint="eastAsia" w:eastAsia="宋体"/>
          <w:bCs/>
          <w:sz w:val="24"/>
          <w:szCs w:val="21"/>
          <w:highlight w:val="none"/>
        </w:rPr>
        <w:t>（1）无故不参与响应或未按时响应的三次及以上；</w:t>
      </w:r>
      <w:bookmarkEnd w:id="43"/>
    </w:p>
    <w:p w14:paraId="18C221A5">
      <w:pPr>
        <w:spacing w:line="360" w:lineRule="auto"/>
        <w:ind w:firstLine="420"/>
        <w:outlineLvl w:val="1"/>
        <w:rPr>
          <w:rFonts w:eastAsia="宋体"/>
          <w:bCs/>
          <w:sz w:val="24"/>
          <w:szCs w:val="21"/>
          <w:highlight w:val="none"/>
        </w:rPr>
      </w:pPr>
      <w:bookmarkStart w:id="44" w:name="_Toc184723221"/>
      <w:r>
        <w:rPr>
          <w:rFonts w:hint="eastAsia" w:eastAsia="宋体"/>
          <w:bCs/>
          <w:sz w:val="24"/>
          <w:szCs w:val="21"/>
          <w:highlight w:val="none"/>
        </w:rPr>
        <w:t>（2）撤销遴选响应未在遴选响应截止前24小时内以书面形式通知采购人三次及以上的；</w:t>
      </w:r>
      <w:bookmarkEnd w:id="44"/>
    </w:p>
    <w:p w14:paraId="4B380382">
      <w:pPr>
        <w:spacing w:line="360" w:lineRule="auto"/>
        <w:ind w:firstLine="420"/>
        <w:outlineLvl w:val="1"/>
        <w:rPr>
          <w:rFonts w:eastAsia="宋体"/>
          <w:bCs/>
          <w:sz w:val="24"/>
          <w:szCs w:val="21"/>
          <w:highlight w:val="none"/>
        </w:rPr>
      </w:pPr>
      <w:bookmarkStart w:id="45" w:name="_Toc184723222"/>
      <w:r>
        <w:rPr>
          <w:rFonts w:hint="eastAsia" w:eastAsia="宋体"/>
          <w:bCs/>
          <w:sz w:val="24"/>
          <w:szCs w:val="21"/>
          <w:highlight w:val="none"/>
        </w:rPr>
        <w:t>（3）遴选响应文件出现严重错误给遴选工作带来影响三次及以上的。</w:t>
      </w:r>
      <w:bookmarkEnd w:id="45"/>
    </w:p>
    <w:p w14:paraId="5F6AF240">
      <w:pPr>
        <w:spacing w:line="360" w:lineRule="auto"/>
        <w:ind w:firstLine="420"/>
        <w:outlineLvl w:val="1"/>
        <w:rPr>
          <w:rFonts w:eastAsia="宋体"/>
          <w:bCs/>
          <w:sz w:val="24"/>
          <w:szCs w:val="21"/>
          <w:highlight w:val="none"/>
        </w:rPr>
      </w:pPr>
      <w:bookmarkStart w:id="46" w:name="_Toc184723223"/>
      <w:r>
        <w:rPr>
          <w:rFonts w:hint="eastAsia" w:eastAsia="宋体"/>
          <w:bCs/>
          <w:sz w:val="24"/>
          <w:szCs w:val="21"/>
          <w:highlight w:val="none"/>
        </w:rPr>
        <w:t>4、报名不足3家供应商时，将依据《开平市中医院采购管理制度》处理。</w:t>
      </w:r>
      <w:bookmarkEnd w:id="46"/>
    </w:p>
    <w:p w14:paraId="219C5832">
      <w:pPr>
        <w:spacing w:line="360" w:lineRule="auto"/>
        <w:ind w:firstLine="420"/>
        <w:outlineLvl w:val="1"/>
        <w:rPr>
          <w:rFonts w:eastAsia="宋体"/>
          <w:b/>
          <w:bCs/>
          <w:sz w:val="24"/>
          <w:szCs w:val="21"/>
          <w:highlight w:val="none"/>
        </w:rPr>
      </w:pPr>
      <w:bookmarkStart w:id="47" w:name="_Toc184723224"/>
      <w:r>
        <w:rPr>
          <w:rFonts w:hint="eastAsia" w:eastAsia="宋体"/>
          <w:b/>
          <w:bCs/>
          <w:sz w:val="24"/>
          <w:szCs w:val="21"/>
          <w:highlight w:val="none"/>
        </w:rPr>
        <w:t>七、注意事项</w:t>
      </w:r>
      <w:bookmarkEnd w:id="47"/>
    </w:p>
    <w:p w14:paraId="28FC1DF4">
      <w:pPr>
        <w:spacing w:line="360" w:lineRule="auto"/>
        <w:ind w:firstLine="420"/>
        <w:outlineLvl w:val="1"/>
        <w:rPr>
          <w:rFonts w:eastAsia="宋体"/>
          <w:bCs/>
          <w:sz w:val="24"/>
          <w:szCs w:val="21"/>
          <w:highlight w:val="none"/>
        </w:rPr>
      </w:pPr>
      <w:bookmarkStart w:id="48" w:name="_Toc184723225"/>
      <w:r>
        <w:rPr>
          <w:rFonts w:hint="eastAsia" w:eastAsia="宋体"/>
          <w:bCs/>
          <w:sz w:val="24"/>
          <w:szCs w:val="21"/>
          <w:highlight w:val="none"/>
        </w:rPr>
        <w:t>1、超过项目预算按响应无效处理。</w:t>
      </w:r>
      <w:bookmarkEnd w:id="48"/>
    </w:p>
    <w:p w14:paraId="06BF1D2D">
      <w:pPr>
        <w:spacing w:line="360" w:lineRule="auto"/>
        <w:ind w:firstLine="420"/>
        <w:outlineLvl w:val="1"/>
        <w:rPr>
          <w:rFonts w:eastAsia="宋体"/>
          <w:b/>
          <w:bCs/>
          <w:sz w:val="24"/>
          <w:szCs w:val="21"/>
          <w:highlight w:val="none"/>
        </w:rPr>
      </w:pPr>
      <w:bookmarkStart w:id="49" w:name="_Toc184723226"/>
      <w:r>
        <w:rPr>
          <w:rFonts w:hint="eastAsia" w:eastAsia="宋体"/>
          <w:b/>
          <w:bCs/>
          <w:sz w:val="24"/>
          <w:szCs w:val="21"/>
          <w:highlight w:val="none"/>
        </w:rPr>
        <w:t>八、遴选响应文件的制作、装订、密封、标记</w:t>
      </w:r>
      <w:bookmarkEnd w:id="49"/>
    </w:p>
    <w:p w14:paraId="19465942">
      <w:pPr>
        <w:spacing w:line="360" w:lineRule="auto"/>
        <w:ind w:firstLine="420"/>
        <w:outlineLvl w:val="1"/>
        <w:rPr>
          <w:rFonts w:eastAsia="宋体"/>
          <w:bCs/>
          <w:sz w:val="24"/>
          <w:szCs w:val="21"/>
          <w:highlight w:val="none"/>
        </w:rPr>
      </w:pPr>
      <w:bookmarkStart w:id="50" w:name="_Toc184723227"/>
      <w:r>
        <w:rPr>
          <w:rFonts w:hint="eastAsia" w:eastAsia="宋体"/>
          <w:bCs/>
          <w:sz w:val="24"/>
          <w:szCs w:val="21"/>
          <w:highlight w:val="none"/>
        </w:rPr>
        <w:t>1、</w:t>
      </w:r>
      <w:bookmarkEnd w:id="50"/>
      <w:bookmarkStart w:id="51" w:name="_Toc184723228"/>
      <w:r>
        <w:rPr>
          <w:rFonts w:hint="eastAsia" w:eastAsia="宋体"/>
          <w:bCs/>
          <w:sz w:val="24"/>
          <w:szCs w:val="21"/>
          <w:highlight w:val="none"/>
        </w:rPr>
        <w:t>遴选响应文件份数：一正四副，并在遴选响应文件右上角处明显标注“正本或副本”字样。</w:t>
      </w:r>
      <w:bookmarkEnd w:id="51"/>
    </w:p>
    <w:p w14:paraId="3F898A49">
      <w:pPr>
        <w:spacing w:line="360" w:lineRule="auto"/>
        <w:ind w:firstLine="420"/>
        <w:outlineLvl w:val="1"/>
        <w:rPr>
          <w:rFonts w:eastAsia="宋体"/>
          <w:bCs/>
          <w:sz w:val="24"/>
          <w:szCs w:val="21"/>
          <w:highlight w:val="none"/>
        </w:rPr>
      </w:pPr>
      <w:bookmarkStart w:id="52" w:name="_Toc184723229"/>
      <w:r>
        <w:rPr>
          <w:rFonts w:hint="eastAsia" w:eastAsia="宋体"/>
          <w:bCs/>
          <w:sz w:val="24"/>
          <w:szCs w:val="21"/>
          <w:highlight w:val="none"/>
        </w:rPr>
        <w:t>2、将遴选响应文件中所需的文件按照顺序进行装订，副本可为正本复印件。</w:t>
      </w:r>
      <w:bookmarkEnd w:id="52"/>
    </w:p>
    <w:p w14:paraId="5970273F">
      <w:pPr>
        <w:spacing w:line="360" w:lineRule="auto"/>
        <w:ind w:firstLine="420"/>
        <w:outlineLvl w:val="1"/>
        <w:rPr>
          <w:rFonts w:eastAsia="宋体"/>
          <w:bCs/>
          <w:sz w:val="24"/>
          <w:szCs w:val="21"/>
          <w:highlight w:val="none"/>
        </w:rPr>
      </w:pPr>
      <w:bookmarkStart w:id="53" w:name="_Toc184723230"/>
      <w:r>
        <w:rPr>
          <w:rFonts w:hint="eastAsia" w:eastAsia="宋体"/>
          <w:bCs/>
          <w:sz w:val="24"/>
          <w:szCs w:val="21"/>
          <w:highlight w:val="none"/>
        </w:rPr>
        <w:t>3、正本单独密封，所有副本可一起密封，所有密封封皮上注明产品名称及遴选响应人名称，并加盖骑缝章。</w:t>
      </w:r>
      <w:bookmarkEnd w:id="53"/>
    </w:p>
    <w:p w14:paraId="1C8912D0">
      <w:pPr>
        <w:spacing w:line="360" w:lineRule="auto"/>
        <w:ind w:firstLine="420"/>
        <w:outlineLvl w:val="1"/>
        <w:rPr>
          <w:rFonts w:eastAsia="宋体"/>
          <w:bCs/>
          <w:sz w:val="24"/>
          <w:szCs w:val="21"/>
          <w:highlight w:val="none"/>
        </w:rPr>
      </w:pPr>
      <w:bookmarkStart w:id="54" w:name="_Toc184723231"/>
      <w:r>
        <w:rPr>
          <w:rFonts w:hint="eastAsia" w:eastAsia="宋体"/>
          <w:bCs/>
          <w:sz w:val="24"/>
          <w:szCs w:val="21"/>
          <w:highlight w:val="none"/>
        </w:rPr>
        <w:t>4、以上所需文件正本均需逐页加盖遴选响应人公章（红章），副本可为正本复印件，封面须盖公章。</w:t>
      </w:r>
      <w:bookmarkEnd w:id="54"/>
    </w:p>
    <w:p w14:paraId="06F332A0">
      <w:pPr>
        <w:spacing w:line="360" w:lineRule="auto"/>
        <w:ind w:firstLine="420"/>
        <w:outlineLvl w:val="1"/>
        <w:rPr>
          <w:rFonts w:eastAsia="宋体"/>
          <w:bCs/>
          <w:sz w:val="24"/>
          <w:szCs w:val="21"/>
          <w:highlight w:val="none"/>
        </w:rPr>
      </w:pPr>
      <w:bookmarkStart w:id="55" w:name="_Toc184723232"/>
      <w:r>
        <w:rPr>
          <w:rFonts w:hint="eastAsia" w:eastAsia="宋体"/>
          <w:bCs/>
          <w:sz w:val="24"/>
          <w:szCs w:val="21"/>
          <w:highlight w:val="none"/>
        </w:rPr>
        <w:t>5、所有密封口处均应用封条密封并加盖遴选响应人公章和法定代表人或其委托代理人印章或签字，并</w:t>
      </w:r>
      <w:r>
        <w:rPr>
          <w:rFonts w:hint="eastAsia" w:eastAsia="宋体"/>
          <w:bCs/>
          <w:color w:val="auto"/>
          <w:sz w:val="24"/>
          <w:szCs w:val="21"/>
          <w:highlight w:val="none"/>
        </w:rPr>
        <w:t>注明</w:t>
      </w:r>
      <w:r>
        <w:rPr>
          <w:rFonts w:hint="eastAsia" w:eastAsia="宋体"/>
          <w:bCs/>
          <w:color w:val="000000" w:themeColor="text1"/>
          <w:sz w:val="24"/>
          <w:szCs w:val="21"/>
          <w:highlight w:val="none"/>
          <w14:textFill>
            <w14:solidFill>
              <w14:schemeClr w14:val="tx1"/>
            </w14:solidFill>
          </w14:textFill>
        </w:rPr>
        <w:t>“202</w:t>
      </w:r>
      <w:r>
        <w:rPr>
          <w:rFonts w:hint="eastAsia" w:eastAsia="宋体"/>
          <w:bCs/>
          <w:color w:val="000000" w:themeColor="text1"/>
          <w:sz w:val="24"/>
          <w:szCs w:val="21"/>
          <w:highlight w:val="none"/>
          <w:lang w:val="en-US" w:eastAsia="zh-CN"/>
          <w14:textFill>
            <w14:solidFill>
              <w14:schemeClr w14:val="tx1"/>
            </w14:solidFill>
          </w14:textFill>
        </w:rPr>
        <w:t>6</w:t>
      </w:r>
      <w:r>
        <w:rPr>
          <w:rFonts w:hint="eastAsia" w:eastAsia="宋体"/>
          <w:bCs/>
          <w:color w:val="000000" w:themeColor="text1"/>
          <w:sz w:val="24"/>
          <w:szCs w:val="21"/>
          <w:highlight w:val="none"/>
          <w14:textFill>
            <w14:solidFill>
              <w14:schemeClr w14:val="tx1"/>
            </w14:solidFill>
          </w14:textFill>
        </w:rPr>
        <w:t>年</w:t>
      </w:r>
      <w:r>
        <w:rPr>
          <w:rFonts w:hint="eastAsia" w:eastAsia="宋体"/>
          <w:bCs/>
          <w:color w:val="000000" w:themeColor="text1"/>
          <w:sz w:val="24"/>
          <w:szCs w:val="21"/>
          <w:highlight w:val="none"/>
          <w:lang w:val="en-US" w:eastAsia="zh-CN"/>
          <w14:textFill>
            <w14:solidFill>
              <w14:schemeClr w14:val="tx1"/>
            </w14:solidFill>
          </w14:textFill>
        </w:rPr>
        <w:t>1</w:t>
      </w:r>
      <w:r>
        <w:rPr>
          <w:rFonts w:hint="eastAsia" w:eastAsia="宋体"/>
          <w:bCs/>
          <w:color w:val="000000" w:themeColor="text1"/>
          <w:sz w:val="24"/>
          <w:szCs w:val="21"/>
          <w:highlight w:val="none"/>
          <w14:textFill>
            <w14:solidFill>
              <w14:schemeClr w14:val="tx1"/>
            </w14:solidFill>
          </w14:textFill>
        </w:rPr>
        <w:t>月</w:t>
      </w:r>
      <w:r>
        <w:rPr>
          <w:rFonts w:hint="eastAsia" w:eastAsia="宋体"/>
          <w:bCs/>
          <w:color w:val="000000" w:themeColor="text1"/>
          <w:sz w:val="24"/>
          <w:szCs w:val="21"/>
          <w:highlight w:val="none"/>
          <w:lang w:val="en-US" w:eastAsia="zh-CN"/>
          <w14:textFill>
            <w14:solidFill>
              <w14:schemeClr w14:val="tx1"/>
            </w14:solidFill>
          </w14:textFill>
        </w:rPr>
        <w:t>15</w:t>
      </w:r>
      <w:r>
        <w:rPr>
          <w:rFonts w:hint="eastAsia" w:eastAsia="宋体"/>
          <w:bCs/>
          <w:color w:val="000000" w:themeColor="text1"/>
          <w:sz w:val="24"/>
          <w:szCs w:val="21"/>
          <w:highlight w:val="none"/>
          <w14:textFill>
            <w14:solidFill>
              <w14:schemeClr w14:val="tx1"/>
            </w14:solidFill>
          </w14:textFill>
        </w:rPr>
        <w:t>日15时30分前不准启封”的</w:t>
      </w:r>
      <w:r>
        <w:rPr>
          <w:rFonts w:hint="eastAsia" w:eastAsia="宋体"/>
          <w:bCs/>
          <w:sz w:val="24"/>
          <w:szCs w:val="21"/>
          <w:highlight w:val="none"/>
        </w:rPr>
        <w:t>字样。</w:t>
      </w:r>
      <w:bookmarkEnd w:id="55"/>
    </w:p>
    <w:p w14:paraId="6274CBFF">
      <w:pPr>
        <w:spacing w:line="360" w:lineRule="auto"/>
        <w:ind w:firstLine="420"/>
        <w:outlineLvl w:val="1"/>
        <w:rPr>
          <w:rFonts w:eastAsia="宋体"/>
          <w:bCs/>
          <w:sz w:val="24"/>
          <w:szCs w:val="21"/>
          <w:highlight w:val="none"/>
        </w:rPr>
      </w:pPr>
      <w:bookmarkStart w:id="56"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6"/>
    </w:p>
    <w:p w14:paraId="4B0050F3">
      <w:pPr>
        <w:spacing w:line="360" w:lineRule="auto"/>
        <w:ind w:firstLine="480" w:firstLineChars="200"/>
        <w:rPr>
          <w:rFonts w:eastAsia="宋体"/>
          <w:bCs/>
          <w:sz w:val="24"/>
          <w:szCs w:val="21"/>
          <w:highlight w:val="none"/>
        </w:rPr>
      </w:pPr>
    </w:p>
    <w:p w14:paraId="3C3E0A58">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14:paraId="2C1D2948">
      <w:pPr>
        <w:spacing w:line="360" w:lineRule="auto"/>
        <w:ind w:left="160"/>
        <w:jc w:val="right"/>
        <w:rPr>
          <w:rFonts w:eastAsia="宋体"/>
          <w:color w:val="000000" w:themeColor="text1"/>
          <w:sz w:val="24"/>
          <w:szCs w:val="21"/>
          <w:highlight w:val="none"/>
          <w14:textFill>
            <w14:solidFill>
              <w14:schemeClr w14:val="tx1"/>
            </w14:solidFill>
          </w14:textFill>
        </w:rPr>
      </w:pPr>
      <w:r>
        <w:rPr>
          <w:rFonts w:eastAsia="宋体"/>
          <w:color w:val="000000" w:themeColor="text1"/>
          <w:sz w:val="24"/>
          <w:szCs w:val="21"/>
          <w:highlight w:val="none"/>
          <w14:textFill>
            <w14:solidFill>
              <w14:schemeClr w14:val="tx1"/>
            </w14:solidFill>
          </w14:textFill>
        </w:rPr>
        <w:t xml:space="preserve"> </w:t>
      </w:r>
      <w:r>
        <w:rPr>
          <w:rFonts w:hint="eastAsia" w:eastAsia="宋体"/>
          <w:color w:val="000000" w:themeColor="text1"/>
          <w:sz w:val="24"/>
          <w:szCs w:val="21"/>
          <w:highlight w:val="none"/>
          <w:lang w:val="en-US" w:eastAsia="zh-CN"/>
          <w14:textFill>
            <w14:solidFill>
              <w14:schemeClr w14:val="tx1"/>
            </w14:solidFill>
          </w14:textFill>
        </w:rPr>
        <w:t>2026</w:t>
      </w:r>
      <w:r>
        <w:rPr>
          <w:rFonts w:eastAsia="宋体"/>
          <w:color w:val="000000" w:themeColor="text1"/>
          <w:sz w:val="24"/>
          <w:szCs w:val="21"/>
          <w:highlight w:val="none"/>
          <w14:textFill>
            <w14:solidFill>
              <w14:schemeClr w14:val="tx1"/>
            </w14:solidFill>
          </w14:textFill>
        </w:rPr>
        <w:t>年</w:t>
      </w:r>
      <w:r>
        <w:rPr>
          <w:rFonts w:hint="eastAsia" w:eastAsia="宋体"/>
          <w:color w:val="000000" w:themeColor="text1"/>
          <w:sz w:val="24"/>
          <w:szCs w:val="21"/>
          <w:highlight w:val="none"/>
          <w:lang w:val="en-US" w:eastAsia="zh-CN"/>
          <w14:textFill>
            <w14:solidFill>
              <w14:schemeClr w14:val="tx1"/>
            </w14:solidFill>
          </w14:textFill>
        </w:rPr>
        <w:t>1</w:t>
      </w:r>
      <w:r>
        <w:rPr>
          <w:rFonts w:hint="eastAsia" w:eastAsia="宋体"/>
          <w:color w:val="000000" w:themeColor="text1"/>
          <w:sz w:val="24"/>
          <w:szCs w:val="21"/>
          <w:highlight w:val="none"/>
          <w14:textFill>
            <w14:solidFill>
              <w14:schemeClr w14:val="tx1"/>
            </w14:solidFill>
          </w14:textFill>
        </w:rPr>
        <w:t>月</w:t>
      </w:r>
    </w:p>
    <w:p w14:paraId="64A20C4D">
      <w:pPr>
        <w:pStyle w:val="2"/>
        <w:keepNext w:val="0"/>
        <w:keepLines w:val="0"/>
        <w:spacing w:before="0" w:after="0" w:line="360" w:lineRule="auto"/>
        <w:jc w:val="center"/>
        <w:rPr>
          <w:highlight w:val="none"/>
        </w:rPr>
      </w:pPr>
      <w:bookmarkStart w:id="57" w:name="_Toc52027884"/>
      <w:bookmarkStart w:id="58" w:name="_Toc52021497"/>
      <w:bookmarkStart w:id="59" w:name="_Toc458262591"/>
      <w:bookmarkStart w:id="60" w:name="_Toc476976154"/>
      <w:bookmarkStart w:id="61" w:name="_Toc486671526"/>
      <w:bookmarkStart w:id="62" w:name="_Toc51756450"/>
      <w:bookmarkStart w:id="63" w:name="_Toc51939415"/>
      <w:bookmarkStart w:id="64" w:name="_Toc56352967"/>
      <w:bookmarkStart w:id="65" w:name="_Toc467236722"/>
      <w:r>
        <w:rPr>
          <w:highlight w:val="none"/>
        </w:rPr>
        <w:br w:type="page"/>
      </w:r>
      <w:bookmarkStart w:id="66" w:name="_Toc184723234"/>
      <w:r>
        <w:rPr>
          <w:rFonts w:ascii="Times New Roman"/>
          <w:sz w:val="36"/>
          <w:szCs w:val="28"/>
          <w:highlight w:val="none"/>
        </w:rPr>
        <w:t>第二部分</w:t>
      </w:r>
      <w:bookmarkEnd w:id="57"/>
      <w:bookmarkEnd w:id="58"/>
      <w:bookmarkEnd w:id="59"/>
      <w:bookmarkEnd w:id="60"/>
      <w:bookmarkEnd w:id="61"/>
      <w:bookmarkEnd w:id="62"/>
      <w:bookmarkEnd w:id="63"/>
      <w:bookmarkEnd w:id="64"/>
      <w:bookmarkEnd w:id="65"/>
      <w:r>
        <w:rPr>
          <w:rFonts w:ascii="Times New Roman"/>
          <w:sz w:val="36"/>
          <w:szCs w:val="28"/>
          <w:highlight w:val="none"/>
        </w:rPr>
        <w:t>采购需求</w:t>
      </w:r>
      <w:bookmarkEnd w:id="66"/>
      <w:bookmarkStart w:id="67" w:name="_Toc468606011"/>
      <w:bookmarkStart w:id="68" w:name="_Toc468157518"/>
      <w:bookmarkStart w:id="69" w:name="_Toc479991564"/>
      <w:bookmarkStart w:id="70" w:name="_Toc480010690"/>
      <w:bookmarkStart w:id="71" w:name="_Toc480021035"/>
      <w:bookmarkStart w:id="72" w:name="_Toc480171861"/>
      <w:bookmarkStart w:id="73" w:name="_Toc480020239"/>
    </w:p>
    <w:p w14:paraId="1FE8BC86">
      <w:pPr>
        <w:pStyle w:val="23"/>
        <w:spacing w:line="360" w:lineRule="auto"/>
        <w:ind w:firstLine="482"/>
        <w:outlineLvl w:val="1"/>
        <w:rPr>
          <w:rFonts w:hAnsi="宋体"/>
          <w:b/>
          <w:sz w:val="24"/>
          <w:szCs w:val="24"/>
          <w:highlight w:val="none"/>
        </w:rPr>
      </w:pPr>
      <w:bookmarkStart w:id="74"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4"/>
    </w:p>
    <w:p w14:paraId="22862BB6">
      <w:pPr>
        <w:spacing w:line="360" w:lineRule="auto"/>
        <w:ind w:firstLine="482" w:firstLineChars="200"/>
        <w:rPr>
          <w:rFonts w:hint="eastAsia" w:ascii="宋体" w:hAnsi="Courier New" w:eastAsia="宋体"/>
          <w:color w:val="auto"/>
          <w:sz w:val="24"/>
          <w:szCs w:val="21"/>
          <w:highlight w:val="none"/>
          <w:lang w:val="en-US" w:eastAsia="zh-CN"/>
        </w:rPr>
      </w:pPr>
      <w:r>
        <w:rPr>
          <w:rFonts w:hint="eastAsia" w:ascii="宋体" w:hAnsi="宋体" w:eastAsia="宋体"/>
          <w:b/>
          <w:bCs/>
          <w:sz w:val="24"/>
          <w:szCs w:val="21"/>
          <w:highlight w:val="none"/>
          <w:lang w:eastAsia="zh-CN"/>
        </w:rPr>
        <w:t>本项目</w:t>
      </w:r>
      <w:r>
        <w:rPr>
          <w:rFonts w:hint="eastAsia" w:ascii="宋体" w:hAnsi="宋体" w:eastAsia="宋体"/>
          <w:b/>
          <w:bCs/>
          <w:sz w:val="24"/>
          <w:szCs w:val="21"/>
          <w:highlight w:val="none"/>
          <w:u w:val="none"/>
          <w:lang w:eastAsia="zh-CN"/>
        </w:rPr>
        <w:t>主</w:t>
      </w:r>
      <w:r>
        <w:rPr>
          <w:rFonts w:hint="eastAsia" w:ascii="宋体" w:hAnsi="宋体" w:eastAsia="宋体"/>
          <w:b/>
          <w:bCs/>
          <w:color w:val="auto"/>
          <w:sz w:val="24"/>
          <w:szCs w:val="21"/>
          <w:highlight w:val="none"/>
          <w:u w:val="none"/>
          <w:lang w:eastAsia="zh-CN"/>
        </w:rPr>
        <w:t>要</w:t>
      </w:r>
      <w:r>
        <w:rPr>
          <w:rFonts w:hint="eastAsia" w:ascii="宋体" w:hAnsi="宋体" w:eastAsia="宋体"/>
          <w:b/>
          <w:bCs/>
          <w:color w:val="auto"/>
          <w:sz w:val="24"/>
          <w:szCs w:val="21"/>
          <w:highlight w:val="none"/>
          <w:u w:val="none"/>
          <w:lang w:val="en-US" w:eastAsia="zh-CN"/>
        </w:rPr>
        <w:t>涉及</w:t>
      </w:r>
      <w:r>
        <w:rPr>
          <w:rFonts w:hint="eastAsia" w:ascii="宋体" w:hAnsi="宋体" w:eastAsia="宋体"/>
          <w:b/>
          <w:bCs/>
          <w:color w:val="auto"/>
          <w:sz w:val="24"/>
          <w:szCs w:val="21"/>
          <w:highlight w:val="none"/>
          <w:lang w:val="en-US" w:eastAsia="zh-CN"/>
        </w:rPr>
        <w:t>对开平市中医院电子镜设备的维修和保养服务。</w:t>
      </w:r>
    </w:p>
    <w:p w14:paraId="0825924E">
      <w:pPr>
        <w:spacing w:line="360" w:lineRule="auto"/>
        <w:ind w:firstLine="480" w:firstLineChars="200"/>
        <w:rPr>
          <w:rFonts w:hint="eastAsia" w:ascii="宋体" w:hAnsi="Courier New" w:eastAsia="宋体"/>
          <w:sz w:val="24"/>
          <w:szCs w:val="21"/>
          <w:highlight w:val="none"/>
          <w:u w:val="single"/>
          <w:lang w:val="en-US" w:eastAsia="zh-CN"/>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lang w:val="en-US" w:eastAsia="zh-CN"/>
        </w:rPr>
        <w:t xml:space="preserve"> </w:t>
      </w:r>
      <w:r>
        <w:rPr>
          <w:rFonts w:hint="eastAsia" w:ascii="宋体" w:hAnsi="Courier New" w:eastAsia="宋体"/>
          <w:sz w:val="24"/>
          <w:szCs w:val="21"/>
          <w:highlight w:val="none"/>
          <w:u w:val="single"/>
        </w:rPr>
        <w:t>开平市中医院</w:t>
      </w:r>
      <w:r>
        <w:rPr>
          <w:rFonts w:hint="eastAsia" w:ascii="宋体" w:hAnsi="Courier New" w:eastAsia="宋体"/>
          <w:sz w:val="24"/>
          <w:szCs w:val="21"/>
          <w:highlight w:val="none"/>
          <w:u w:val="single"/>
          <w:lang w:val="en-US" w:eastAsia="zh-CN"/>
        </w:rPr>
        <w:t xml:space="preserve"> </w:t>
      </w:r>
    </w:p>
    <w:p w14:paraId="29E65588">
      <w:pPr>
        <w:spacing w:line="360" w:lineRule="auto"/>
        <w:ind w:firstLine="480" w:firstLineChars="200"/>
        <w:rPr>
          <w:rFonts w:hint="eastAsia" w:ascii="宋体" w:hAnsi="宋体" w:eastAsia="宋体"/>
          <w:sz w:val="24"/>
          <w:szCs w:val="21"/>
          <w:highlight w:val="none"/>
          <w:lang w:val="en-US" w:eastAsia="zh-CN"/>
        </w:rPr>
      </w:pPr>
      <w:r>
        <w:rPr>
          <w:rFonts w:hint="eastAsia" w:ascii="宋体" w:hAnsi="宋体" w:eastAsia="宋体"/>
          <w:sz w:val="24"/>
          <w:szCs w:val="21"/>
          <w:highlight w:val="none"/>
        </w:rPr>
        <w:t>2、采购项目预算金额（元）：最高</w:t>
      </w:r>
      <w:r>
        <w:rPr>
          <w:rFonts w:hint="eastAsia" w:ascii="宋体" w:hAnsi="宋体" w:eastAsia="宋体"/>
          <w:color w:val="000000" w:themeColor="text1"/>
          <w:sz w:val="24"/>
          <w:szCs w:val="21"/>
          <w:highlight w:val="none"/>
          <w14:textFill>
            <w14:solidFill>
              <w14:schemeClr w14:val="tx1"/>
            </w14:solidFill>
          </w14:textFill>
        </w:rPr>
        <w:t>限价人民币</w:t>
      </w:r>
      <w:r>
        <w:rPr>
          <w:rFonts w:hint="eastAsia" w:ascii="宋体" w:hAnsi="宋体" w:eastAsia="宋体"/>
          <w:color w:val="000000" w:themeColor="text1"/>
          <w:sz w:val="24"/>
          <w:szCs w:val="21"/>
          <w:highlight w:val="none"/>
          <w:u w:val="single"/>
          <w:lang w:val="en-US" w:eastAsia="zh-CN"/>
          <w14:textFill>
            <w14:solidFill>
              <w14:schemeClr w14:val="tx1"/>
            </w14:solidFill>
          </w14:textFill>
        </w:rPr>
        <w:t xml:space="preserve"> 192000.00</w:t>
      </w:r>
      <w:r>
        <w:rPr>
          <w:rFonts w:hint="eastAsia" w:ascii="宋体" w:hAnsi="宋体" w:eastAsia="宋体"/>
          <w:color w:val="000000" w:themeColor="text1"/>
          <w:sz w:val="24"/>
          <w:szCs w:val="21"/>
          <w:highlight w:val="none"/>
          <w14:textFill>
            <w14:solidFill>
              <w14:schemeClr w14:val="tx1"/>
            </w14:solidFill>
          </w14:textFill>
        </w:rPr>
        <w:t>元（</w:t>
      </w:r>
      <w:r>
        <w:rPr>
          <w:rFonts w:hint="eastAsia" w:ascii="宋体" w:hAnsi="宋体" w:eastAsia="宋体"/>
          <w:sz w:val="24"/>
          <w:szCs w:val="21"/>
          <w:highlight w:val="none"/>
        </w:rPr>
        <w:t>预算金额为项目最高限价</w:t>
      </w:r>
      <w:r>
        <w:rPr>
          <w:rFonts w:hint="eastAsia" w:ascii="宋体" w:hAnsi="宋体" w:eastAsia="宋体"/>
          <w:sz w:val="24"/>
          <w:szCs w:val="21"/>
          <w:highlight w:val="none"/>
          <w:lang w:eastAsia="zh-CN"/>
        </w:rPr>
        <w:t>，</w:t>
      </w:r>
      <w:r>
        <w:rPr>
          <w:rFonts w:hint="eastAsia" w:ascii="宋体" w:hAnsi="宋体" w:eastAsia="宋体"/>
          <w:sz w:val="24"/>
          <w:szCs w:val="21"/>
          <w:highlight w:val="none"/>
          <w:lang w:val="en-US" w:eastAsia="zh-CN"/>
        </w:rPr>
        <w:t>该限价总价为完成本项目所需的全部费用的总和，但不限于所有设备的维修费用、保养费用、人工费用、更换配件费（仅包含主镜配件或备件，设备周边耗材不在本项目维保范围内）、交通费用、管理费用、利润、税金以及合同包含的所有风险、责任等一切费用，供应商必须自行考虑本项目在实施期间的一切可能发生的费用）</w:t>
      </w:r>
    </w:p>
    <w:p w14:paraId="286358ED">
      <w:pPr>
        <w:spacing w:line="360" w:lineRule="auto"/>
        <w:ind w:firstLine="480" w:firstLineChars="200"/>
        <w:rPr>
          <w:rFonts w:hint="eastAsia" w:ascii="宋体" w:hAnsi="宋体" w:eastAsia="宋体"/>
          <w:color w:val="FF0000"/>
          <w:sz w:val="24"/>
          <w:szCs w:val="21"/>
          <w:highlight w:val="none"/>
          <w:lang w:val="en-US" w:eastAsia="zh-CN"/>
        </w:rPr>
      </w:pPr>
      <w:r>
        <w:rPr>
          <w:rFonts w:hint="eastAsia" w:ascii="宋体" w:hAnsi="宋体" w:eastAsia="宋体"/>
          <w:sz w:val="24"/>
          <w:szCs w:val="21"/>
          <w:highlight w:val="none"/>
          <w:lang w:val="en-US" w:eastAsia="zh-CN"/>
        </w:rPr>
        <w:t>3、服务期限</w:t>
      </w:r>
      <w:r>
        <w:rPr>
          <w:rFonts w:hint="eastAsia" w:ascii="宋体" w:hAnsi="宋体" w:eastAsia="宋体"/>
          <w:color w:val="000000" w:themeColor="text1"/>
          <w:sz w:val="24"/>
          <w:szCs w:val="21"/>
          <w:highlight w:val="none"/>
          <w:lang w:val="en-US" w:eastAsia="zh-CN"/>
          <w14:textFill>
            <w14:solidFill>
              <w14:schemeClr w14:val="tx1"/>
            </w14:solidFill>
          </w14:textFill>
        </w:rPr>
        <w:t>：</w:t>
      </w:r>
      <w:r>
        <w:rPr>
          <w:rFonts w:hint="eastAsia" w:ascii="宋体" w:hAnsi="宋体" w:eastAsia="宋体"/>
          <w:color w:val="000000" w:themeColor="text1"/>
          <w:sz w:val="24"/>
          <w:szCs w:val="21"/>
          <w:highlight w:val="none"/>
          <w:u w:val="single"/>
          <w:lang w:val="en-US" w:eastAsia="zh-CN"/>
          <w14:textFill>
            <w14:solidFill>
              <w14:schemeClr w14:val="tx1"/>
            </w14:solidFill>
          </w14:textFill>
        </w:rPr>
        <w:t xml:space="preserve"> </w:t>
      </w:r>
      <w:r>
        <w:rPr>
          <w:rFonts w:hint="default" w:ascii="宋体" w:hAnsi="宋体" w:eastAsia="宋体"/>
          <w:color w:val="000000" w:themeColor="text1"/>
          <w:sz w:val="24"/>
          <w:szCs w:val="21"/>
          <w:highlight w:val="none"/>
          <w:u w:val="single"/>
          <w:lang w:val="en-US" w:eastAsia="zh-CN"/>
          <w14:textFill>
            <w14:solidFill>
              <w14:schemeClr w14:val="tx1"/>
            </w14:solidFill>
          </w14:textFill>
        </w:rPr>
        <w:t>2</w:t>
      </w:r>
      <w:r>
        <w:rPr>
          <w:rFonts w:hint="eastAsia" w:ascii="宋体" w:hAnsi="宋体" w:eastAsia="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1"/>
          <w:highlight w:val="none"/>
          <w:u w:val="none"/>
          <w:lang w:val="en-US" w:eastAsia="zh-CN"/>
          <w14:textFill>
            <w14:solidFill>
              <w14:schemeClr w14:val="tx1"/>
            </w14:solidFill>
          </w14:textFill>
        </w:rPr>
        <w:t>年</w:t>
      </w:r>
      <w:r>
        <w:rPr>
          <w:rFonts w:hint="eastAsia" w:ascii="宋体" w:hAnsi="宋体" w:eastAsia="宋体"/>
          <w:sz w:val="24"/>
          <w:szCs w:val="21"/>
          <w:highlight w:val="none"/>
          <w:lang w:val="en-US" w:eastAsia="zh-CN"/>
        </w:rPr>
        <w:t>，从合同签订生效之日起开始计算。</w:t>
      </w:r>
    </w:p>
    <w:p w14:paraId="0CEC8CA6">
      <w:pPr>
        <w:spacing w:line="360" w:lineRule="auto"/>
        <w:ind w:firstLine="480" w:firstLineChars="200"/>
        <w:rPr>
          <w:rFonts w:ascii="宋体" w:hAnsi="Courier New" w:eastAsia="宋体"/>
          <w:sz w:val="24"/>
          <w:szCs w:val="21"/>
          <w:highlight w:val="none"/>
        </w:rPr>
      </w:pPr>
      <w:r>
        <w:rPr>
          <w:rFonts w:hint="eastAsia" w:ascii="宋体" w:hAnsi="宋体" w:eastAsia="宋体"/>
          <w:sz w:val="24"/>
          <w:szCs w:val="21"/>
          <w:highlight w:val="none"/>
          <w:lang w:val="en-US" w:eastAsia="zh-CN"/>
        </w:rPr>
        <w:t>4、质量要求：符合国家及行业现行有关规范和标准。</w:t>
      </w:r>
    </w:p>
    <w:p w14:paraId="12B4D064">
      <w:pPr>
        <w:pStyle w:val="23"/>
        <w:spacing w:line="360" w:lineRule="auto"/>
        <w:ind w:firstLine="482"/>
        <w:outlineLvl w:val="1"/>
        <w:rPr>
          <w:rFonts w:hAnsi="宋体"/>
          <w:b/>
          <w:sz w:val="24"/>
          <w:szCs w:val="24"/>
          <w:highlight w:val="none"/>
        </w:rPr>
      </w:pPr>
      <w:bookmarkStart w:id="75" w:name="_Toc184723236"/>
      <w:r>
        <w:rPr>
          <w:rFonts w:hint="eastAsia" w:hAnsi="宋体"/>
          <w:b/>
          <w:sz w:val="24"/>
          <w:szCs w:val="24"/>
          <w:highlight w:val="none"/>
        </w:rPr>
        <w:t>二、</w:t>
      </w:r>
      <w:bookmarkStart w:id="76" w:name="_Hlk96871101"/>
      <w:r>
        <w:rPr>
          <w:rFonts w:hint="eastAsia" w:hAnsi="宋体"/>
          <w:b/>
          <w:sz w:val="24"/>
          <w:szCs w:val="24"/>
          <w:highlight w:val="none"/>
        </w:rPr>
        <w:t>供应商资格条件</w:t>
      </w:r>
      <w:bookmarkEnd w:id="75"/>
      <w:bookmarkEnd w:id="76"/>
    </w:p>
    <w:p w14:paraId="66585E68">
      <w:pPr>
        <w:spacing w:line="360" w:lineRule="auto"/>
        <w:ind w:firstLine="420"/>
        <w:outlineLvl w:val="1"/>
        <w:rPr>
          <w:rFonts w:eastAsia="宋体"/>
          <w:bCs/>
          <w:sz w:val="24"/>
          <w:szCs w:val="21"/>
          <w:highlight w:val="none"/>
        </w:rPr>
      </w:pPr>
      <w:bookmarkStart w:id="77" w:name="_Toc184723237"/>
      <w:bookmarkStart w:id="78" w:name="_Toc81905139"/>
      <w:bookmarkStart w:id="79" w:name="_Toc53651885"/>
      <w:r>
        <w:rPr>
          <w:rFonts w:hint="eastAsia" w:eastAsia="宋体"/>
          <w:bCs/>
          <w:sz w:val="24"/>
          <w:szCs w:val="21"/>
          <w:highlight w:val="none"/>
        </w:rPr>
        <w:t>供应商必须满足以下资格要求中的所有条款，并按照相关规定递交资格证明文件。</w:t>
      </w:r>
      <w:bookmarkEnd w:id="77"/>
    </w:p>
    <w:p w14:paraId="14A83399">
      <w:pPr>
        <w:numPr>
          <w:ilvl w:val="0"/>
          <w:numId w:val="0"/>
        </w:numPr>
        <w:spacing w:line="360" w:lineRule="auto"/>
        <w:ind w:firstLine="420" w:firstLineChars="0"/>
        <w:outlineLvl w:val="1"/>
        <w:rPr>
          <w:rFonts w:hint="eastAsia" w:ascii="宋体" w:hAnsi="宋体" w:eastAsia="宋体" w:cs="宋体"/>
          <w:sz w:val="24"/>
          <w:szCs w:val="21"/>
          <w:highlight w:val="none"/>
        </w:rPr>
      </w:pPr>
      <w:bookmarkStart w:id="80" w:name="_Toc184723250"/>
      <w:r>
        <w:rPr>
          <w:rFonts w:hint="eastAsia" w:ascii="宋体" w:hAnsi="宋体" w:eastAsia="宋体" w:cs="宋体"/>
          <w:kern w:val="2"/>
          <w:sz w:val="24"/>
          <w:szCs w:val="21"/>
          <w:lang w:val="en-US" w:eastAsia="zh-CN" w:bidi="ar-SA"/>
        </w:rPr>
        <w:t>1、</w:t>
      </w:r>
      <w:r>
        <w:rPr>
          <w:rFonts w:hint="eastAsia" w:ascii="宋体" w:hAnsi="宋体" w:eastAsia="宋体" w:cs="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r>
        <w:rPr>
          <w:rFonts w:hint="eastAsia" w:ascii="宋体" w:hAnsi="宋体" w:eastAsia="宋体" w:cs="宋体"/>
          <w:bCs/>
          <w:sz w:val="24"/>
          <w:szCs w:val="21"/>
          <w:highlight w:val="none"/>
        </w:rPr>
        <w:t>。</w:t>
      </w:r>
    </w:p>
    <w:p w14:paraId="34F7C3EC">
      <w:pPr>
        <w:numPr>
          <w:ilvl w:val="0"/>
          <w:numId w:val="0"/>
        </w:numPr>
        <w:spacing w:line="360" w:lineRule="auto"/>
        <w:ind w:firstLine="420" w:firstLineChars="0"/>
        <w:outlineLvl w:val="1"/>
        <w:rPr>
          <w:rFonts w:hint="default" w:ascii="宋体" w:hAnsi="宋体" w:eastAsia="宋体" w:cs="宋体"/>
          <w:sz w:val="24"/>
          <w:szCs w:val="21"/>
          <w:highlight w:val="none"/>
          <w:lang w:val="en-US"/>
        </w:rPr>
      </w:pPr>
      <w:r>
        <w:rPr>
          <w:rFonts w:hint="eastAsia" w:ascii="宋体" w:hAnsi="宋体" w:eastAsia="宋体" w:cs="宋体"/>
          <w:kern w:val="2"/>
          <w:sz w:val="24"/>
          <w:szCs w:val="21"/>
          <w:lang w:val="en-US" w:eastAsia="zh-CN" w:bidi="ar-SA"/>
        </w:rPr>
        <w:t>2、</w:t>
      </w:r>
      <w:r>
        <w:rPr>
          <w:rFonts w:hint="eastAsia" w:ascii="宋体" w:hAnsi="宋体" w:eastAsia="宋体" w:cs="宋体"/>
          <w:sz w:val="24"/>
          <w:szCs w:val="21"/>
          <w:highlight w:val="none"/>
          <w:lang w:val="en-US" w:eastAsia="zh-CN"/>
        </w:rPr>
        <w:t>供应商应具备履行合同所</w:t>
      </w:r>
      <w:r>
        <w:rPr>
          <w:rFonts w:hint="eastAsia" w:ascii="宋体" w:hAnsi="宋体" w:eastAsia="宋体" w:cs="宋体"/>
          <w:sz w:val="24"/>
          <w:szCs w:val="21"/>
          <w:highlight w:val="none"/>
        </w:rPr>
        <w:t>必需的设备和专业技术能力</w:t>
      </w:r>
      <w:r>
        <w:rPr>
          <w:rFonts w:hint="eastAsia" w:ascii="宋体" w:hAnsi="宋体" w:eastAsia="宋体" w:cs="宋体"/>
          <w:sz w:val="24"/>
          <w:szCs w:val="21"/>
          <w:highlight w:val="none"/>
          <w:lang w:val="en-US" w:eastAsia="zh-CN"/>
        </w:rPr>
        <w:t>（提供承诺函）</w:t>
      </w:r>
      <w:r>
        <w:rPr>
          <w:rFonts w:hint="eastAsia" w:ascii="宋体" w:hAnsi="宋体" w:eastAsia="宋体" w:cs="宋体"/>
          <w:bCs/>
          <w:sz w:val="24"/>
          <w:szCs w:val="21"/>
          <w:highlight w:val="none"/>
        </w:rPr>
        <w:t>。</w:t>
      </w:r>
    </w:p>
    <w:p w14:paraId="46B26065">
      <w:pPr>
        <w:spacing w:line="360" w:lineRule="auto"/>
        <w:ind w:firstLine="424" w:firstLineChars="177"/>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3</w:t>
      </w:r>
      <w:r>
        <w:rPr>
          <w:rFonts w:hint="eastAsia" w:ascii="宋体" w:hAnsi="宋体" w:eastAsia="宋体" w:cs="宋体"/>
          <w:bCs/>
          <w:sz w:val="24"/>
          <w:szCs w:val="21"/>
          <w:highlight w:val="none"/>
        </w:rPr>
        <w:t>、具有良好的商业信誉和完善的售后服务体系，提供信誉良好承诺函。</w:t>
      </w:r>
    </w:p>
    <w:p w14:paraId="3B54046F">
      <w:pPr>
        <w:spacing w:line="360" w:lineRule="auto"/>
        <w:ind w:firstLine="424" w:firstLineChars="177"/>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4</w:t>
      </w:r>
      <w:r>
        <w:rPr>
          <w:rFonts w:hint="eastAsia" w:ascii="宋体" w:hAnsi="宋体" w:eastAsia="宋体" w:cs="宋体"/>
          <w:bCs/>
          <w:sz w:val="24"/>
          <w:szCs w:val="21"/>
          <w:highlight w:val="none"/>
        </w:rPr>
        <w:t>、不得有商业贿赂和不正当欺诈行为。如遴选响应人被证实有以上行为，将被视为不合格。</w:t>
      </w:r>
    </w:p>
    <w:p w14:paraId="63879F90">
      <w:pPr>
        <w:spacing w:line="360" w:lineRule="auto"/>
        <w:ind w:firstLine="424" w:firstLineChars="177"/>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5</w:t>
      </w:r>
      <w:r>
        <w:rPr>
          <w:rFonts w:hint="eastAsia" w:ascii="宋体" w:hAnsi="宋体" w:eastAsia="宋体" w:cs="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A3C11B9">
      <w:pPr>
        <w:spacing w:line="360" w:lineRule="auto"/>
        <w:ind w:firstLine="424" w:firstLineChars="177"/>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6</w:t>
      </w:r>
      <w:r>
        <w:rPr>
          <w:rFonts w:hint="eastAsia" w:ascii="宋体" w:hAnsi="宋体" w:eastAsia="宋体" w:cs="宋体"/>
          <w:bCs/>
          <w:sz w:val="24"/>
          <w:szCs w:val="21"/>
          <w:highlight w:val="none"/>
        </w:rPr>
        <w:t>、如遴选响应人被政府有关部门通报列入黑名单的，禁止参加本项目遴选响应。</w:t>
      </w:r>
    </w:p>
    <w:p w14:paraId="3CA70820">
      <w:pPr>
        <w:spacing w:line="360" w:lineRule="auto"/>
        <w:ind w:firstLine="424" w:firstLineChars="177"/>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7</w:t>
      </w:r>
      <w:r>
        <w:rPr>
          <w:rFonts w:hint="eastAsia" w:ascii="宋体" w:hAnsi="宋体" w:eastAsia="宋体" w:cs="宋体"/>
          <w:bCs/>
          <w:sz w:val="24"/>
          <w:szCs w:val="21"/>
          <w:highlight w:val="none"/>
        </w:rPr>
        <w:t>、单位负责人为同一人或者存在控股、管理关系的不同单位，不得同时参加同一项目的遴选响应。</w:t>
      </w:r>
    </w:p>
    <w:p w14:paraId="6BF3B6AE">
      <w:pPr>
        <w:spacing w:line="360" w:lineRule="auto"/>
        <w:ind w:firstLine="424" w:firstLineChars="177"/>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8</w:t>
      </w:r>
      <w:r>
        <w:rPr>
          <w:rFonts w:hint="eastAsia" w:ascii="宋体" w:hAnsi="宋体" w:eastAsia="宋体" w:cs="宋体"/>
          <w:bCs/>
          <w:sz w:val="24"/>
          <w:szCs w:val="21"/>
          <w:highlight w:val="none"/>
        </w:rPr>
        <w:t>、遴选响应人经营行为必须符合国家法律、法规和有关规定。</w:t>
      </w:r>
    </w:p>
    <w:p w14:paraId="199D1715">
      <w:pPr>
        <w:spacing w:line="360" w:lineRule="auto"/>
        <w:ind w:firstLine="424" w:firstLineChars="177"/>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9</w:t>
      </w:r>
      <w:r>
        <w:rPr>
          <w:rFonts w:hint="eastAsia" w:ascii="宋体" w:hAnsi="宋体" w:eastAsia="宋体" w:cs="宋体"/>
          <w:bCs/>
          <w:sz w:val="24"/>
          <w:szCs w:val="21"/>
          <w:highlight w:val="none"/>
        </w:rPr>
        <w:t>、本次遴选不接受联合体遴选响应。</w:t>
      </w:r>
    </w:p>
    <w:p w14:paraId="6AB2D27B">
      <w:pPr>
        <w:ind w:firstLine="424" w:firstLineChars="177"/>
        <w:rPr>
          <w:rFonts w:hint="eastAsia" w:eastAsia="宋体"/>
          <w:bCs/>
          <w:sz w:val="24"/>
          <w:szCs w:val="21"/>
          <w:highlight w:val="none"/>
        </w:rPr>
      </w:pPr>
      <w:r>
        <w:rPr>
          <w:rFonts w:hint="eastAsia" w:ascii="宋体" w:hAnsi="宋体" w:eastAsia="宋体" w:cs="宋体"/>
          <w:bCs/>
          <w:sz w:val="24"/>
          <w:szCs w:val="21"/>
          <w:highlight w:val="none"/>
          <w:lang w:val="en-US" w:eastAsia="zh-CN"/>
        </w:rPr>
        <w:t>10</w:t>
      </w:r>
      <w:r>
        <w:rPr>
          <w:rFonts w:hint="eastAsia" w:ascii="宋体" w:hAnsi="宋体" w:eastAsia="宋体" w:cs="宋体"/>
          <w:bCs/>
          <w:sz w:val="24"/>
          <w:szCs w:val="21"/>
          <w:highlight w:val="none"/>
        </w:rPr>
        <w:t>、本次遴选未得到采购人允许，不得转包、分包，否则取消其响应、成交资格，并赔偿采购人全部损失。</w:t>
      </w:r>
    </w:p>
    <w:p w14:paraId="225C424E">
      <w:pPr>
        <w:pStyle w:val="23"/>
        <w:spacing w:line="360" w:lineRule="auto"/>
        <w:ind w:firstLine="482"/>
        <w:outlineLvl w:val="1"/>
        <w:rPr>
          <w:rFonts w:hint="eastAsia" w:hAnsi="宋体"/>
          <w:b/>
          <w:sz w:val="24"/>
          <w:szCs w:val="24"/>
          <w:highlight w:val="none"/>
        </w:rPr>
      </w:pPr>
      <w:r>
        <w:rPr>
          <w:rFonts w:hint="eastAsia" w:hAnsi="宋体"/>
          <w:b/>
          <w:sz w:val="24"/>
          <w:szCs w:val="24"/>
          <w:highlight w:val="none"/>
        </w:rPr>
        <w:t>三、</w:t>
      </w:r>
      <w:bookmarkEnd w:id="78"/>
      <w:bookmarkEnd w:id="79"/>
      <w:r>
        <w:rPr>
          <w:rFonts w:hint="eastAsia" w:hAnsi="宋体"/>
          <w:b/>
          <w:sz w:val="24"/>
          <w:szCs w:val="24"/>
          <w:highlight w:val="none"/>
        </w:rPr>
        <w:t>服务</w:t>
      </w:r>
      <w:r>
        <w:rPr>
          <w:rFonts w:hint="eastAsia" w:hAnsi="宋体"/>
          <w:b/>
          <w:sz w:val="24"/>
          <w:szCs w:val="24"/>
          <w:highlight w:val="none"/>
          <w:lang w:val="en-US" w:eastAsia="zh-CN"/>
        </w:rPr>
        <w:t>内容及</w:t>
      </w:r>
      <w:r>
        <w:rPr>
          <w:rFonts w:hint="eastAsia" w:hAnsi="宋体"/>
          <w:b/>
          <w:sz w:val="24"/>
          <w:szCs w:val="24"/>
          <w:highlight w:val="none"/>
        </w:rPr>
        <w:t>要求：</w:t>
      </w:r>
      <w:bookmarkEnd w:id="80"/>
    </w:p>
    <w:p w14:paraId="048855F5">
      <w:pPr>
        <w:spacing w:line="360" w:lineRule="auto"/>
        <w:ind w:firstLine="300" w:firstLineChars="100"/>
        <w:rPr>
          <w:rFonts w:hint="default" w:ascii="宋体" w:hAnsi="宋体" w:eastAsia="宋体" w:cs="宋体"/>
          <w:color w:val="000000" w:themeColor="text1"/>
          <w:sz w:val="24"/>
          <w:szCs w:val="24"/>
          <w:lang w:val="en-US" w:eastAsia="zh-CN"/>
          <w14:textFill>
            <w14:solidFill>
              <w14:schemeClr w14:val="tx1"/>
            </w14:solidFill>
          </w14:textFill>
        </w:rPr>
      </w:pPr>
      <w:r>
        <w:t>▲</w:t>
      </w:r>
      <w:r>
        <w:rPr>
          <w:rFonts w:hint="eastAsia" w:ascii="宋体" w:hAnsi="宋体" w:eastAsia="宋体" w:cs="宋体"/>
          <w:color w:val="000000" w:themeColor="text1"/>
          <w:sz w:val="24"/>
          <w:szCs w:val="24"/>
          <w:lang w:val="en-US" w:eastAsia="zh-CN"/>
          <w14:textFill>
            <w14:solidFill>
              <w14:schemeClr w14:val="tx1"/>
            </w14:solidFill>
          </w14:textFill>
        </w:rPr>
        <w:t>1、开机率：（合同95%以上）</w:t>
      </w:r>
    </w:p>
    <w:p w14:paraId="14020934">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响应</w:t>
      </w:r>
      <w:r>
        <w:rPr>
          <w:rFonts w:hint="eastAsia" w:ascii="宋体" w:hAnsi="宋体" w:eastAsia="宋体" w:cs="宋体"/>
          <w:bCs/>
          <w:color w:val="000000" w:themeColor="text1"/>
          <w:sz w:val="24"/>
          <w:szCs w:val="21"/>
          <w:highlight w:val="none"/>
          <w14:textFill>
            <w14:solidFill>
              <w14:schemeClr w14:val="tx1"/>
            </w14:solidFill>
          </w14:textFill>
        </w:rPr>
        <w:t>人</w:t>
      </w:r>
      <w:r>
        <w:rPr>
          <w:rFonts w:hint="eastAsia" w:ascii="宋体" w:hAnsi="宋体" w:eastAsia="宋体" w:cs="宋体"/>
          <w:color w:val="000000" w:themeColor="text1"/>
          <w:sz w:val="24"/>
          <w:szCs w:val="24"/>
          <w:lang w:val="en-US" w:eastAsia="zh-CN"/>
          <w14:textFill>
            <w14:solidFill>
              <w14:schemeClr w14:val="tx1"/>
            </w14:solidFill>
          </w14:textFill>
        </w:rPr>
        <w:t>为保障服务质量效率，维保清单里的设备开机率达到全年365天的开机率要95%以上，响应公司派遣的工程师需参加过原厂组织的培训并获得结业证书；</w:t>
      </w:r>
    </w:p>
    <w:p w14:paraId="44140827">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2、服务内容：</w:t>
      </w:r>
    </w:p>
    <w:p w14:paraId="3ED8271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（1）对维修保养的设备内容包括：整个维修保养</w:t>
      </w:r>
      <w:r>
        <w:rPr>
          <w:rFonts w:hint="eastAsia" w:ascii="宋体" w:hAnsi="宋体" w:eastAsia="宋体" w:cs="宋体"/>
          <w:color w:val="000000" w:themeColor="text1"/>
          <w:sz w:val="24"/>
          <w:szCs w:val="24"/>
          <w:lang w:val="en-US"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 xml:space="preserve">期限内对设备维修保养发生的所有费用包括设备检查保养费及维修人员的工时费、工具费、更换主镜配件费、差旅费及增值税普通发票税金等全保费用； </w:t>
      </w:r>
    </w:p>
    <w:p w14:paraId="5A2893D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）免费提供维保设备技术操作指导及内镜清洗指导；</w:t>
      </w:r>
    </w:p>
    <w:p w14:paraId="4FC14FA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在接到内镜出现故障通知，电话响应时间不超过三十分钟，</w:t>
      </w:r>
      <w:r>
        <w:rPr>
          <w:rFonts w:hint="eastAsia" w:ascii="宋体" w:hAnsi="宋体" w:eastAsia="宋体" w:cs="宋体"/>
          <w:bCs/>
          <w:color w:val="000000" w:themeColor="text1"/>
          <w:sz w:val="24"/>
          <w:szCs w:val="21"/>
          <w:highlight w:val="none"/>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必须保证小修7个工作日；中修15个工作日；大修20个工作日内完成维修，并提供同品牌同型号备用机（包括节假日）以供甲方使用。维修更换的配件需提供宾得或奥林巴斯或优亿原厂配件来源证明。</w:t>
      </w:r>
    </w:p>
    <w:p w14:paraId="0202675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在保修期内需对内镜进行定期维护和保养，年度定期预防性维护保养次数不少于4次，每次出具一份维修保养记录。</w:t>
      </w:r>
    </w:p>
    <w:p w14:paraId="2416C15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bCs/>
          <w:color w:val="000000" w:themeColor="text1"/>
          <w:sz w:val="24"/>
          <w:szCs w:val="21"/>
          <w:highlight w:val="none"/>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提供两年</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eastAsia="宋体" w:cs="宋体"/>
          <w:color w:val="000000" w:themeColor="text1"/>
          <w:sz w:val="24"/>
          <w:szCs w:val="24"/>
          <w14:textFill>
            <w14:solidFill>
              <w14:schemeClr w14:val="tx1"/>
            </w14:solidFill>
          </w14:textFill>
        </w:rPr>
        <w:t>8次电子胃肠镜周边仪器免费除尘清洁服务，并做保养记录。</w:t>
      </w:r>
    </w:p>
    <w:p w14:paraId="19CC217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）免费提供设备水汽及吸引按钮O形圈。</w:t>
      </w:r>
    </w:p>
    <w:p w14:paraId="5160BEBF">
      <w:pPr>
        <w:spacing w:line="360" w:lineRule="auto"/>
        <w:ind w:firstLine="480" w:firstLineChars="200"/>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维修保养要求</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0B89C9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（1）安全检查：</w:t>
      </w:r>
      <w:r>
        <w:rPr>
          <w:rFonts w:hint="eastAsia" w:ascii="宋体" w:hAnsi="宋体" w:eastAsia="宋体" w:cs="宋体"/>
          <w:bCs/>
          <w:color w:val="000000" w:themeColor="text1"/>
          <w:sz w:val="24"/>
          <w:szCs w:val="21"/>
          <w:highlight w:val="none"/>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按照厂家设备标准规定执行、制定检查计划</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机械安全检查、电气安全检查、操作性能检查、设备外观及易损件检查与更换，记录检查结果。</w:t>
      </w:r>
    </w:p>
    <w:p w14:paraId="7CF9FDBB">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①记录并安排保养时间，按照保养计划检测并更换易损耗部件。</w:t>
      </w:r>
    </w:p>
    <w:p w14:paraId="2171CCB5">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②按照厂家标准进行调校，确认各项技术指标及性能，并记录设备状况，并提交季度维保报告给</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w:t>
      </w:r>
    </w:p>
    <w:p w14:paraId="657DABA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（2）预防性保养损耗品：预防性保养中需更换的损耗品由</w:t>
      </w:r>
      <w:r>
        <w:rPr>
          <w:rFonts w:hint="eastAsia" w:ascii="宋体" w:hAnsi="宋体" w:eastAsia="宋体" w:cs="宋体"/>
          <w:bCs/>
          <w:color w:val="000000" w:themeColor="text1"/>
          <w:sz w:val="24"/>
          <w:szCs w:val="21"/>
          <w:highlight w:val="none"/>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免费提供。</w:t>
      </w:r>
    </w:p>
    <w:p w14:paraId="3F041F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（3）对于有透水等现象的大修设备必须对其整体进行彻底消毒以避免因镜子引起的医源性交叉感染，必须有相关证明记录。</w:t>
      </w:r>
    </w:p>
    <w:p w14:paraId="0C55B05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（4）由</w:t>
      </w:r>
      <w:r>
        <w:rPr>
          <w:rFonts w:hint="eastAsia" w:ascii="宋体" w:hAnsi="宋体" w:eastAsia="宋体" w:cs="宋体"/>
          <w:bCs/>
          <w:color w:val="000000" w:themeColor="text1"/>
          <w:sz w:val="24"/>
          <w:szCs w:val="21"/>
          <w:highlight w:val="none"/>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决定需要更换备件的范围，从设备上更换下来的备件归</w:t>
      </w:r>
      <w:r>
        <w:rPr>
          <w:rFonts w:hint="eastAsia" w:ascii="宋体" w:hAnsi="宋体" w:eastAsia="宋体" w:cs="宋体"/>
          <w:bCs/>
          <w:color w:val="000000" w:themeColor="text1"/>
          <w:sz w:val="24"/>
          <w:szCs w:val="21"/>
          <w:highlight w:val="none"/>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所有。</w:t>
      </w:r>
    </w:p>
    <w:p w14:paraId="72682F51">
      <w:pPr>
        <w:pStyle w:val="23"/>
        <w:ind w:firstLine="482" w:firstLineChars="200"/>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保修清单。</w:t>
      </w:r>
    </w:p>
    <w:tbl>
      <w:tblPr>
        <w:tblStyle w:val="43"/>
        <w:tblW w:w="5326" w:type="pct"/>
        <w:tblInd w:w="-2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6"/>
        <w:gridCol w:w="1560"/>
        <w:gridCol w:w="1095"/>
        <w:gridCol w:w="1215"/>
        <w:gridCol w:w="585"/>
        <w:gridCol w:w="1185"/>
        <w:gridCol w:w="1785"/>
        <w:gridCol w:w="975"/>
      </w:tblGrid>
      <w:tr w14:paraId="556E1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387" w:type="pct"/>
            <w:vAlign w:val="center"/>
          </w:tcPr>
          <w:p w14:paraId="0AD31ABB">
            <w:pPr>
              <w:pStyle w:val="39"/>
              <w:spacing w:before="0" w:beforeAutospacing="0" w:after="0" w:afterAutospacing="0" w:line="386" w:lineRule="atLeast"/>
              <w:jc w:val="center"/>
              <w:textAlignment w:val="baseline"/>
              <w:rPr>
                <w:rFonts w:hint="default"/>
                <w:color w:val="444444"/>
                <w:sz w:val="21"/>
                <w:szCs w:val="21"/>
                <w:lang w:val="en-US" w:eastAsia="zh-CN"/>
              </w:rPr>
            </w:pPr>
            <w:r>
              <w:rPr>
                <w:rFonts w:hint="eastAsia"/>
                <w:color w:val="444444"/>
                <w:sz w:val="21"/>
                <w:szCs w:val="21"/>
                <w:lang w:val="en-US" w:eastAsia="zh-CN"/>
              </w:rPr>
              <w:t>序号</w:t>
            </w:r>
          </w:p>
        </w:tc>
        <w:tc>
          <w:tcPr>
            <w:tcW w:w="856" w:type="pct"/>
            <w:vAlign w:val="center"/>
          </w:tcPr>
          <w:p w14:paraId="7F08A365">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lang w:val="en-US" w:eastAsia="zh-CN"/>
              </w:rPr>
              <w:t>设备</w:t>
            </w:r>
            <w:r>
              <w:rPr>
                <w:rFonts w:hint="eastAsia"/>
                <w:color w:val="444444"/>
                <w:sz w:val="21"/>
                <w:szCs w:val="21"/>
              </w:rPr>
              <w:t>名称</w:t>
            </w:r>
          </w:p>
        </w:tc>
        <w:tc>
          <w:tcPr>
            <w:tcW w:w="601" w:type="pct"/>
            <w:vAlign w:val="center"/>
          </w:tcPr>
          <w:p w14:paraId="685B0291">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品牌</w:t>
            </w:r>
          </w:p>
        </w:tc>
        <w:tc>
          <w:tcPr>
            <w:tcW w:w="667" w:type="pct"/>
            <w:vAlign w:val="center"/>
          </w:tcPr>
          <w:p w14:paraId="44F1BB83">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型号</w:t>
            </w:r>
          </w:p>
        </w:tc>
        <w:tc>
          <w:tcPr>
            <w:tcW w:w="321" w:type="pct"/>
            <w:vAlign w:val="center"/>
          </w:tcPr>
          <w:p w14:paraId="75AF7E9D">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数量</w:t>
            </w:r>
          </w:p>
        </w:tc>
        <w:tc>
          <w:tcPr>
            <w:tcW w:w="650" w:type="pct"/>
            <w:vAlign w:val="center"/>
          </w:tcPr>
          <w:p w14:paraId="21E13B45">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机身号</w:t>
            </w:r>
          </w:p>
        </w:tc>
        <w:tc>
          <w:tcPr>
            <w:tcW w:w="980" w:type="pct"/>
            <w:vAlign w:val="center"/>
          </w:tcPr>
          <w:p w14:paraId="349A5044">
            <w:pPr>
              <w:pStyle w:val="39"/>
              <w:spacing w:before="0" w:beforeAutospacing="0" w:after="0" w:afterAutospacing="0" w:line="386" w:lineRule="atLeast"/>
              <w:jc w:val="center"/>
              <w:textAlignment w:val="baseline"/>
              <w:rPr>
                <w:rFonts w:hint="default" w:eastAsia="宋体"/>
                <w:color w:val="444444"/>
                <w:sz w:val="21"/>
                <w:szCs w:val="21"/>
                <w:lang w:val="en-US" w:eastAsia="zh-CN"/>
              </w:rPr>
            </w:pPr>
            <w:r>
              <w:rPr>
                <w:rFonts w:hint="eastAsia"/>
                <w:color w:val="444444"/>
                <w:sz w:val="21"/>
                <w:szCs w:val="21"/>
                <w:lang w:val="en-US" w:eastAsia="zh-CN"/>
              </w:rPr>
              <w:t>维保年限</w:t>
            </w:r>
          </w:p>
        </w:tc>
        <w:tc>
          <w:tcPr>
            <w:tcW w:w="535" w:type="pct"/>
            <w:vAlign w:val="center"/>
          </w:tcPr>
          <w:p w14:paraId="3472A951">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备注</w:t>
            </w:r>
          </w:p>
        </w:tc>
      </w:tr>
      <w:tr w14:paraId="499BC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7" w:type="pct"/>
            <w:vAlign w:val="center"/>
          </w:tcPr>
          <w:p w14:paraId="69927075">
            <w:pPr>
              <w:pStyle w:val="39"/>
              <w:spacing w:before="0" w:beforeAutospacing="0" w:after="0" w:afterAutospacing="0" w:line="386" w:lineRule="atLeast"/>
              <w:jc w:val="center"/>
              <w:textAlignment w:val="baseline"/>
              <w:rPr>
                <w:rFonts w:hint="eastAsia" w:eastAsia="宋体"/>
                <w:color w:val="444444"/>
                <w:sz w:val="21"/>
                <w:szCs w:val="21"/>
                <w:lang w:val="en-US" w:eastAsia="zh-CN"/>
              </w:rPr>
            </w:pPr>
            <w:r>
              <w:rPr>
                <w:rFonts w:hint="eastAsia"/>
                <w:color w:val="444444"/>
                <w:sz w:val="21"/>
                <w:szCs w:val="21"/>
                <w:lang w:val="en-US" w:eastAsia="zh-CN"/>
              </w:rPr>
              <w:t>1</w:t>
            </w:r>
          </w:p>
        </w:tc>
        <w:tc>
          <w:tcPr>
            <w:tcW w:w="856" w:type="pct"/>
            <w:vAlign w:val="center"/>
          </w:tcPr>
          <w:p w14:paraId="7BA87F14">
            <w:pPr>
              <w:pStyle w:val="39"/>
              <w:spacing w:before="0" w:beforeAutospacing="0" w:after="0" w:afterAutospacing="0" w:line="386" w:lineRule="atLeast"/>
              <w:jc w:val="center"/>
              <w:textAlignment w:val="baseline"/>
              <w:rPr>
                <w:color w:val="444444"/>
                <w:sz w:val="21"/>
                <w:szCs w:val="21"/>
              </w:rPr>
            </w:pPr>
            <w:r>
              <w:rPr>
                <w:color w:val="444444"/>
                <w:sz w:val="21"/>
                <w:szCs w:val="21"/>
              </w:rPr>
              <w:t>电子胃镜</w:t>
            </w:r>
          </w:p>
        </w:tc>
        <w:tc>
          <w:tcPr>
            <w:tcW w:w="601" w:type="pct"/>
            <w:vAlign w:val="center"/>
          </w:tcPr>
          <w:p w14:paraId="44BBC349">
            <w:pPr>
              <w:pStyle w:val="39"/>
              <w:spacing w:before="0" w:beforeAutospacing="0" w:after="0" w:afterAutospacing="0" w:line="386" w:lineRule="atLeast"/>
              <w:jc w:val="center"/>
              <w:textAlignment w:val="baseline"/>
              <w:rPr>
                <w:color w:val="444444"/>
                <w:sz w:val="21"/>
                <w:szCs w:val="21"/>
              </w:rPr>
            </w:pPr>
            <w:r>
              <w:rPr>
                <w:color w:val="444444"/>
                <w:sz w:val="21"/>
                <w:szCs w:val="21"/>
              </w:rPr>
              <w:t>宾得</w:t>
            </w:r>
          </w:p>
        </w:tc>
        <w:tc>
          <w:tcPr>
            <w:tcW w:w="667" w:type="pct"/>
            <w:vAlign w:val="center"/>
          </w:tcPr>
          <w:p w14:paraId="65ED8590">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EG-2990i</w:t>
            </w:r>
          </w:p>
        </w:tc>
        <w:tc>
          <w:tcPr>
            <w:tcW w:w="321" w:type="pct"/>
            <w:vAlign w:val="center"/>
          </w:tcPr>
          <w:p w14:paraId="2DED944D">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1</w:t>
            </w:r>
          </w:p>
        </w:tc>
        <w:tc>
          <w:tcPr>
            <w:tcW w:w="650" w:type="pct"/>
            <w:vAlign w:val="center"/>
          </w:tcPr>
          <w:p w14:paraId="1580F751">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B160248</w:t>
            </w:r>
          </w:p>
        </w:tc>
        <w:tc>
          <w:tcPr>
            <w:tcW w:w="980" w:type="pct"/>
            <w:vAlign w:val="center"/>
          </w:tcPr>
          <w:p w14:paraId="6DE295BB">
            <w:pPr>
              <w:pStyle w:val="39"/>
              <w:spacing w:before="0" w:beforeAutospacing="0" w:after="0" w:afterAutospacing="0" w:line="386" w:lineRule="atLeast"/>
              <w:jc w:val="center"/>
              <w:textAlignment w:val="baseline"/>
              <w:rPr>
                <w:color w:val="000000" w:themeColor="text1"/>
                <w:sz w:val="21"/>
                <w:szCs w:val="21"/>
                <w14:textFill>
                  <w14:solidFill>
                    <w14:schemeClr w14:val="tx1"/>
                  </w14:solidFill>
                </w14:textFill>
              </w:rPr>
            </w:pPr>
            <w:r>
              <w:rPr>
                <w:rFonts w:hint="default"/>
                <w:color w:val="000000" w:themeColor="text1"/>
                <w:sz w:val="21"/>
                <w:szCs w:val="21"/>
                <w:lang w:val="en-US"/>
                <w14:textFill>
                  <w14:solidFill>
                    <w14:schemeClr w14:val="tx1"/>
                  </w14:solidFill>
                </w14:textFill>
              </w:rPr>
              <w:t>2</w:t>
            </w:r>
            <w:r>
              <w:rPr>
                <w:color w:val="000000" w:themeColor="text1"/>
                <w:sz w:val="21"/>
                <w:szCs w:val="21"/>
                <w14:textFill>
                  <w14:solidFill>
                    <w14:schemeClr w14:val="tx1"/>
                  </w14:solidFill>
                </w14:textFill>
              </w:rPr>
              <w:t xml:space="preserve"> 年(自合同生效算起）</w:t>
            </w:r>
          </w:p>
        </w:tc>
        <w:tc>
          <w:tcPr>
            <w:tcW w:w="535" w:type="pct"/>
            <w:vAlign w:val="center"/>
          </w:tcPr>
          <w:p w14:paraId="7F4CAA85">
            <w:pPr>
              <w:pStyle w:val="39"/>
              <w:spacing w:before="0" w:beforeAutospacing="0" w:after="0" w:afterAutospacing="0" w:line="386" w:lineRule="atLeast"/>
              <w:jc w:val="center"/>
              <w:textAlignment w:val="baseline"/>
              <w:rPr>
                <w:color w:val="FF0000"/>
                <w:sz w:val="21"/>
                <w:szCs w:val="21"/>
              </w:rPr>
            </w:pPr>
          </w:p>
        </w:tc>
      </w:tr>
      <w:tr w14:paraId="15118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7" w:type="pct"/>
            <w:vAlign w:val="center"/>
          </w:tcPr>
          <w:p w14:paraId="6DDB96E7">
            <w:pPr>
              <w:pStyle w:val="39"/>
              <w:spacing w:before="0" w:beforeAutospacing="0" w:after="0" w:afterAutospacing="0" w:line="386" w:lineRule="atLeast"/>
              <w:jc w:val="center"/>
              <w:textAlignment w:val="baseline"/>
              <w:rPr>
                <w:rFonts w:hint="eastAsia" w:eastAsia="宋体"/>
                <w:color w:val="444444"/>
                <w:sz w:val="21"/>
                <w:szCs w:val="21"/>
                <w:lang w:val="en-US" w:eastAsia="zh-CN"/>
              </w:rPr>
            </w:pPr>
            <w:r>
              <w:rPr>
                <w:rFonts w:hint="eastAsia"/>
                <w:color w:val="444444"/>
                <w:sz w:val="21"/>
                <w:szCs w:val="21"/>
                <w:lang w:val="en-US" w:eastAsia="zh-CN"/>
              </w:rPr>
              <w:t>2</w:t>
            </w:r>
          </w:p>
        </w:tc>
        <w:tc>
          <w:tcPr>
            <w:tcW w:w="856" w:type="pct"/>
            <w:vAlign w:val="center"/>
          </w:tcPr>
          <w:p w14:paraId="058D4851">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电子肠镜</w:t>
            </w:r>
          </w:p>
        </w:tc>
        <w:tc>
          <w:tcPr>
            <w:tcW w:w="601" w:type="pct"/>
            <w:vAlign w:val="center"/>
          </w:tcPr>
          <w:p w14:paraId="576ED27F">
            <w:pPr>
              <w:pStyle w:val="39"/>
              <w:spacing w:before="0" w:beforeAutospacing="0" w:after="0" w:afterAutospacing="0" w:line="386" w:lineRule="atLeast"/>
              <w:jc w:val="center"/>
              <w:textAlignment w:val="baseline"/>
              <w:rPr>
                <w:color w:val="444444"/>
                <w:sz w:val="21"/>
                <w:szCs w:val="21"/>
              </w:rPr>
            </w:pPr>
            <w:r>
              <w:rPr>
                <w:color w:val="444444"/>
                <w:sz w:val="21"/>
                <w:szCs w:val="21"/>
              </w:rPr>
              <w:t>宾得</w:t>
            </w:r>
          </w:p>
        </w:tc>
        <w:tc>
          <w:tcPr>
            <w:tcW w:w="667" w:type="pct"/>
            <w:vAlign w:val="center"/>
          </w:tcPr>
          <w:p w14:paraId="4A09A694">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EG-3890Fi</w:t>
            </w:r>
          </w:p>
        </w:tc>
        <w:tc>
          <w:tcPr>
            <w:tcW w:w="321" w:type="pct"/>
            <w:vAlign w:val="center"/>
          </w:tcPr>
          <w:p w14:paraId="0C888BAD">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1</w:t>
            </w:r>
          </w:p>
        </w:tc>
        <w:tc>
          <w:tcPr>
            <w:tcW w:w="650" w:type="pct"/>
            <w:vAlign w:val="center"/>
          </w:tcPr>
          <w:p w14:paraId="0B69CFE7">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B160201</w:t>
            </w:r>
          </w:p>
        </w:tc>
        <w:tc>
          <w:tcPr>
            <w:tcW w:w="980" w:type="pct"/>
            <w:vAlign w:val="center"/>
          </w:tcPr>
          <w:p w14:paraId="42D9D873">
            <w:pPr>
              <w:pStyle w:val="39"/>
              <w:spacing w:before="0" w:beforeAutospacing="0" w:after="0" w:afterAutospacing="0" w:line="386" w:lineRule="atLeast"/>
              <w:jc w:val="center"/>
              <w:textAlignment w:val="baseline"/>
              <w:rPr>
                <w:color w:val="000000" w:themeColor="text1"/>
                <w:sz w:val="21"/>
                <w:szCs w:val="21"/>
                <w14:textFill>
                  <w14:solidFill>
                    <w14:schemeClr w14:val="tx1"/>
                  </w14:solidFill>
                </w14:textFill>
              </w:rPr>
            </w:pPr>
            <w:r>
              <w:rPr>
                <w:rFonts w:hint="default"/>
                <w:color w:val="000000" w:themeColor="text1"/>
                <w:sz w:val="21"/>
                <w:szCs w:val="21"/>
                <w:lang w:val="en-US"/>
                <w14:textFill>
                  <w14:solidFill>
                    <w14:schemeClr w14:val="tx1"/>
                  </w14:solidFill>
                </w14:textFill>
              </w:rPr>
              <w:t>2</w:t>
            </w:r>
            <w:r>
              <w:rPr>
                <w:color w:val="000000" w:themeColor="text1"/>
                <w:sz w:val="21"/>
                <w:szCs w:val="21"/>
                <w14:textFill>
                  <w14:solidFill>
                    <w14:schemeClr w14:val="tx1"/>
                  </w14:solidFill>
                </w14:textFill>
              </w:rPr>
              <w:t xml:space="preserve"> 年(自合同生效算起）</w:t>
            </w:r>
          </w:p>
        </w:tc>
        <w:tc>
          <w:tcPr>
            <w:tcW w:w="535" w:type="pct"/>
            <w:vAlign w:val="center"/>
          </w:tcPr>
          <w:p w14:paraId="26A57EB6">
            <w:pPr>
              <w:pStyle w:val="39"/>
              <w:spacing w:before="0" w:beforeAutospacing="0" w:after="0" w:afterAutospacing="0" w:line="386" w:lineRule="atLeast"/>
              <w:jc w:val="center"/>
              <w:textAlignment w:val="baseline"/>
              <w:rPr>
                <w:color w:val="FF0000"/>
                <w:sz w:val="21"/>
                <w:szCs w:val="21"/>
              </w:rPr>
            </w:pPr>
          </w:p>
        </w:tc>
      </w:tr>
      <w:tr w14:paraId="7E41DA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7" w:type="pct"/>
            <w:vAlign w:val="center"/>
          </w:tcPr>
          <w:p w14:paraId="0125A006">
            <w:pPr>
              <w:pStyle w:val="39"/>
              <w:spacing w:before="0" w:beforeAutospacing="0" w:after="0" w:afterAutospacing="0" w:line="386" w:lineRule="atLeast"/>
              <w:jc w:val="center"/>
              <w:textAlignment w:val="baseline"/>
              <w:rPr>
                <w:rFonts w:hint="eastAsia" w:eastAsia="宋体"/>
                <w:color w:val="444444"/>
                <w:sz w:val="21"/>
                <w:szCs w:val="21"/>
                <w:lang w:val="en-US" w:eastAsia="zh-CN"/>
              </w:rPr>
            </w:pPr>
            <w:r>
              <w:rPr>
                <w:rFonts w:hint="eastAsia"/>
                <w:color w:val="444444"/>
                <w:sz w:val="21"/>
                <w:szCs w:val="21"/>
                <w:lang w:val="en-US" w:eastAsia="zh-CN"/>
              </w:rPr>
              <w:t>3</w:t>
            </w:r>
          </w:p>
        </w:tc>
        <w:tc>
          <w:tcPr>
            <w:tcW w:w="856" w:type="pct"/>
            <w:vAlign w:val="center"/>
          </w:tcPr>
          <w:p w14:paraId="647B5F67">
            <w:pPr>
              <w:pStyle w:val="39"/>
              <w:spacing w:before="0" w:beforeAutospacing="0" w:after="0" w:afterAutospacing="0" w:line="386" w:lineRule="atLeast"/>
              <w:jc w:val="center"/>
              <w:textAlignment w:val="baseline"/>
              <w:rPr>
                <w:color w:val="444444"/>
                <w:sz w:val="21"/>
                <w:szCs w:val="21"/>
              </w:rPr>
            </w:pPr>
            <w:r>
              <w:rPr>
                <w:color w:val="444444"/>
                <w:sz w:val="21"/>
                <w:szCs w:val="21"/>
              </w:rPr>
              <w:t>电子胃镜</w:t>
            </w:r>
          </w:p>
        </w:tc>
        <w:tc>
          <w:tcPr>
            <w:tcW w:w="601" w:type="pct"/>
            <w:vAlign w:val="center"/>
          </w:tcPr>
          <w:p w14:paraId="424E5801">
            <w:pPr>
              <w:pStyle w:val="39"/>
              <w:spacing w:before="0" w:beforeAutospacing="0" w:after="0" w:afterAutospacing="0" w:line="386" w:lineRule="atLeast"/>
              <w:jc w:val="center"/>
              <w:textAlignment w:val="baseline"/>
              <w:rPr>
                <w:color w:val="444444"/>
                <w:sz w:val="21"/>
                <w:szCs w:val="21"/>
              </w:rPr>
            </w:pPr>
            <w:r>
              <w:rPr>
                <w:color w:val="444444"/>
                <w:sz w:val="21"/>
                <w:szCs w:val="21"/>
              </w:rPr>
              <w:t>奥林巴斯</w:t>
            </w:r>
          </w:p>
        </w:tc>
        <w:tc>
          <w:tcPr>
            <w:tcW w:w="667" w:type="pct"/>
            <w:vAlign w:val="center"/>
          </w:tcPr>
          <w:p w14:paraId="76C66430">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GFI-HQ290</w:t>
            </w:r>
          </w:p>
        </w:tc>
        <w:tc>
          <w:tcPr>
            <w:tcW w:w="321" w:type="pct"/>
            <w:vAlign w:val="center"/>
          </w:tcPr>
          <w:p w14:paraId="39706349">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1</w:t>
            </w:r>
          </w:p>
        </w:tc>
        <w:tc>
          <w:tcPr>
            <w:tcW w:w="650" w:type="pct"/>
            <w:vAlign w:val="center"/>
          </w:tcPr>
          <w:p w14:paraId="4DE261EA">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2959127</w:t>
            </w:r>
          </w:p>
        </w:tc>
        <w:tc>
          <w:tcPr>
            <w:tcW w:w="980" w:type="pct"/>
            <w:vAlign w:val="center"/>
          </w:tcPr>
          <w:p w14:paraId="19375E31">
            <w:pPr>
              <w:pStyle w:val="39"/>
              <w:spacing w:before="0" w:beforeAutospacing="0" w:after="0" w:afterAutospacing="0" w:line="386" w:lineRule="atLeast"/>
              <w:jc w:val="center"/>
              <w:textAlignment w:val="baseline"/>
              <w:rPr>
                <w:color w:val="000000" w:themeColor="text1"/>
                <w:sz w:val="21"/>
                <w:szCs w:val="21"/>
                <w14:textFill>
                  <w14:solidFill>
                    <w14:schemeClr w14:val="tx1"/>
                  </w14:solidFill>
                </w14:textFill>
              </w:rPr>
            </w:pPr>
            <w:r>
              <w:rPr>
                <w:rFonts w:hint="default"/>
                <w:color w:val="000000" w:themeColor="text1"/>
                <w:sz w:val="21"/>
                <w:szCs w:val="21"/>
                <w:lang w:val="en-US"/>
                <w14:textFill>
                  <w14:solidFill>
                    <w14:schemeClr w14:val="tx1"/>
                  </w14:solidFill>
                </w14:textFill>
              </w:rPr>
              <w:t>2</w:t>
            </w:r>
            <w:r>
              <w:rPr>
                <w:color w:val="000000" w:themeColor="text1"/>
                <w:sz w:val="21"/>
                <w:szCs w:val="21"/>
                <w14:textFill>
                  <w14:solidFill>
                    <w14:schemeClr w14:val="tx1"/>
                  </w14:solidFill>
                </w14:textFill>
              </w:rPr>
              <w:t xml:space="preserve"> 年(自合同生效算起）</w:t>
            </w:r>
          </w:p>
        </w:tc>
        <w:tc>
          <w:tcPr>
            <w:tcW w:w="535" w:type="pct"/>
            <w:vAlign w:val="center"/>
          </w:tcPr>
          <w:p w14:paraId="4372A9CC">
            <w:pPr>
              <w:pStyle w:val="39"/>
              <w:spacing w:before="0" w:beforeAutospacing="0" w:after="0" w:afterAutospacing="0" w:line="386" w:lineRule="atLeast"/>
              <w:jc w:val="center"/>
              <w:textAlignment w:val="baseline"/>
              <w:rPr>
                <w:color w:val="FF0000"/>
                <w:sz w:val="21"/>
                <w:szCs w:val="21"/>
              </w:rPr>
            </w:pPr>
          </w:p>
        </w:tc>
      </w:tr>
      <w:tr w14:paraId="38F46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7" w:type="pct"/>
            <w:vAlign w:val="center"/>
          </w:tcPr>
          <w:p w14:paraId="72A68418">
            <w:pPr>
              <w:pStyle w:val="39"/>
              <w:spacing w:before="0" w:beforeAutospacing="0" w:after="0" w:afterAutospacing="0" w:line="386" w:lineRule="atLeast"/>
              <w:jc w:val="center"/>
              <w:textAlignment w:val="baseline"/>
              <w:rPr>
                <w:rFonts w:hint="eastAsia" w:eastAsia="宋体"/>
                <w:color w:val="444444"/>
                <w:sz w:val="21"/>
                <w:szCs w:val="21"/>
                <w:lang w:val="en-US" w:eastAsia="zh-CN"/>
              </w:rPr>
            </w:pPr>
            <w:r>
              <w:rPr>
                <w:rFonts w:hint="eastAsia"/>
                <w:color w:val="444444"/>
                <w:sz w:val="21"/>
                <w:szCs w:val="21"/>
                <w:lang w:val="en-US" w:eastAsia="zh-CN"/>
              </w:rPr>
              <w:t>4</w:t>
            </w:r>
          </w:p>
        </w:tc>
        <w:tc>
          <w:tcPr>
            <w:tcW w:w="856" w:type="pct"/>
            <w:vAlign w:val="center"/>
          </w:tcPr>
          <w:p w14:paraId="4F564F77">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电子肠镜</w:t>
            </w:r>
          </w:p>
        </w:tc>
        <w:tc>
          <w:tcPr>
            <w:tcW w:w="601" w:type="pct"/>
            <w:vAlign w:val="center"/>
          </w:tcPr>
          <w:p w14:paraId="5FB0F45F">
            <w:pPr>
              <w:pStyle w:val="39"/>
              <w:spacing w:before="0" w:beforeAutospacing="0" w:after="0" w:afterAutospacing="0" w:line="386" w:lineRule="atLeast"/>
              <w:jc w:val="center"/>
              <w:textAlignment w:val="baseline"/>
              <w:rPr>
                <w:color w:val="444444"/>
                <w:sz w:val="21"/>
                <w:szCs w:val="21"/>
              </w:rPr>
            </w:pPr>
            <w:r>
              <w:rPr>
                <w:color w:val="444444"/>
                <w:sz w:val="21"/>
                <w:szCs w:val="21"/>
              </w:rPr>
              <w:t>奥林巴斯</w:t>
            </w:r>
          </w:p>
        </w:tc>
        <w:tc>
          <w:tcPr>
            <w:tcW w:w="667" w:type="pct"/>
            <w:vAlign w:val="center"/>
          </w:tcPr>
          <w:p w14:paraId="5C8845B9">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CF-HQ290I</w:t>
            </w:r>
          </w:p>
        </w:tc>
        <w:tc>
          <w:tcPr>
            <w:tcW w:w="321" w:type="pct"/>
            <w:vAlign w:val="center"/>
          </w:tcPr>
          <w:p w14:paraId="4AA74547">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1</w:t>
            </w:r>
          </w:p>
        </w:tc>
        <w:tc>
          <w:tcPr>
            <w:tcW w:w="650" w:type="pct"/>
            <w:vAlign w:val="center"/>
          </w:tcPr>
          <w:p w14:paraId="1F2E1FB1">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2954866</w:t>
            </w:r>
          </w:p>
        </w:tc>
        <w:tc>
          <w:tcPr>
            <w:tcW w:w="980" w:type="pct"/>
            <w:vAlign w:val="center"/>
          </w:tcPr>
          <w:p w14:paraId="0A1EB3B7">
            <w:pPr>
              <w:pStyle w:val="39"/>
              <w:spacing w:before="0" w:beforeAutospacing="0" w:after="0" w:afterAutospacing="0" w:line="386" w:lineRule="atLeast"/>
              <w:jc w:val="center"/>
              <w:textAlignment w:val="baseline"/>
              <w:rPr>
                <w:color w:val="000000" w:themeColor="text1"/>
                <w:sz w:val="21"/>
                <w:szCs w:val="21"/>
                <w14:textFill>
                  <w14:solidFill>
                    <w14:schemeClr w14:val="tx1"/>
                  </w14:solidFill>
                </w14:textFill>
              </w:rPr>
            </w:pPr>
            <w:r>
              <w:rPr>
                <w:rFonts w:hint="default"/>
                <w:color w:val="000000" w:themeColor="text1"/>
                <w:sz w:val="21"/>
                <w:szCs w:val="21"/>
                <w:lang w:val="en-US"/>
                <w14:textFill>
                  <w14:solidFill>
                    <w14:schemeClr w14:val="tx1"/>
                  </w14:solidFill>
                </w14:textFill>
              </w:rPr>
              <w:t>2</w:t>
            </w:r>
            <w:r>
              <w:rPr>
                <w:color w:val="000000" w:themeColor="text1"/>
                <w:sz w:val="21"/>
                <w:szCs w:val="21"/>
                <w14:textFill>
                  <w14:solidFill>
                    <w14:schemeClr w14:val="tx1"/>
                  </w14:solidFill>
                </w14:textFill>
              </w:rPr>
              <w:t xml:space="preserve"> 年(自合同生效算起）</w:t>
            </w:r>
          </w:p>
        </w:tc>
        <w:tc>
          <w:tcPr>
            <w:tcW w:w="535" w:type="pct"/>
            <w:vAlign w:val="center"/>
          </w:tcPr>
          <w:p w14:paraId="42992DA3">
            <w:pPr>
              <w:pStyle w:val="39"/>
              <w:spacing w:before="0" w:beforeAutospacing="0" w:after="0" w:afterAutospacing="0" w:line="386" w:lineRule="atLeast"/>
              <w:jc w:val="center"/>
              <w:textAlignment w:val="baseline"/>
              <w:rPr>
                <w:color w:val="FF0000"/>
                <w:sz w:val="21"/>
                <w:szCs w:val="21"/>
              </w:rPr>
            </w:pPr>
          </w:p>
        </w:tc>
      </w:tr>
      <w:tr w14:paraId="1800ED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7" w:type="pct"/>
            <w:vAlign w:val="center"/>
          </w:tcPr>
          <w:p w14:paraId="3D54794B">
            <w:pPr>
              <w:pStyle w:val="39"/>
              <w:spacing w:before="0" w:beforeAutospacing="0" w:after="0" w:afterAutospacing="0" w:line="386" w:lineRule="atLeast"/>
              <w:jc w:val="center"/>
              <w:textAlignment w:val="baseline"/>
              <w:rPr>
                <w:rFonts w:hint="eastAsia" w:eastAsia="宋体"/>
                <w:color w:val="444444"/>
                <w:sz w:val="21"/>
                <w:szCs w:val="21"/>
                <w:lang w:val="en-US" w:eastAsia="zh-CN"/>
              </w:rPr>
            </w:pPr>
            <w:r>
              <w:rPr>
                <w:rFonts w:hint="eastAsia"/>
                <w:color w:val="444444"/>
                <w:sz w:val="21"/>
                <w:szCs w:val="21"/>
                <w:lang w:val="en-US" w:eastAsia="zh-CN"/>
              </w:rPr>
              <w:t>5</w:t>
            </w:r>
          </w:p>
        </w:tc>
        <w:tc>
          <w:tcPr>
            <w:tcW w:w="856" w:type="pct"/>
            <w:vAlign w:val="center"/>
          </w:tcPr>
          <w:p w14:paraId="0BC85C71">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可视软性喉镜</w:t>
            </w:r>
          </w:p>
        </w:tc>
        <w:tc>
          <w:tcPr>
            <w:tcW w:w="601" w:type="pct"/>
            <w:vAlign w:val="center"/>
          </w:tcPr>
          <w:p w14:paraId="38A93295">
            <w:pPr>
              <w:pStyle w:val="39"/>
              <w:tabs>
                <w:tab w:val="left" w:pos="501"/>
              </w:tabs>
              <w:spacing w:before="0" w:beforeAutospacing="0" w:after="0" w:afterAutospacing="0" w:line="386" w:lineRule="atLeast"/>
              <w:jc w:val="center"/>
              <w:textAlignment w:val="baseline"/>
              <w:rPr>
                <w:color w:val="444444"/>
                <w:sz w:val="21"/>
                <w:szCs w:val="21"/>
              </w:rPr>
            </w:pPr>
            <w:r>
              <w:rPr>
                <w:rFonts w:hint="eastAsia"/>
                <w:color w:val="444444"/>
                <w:sz w:val="21"/>
                <w:szCs w:val="21"/>
              </w:rPr>
              <w:t>优亿</w:t>
            </w:r>
          </w:p>
        </w:tc>
        <w:tc>
          <w:tcPr>
            <w:tcW w:w="667" w:type="pct"/>
            <w:vAlign w:val="center"/>
          </w:tcPr>
          <w:p w14:paraId="0AA9169F">
            <w:pPr>
              <w:pStyle w:val="39"/>
              <w:spacing w:before="0" w:beforeAutospacing="0" w:after="0" w:afterAutospacing="0" w:line="386" w:lineRule="atLeast"/>
              <w:jc w:val="center"/>
              <w:textAlignment w:val="baseline"/>
              <w:rPr>
                <w:color w:val="444444"/>
                <w:sz w:val="21"/>
                <w:szCs w:val="21"/>
              </w:rPr>
            </w:pPr>
            <w:r>
              <w:rPr>
                <w:color w:val="444444"/>
                <w:sz w:val="21"/>
                <w:szCs w:val="21"/>
              </w:rPr>
              <w:t>TIC-I4</w:t>
            </w:r>
          </w:p>
        </w:tc>
        <w:tc>
          <w:tcPr>
            <w:tcW w:w="321" w:type="pct"/>
            <w:vAlign w:val="center"/>
          </w:tcPr>
          <w:p w14:paraId="02A4F6AA">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1</w:t>
            </w:r>
          </w:p>
        </w:tc>
        <w:tc>
          <w:tcPr>
            <w:tcW w:w="650" w:type="pct"/>
            <w:vAlign w:val="center"/>
          </w:tcPr>
          <w:p w14:paraId="62E22B57">
            <w:pPr>
              <w:pStyle w:val="39"/>
              <w:spacing w:before="0" w:beforeAutospacing="0" w:after="0" w:afterAutospacing="0" w:line="386" w:lineRule="atLeast"/>
              <w:jc w:val="center"/>
              <w:textAlignment w:val="baseline"/>
              <w:rPr>
                <w:color w:val="444444"/>
                <w:sz w:val="21"/>
                <w:szCs w:val="21"/>
              </w:rPr>
            </w:pPr>
            <w:r>
              <w:rPr>
                <w:color w:val="444444"/>
                <w:sz w:val="21"/>
                <w:szCs w:val="21"/>
              </w:rPr>
              <w:t>UE1004126</w:t>
            </w:r>
          </w:p>
        </w:tc>
        <w:tc>
          <w:tcPr>
            <w:tcW w:w="980" w:type="pct"/>
            <w:vAlign w:val="center"/>
          </w:tcPr>
          <w:p w14:paraId="292D5428">
            <w:pPr>
              <w:pStyle w:val="39"/>
              <w:spacing w:before="0" w:beforeAutospacing="0" w:after="0" w:afterAutospacing="0" w:line="386" w:lineRule="atLeast"/>
              <w:jc w:val="center"/>
              <w:textAlignment w:val="baseline"/>
              <w:rPr>
                <w:color w:val="000000" w:themeColor="text1"/>
                <w:sz w:val="21"/>
                <w:szCs w:val="21"/>
                <w14:textFill>
                  <w14:solidFill>
                    <w14:schemeClr w14:val="tx1"/>
                  </w14:solidFill>
                </w14:textFill>
              </w:rPr>
            </w:pPr>
            <w:r>
              <w:rPr>
                <w:rFonts w:hint="default"/>
                <w:color w:val="000000" w:themeColor="text1"/>
                <w:sz w:val="21"/>
                <w:szCs w:val="21"/>
                <w:lang w:val="en-US"/>
                <w14:textFill>
                  <w14:solidFill>
                    <w14:schemeClr w14:val="tx1"/>
                  </w14:solidFill>
                </w14:textFill>
              </w:rPr>
              <w:t>2</w:t>
            </w:r>
            <w:r>
              <w:rPr>
                <w:color w:val="000000" w:themeColor="text1"/>
                <w:sz w:val="21"/>
                <w:szCs w:val="21"/>
                <w14:textFill>
                  <w14:solidFill>
                    <w14:schemeClr w14:val="tx1"/>
                  </w14:solidFill>
                </w14:textFill>
              </w:rPr>
              <w:t xml:space="preserve"> 年(自合同生效算起）</w:t>
            </w:r>
          </w:p>
        </w:tc>
        <w:tc>
          <w:tcPr>
            <w:tcW w:w="535" w:type="pct"/>
            <w:vAlign w:val="center"/>
          </w:tcPr>
          <w:p w14:paraId="768EBBD4">
            <w:pPr>
              <w:pStyle w:val="39"/>
              <w:spacing w:before="0" w:beforeAutospacing="0" w:after="0" w:afterAutospacing="0" w:line="386" w:lineRule="atLeast"/>
              <w:jc w:val="center"/>
              <w:textAlignment w:val="baseline"/>
              <w:rPr>
                <w:color w:val="FF0000"/>
                <w:sz w:val="21"/>
                <w:szCs w:val="21"/>
              </w:rPr>
            </w:pPr>
          </w:p>
        </w:tc>
      </w:tr>
      <w:tr w14:paraId="25127D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7" w:type="pct"/>
            <w:vAlign w:val="center"/>
          </w:tcPr>
          <w:p w14:paraId="4309CD4E">
            <w:pPr>
              <w:pStyle w:val="39"/>
              <w:spacing w:before="0" w:beforeAutospacing="0" w:after="0" w:afterAutospacing="0" w:line="386" w:lineRule="atLeast"/>
              <w:jc w:val="center"/>
              <w:textAlignment w:val="baseline"/>
              <w:rPr>
                <w:rFonts w:hint="eastAsia" w:eastAsia="宋体"/>
                <w:color w:val="444444"/>
                <w:sz w:val="21"/>
                <w:szCs w:val="21"/>
                <w:lang w:val="en-US" w:eastAsia="zh-CN"/>
              </w:rPr>
            </w:pPr>
            <w:r>
              <w:rPr>
                <w:rFonts w:hint="eastAsia"/>
                <w:color w:val="444444"/>
                <w:sz w:val="21"/>
                <w:szCs w:val="21"/>
                <w:lang w:val="en-US" w:eastAsia="zh-CN"/>
              </w:rPr>
              <w:t>6</w:t>
            </w:r>
          </w:p>
        </w:tc>
        <w:tc>
          <w:tcPr>
            <w:tcW w:w="856" w:type="pct"/>
            <w:vAlign w:val="center"/>
          </w:tcPr>
          <w:p w14:paraId="652C9E0C">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可视软性喉镜</w:t>
            </w:r>
          </w:p>
        </w:tc>
        <w:tc>
          <w:tcPr>
            <w:tcW w:w="601" w:type="pct"/>
            <w:vAlign w:val="center"/>
          </w:tcPr>
          <w:p w14:paraId="063B192C">
            <w:pPr>
              <w:pStyle w:val="39"/>
              <w:tabs>
                <w:tab w:val="left" w:pos="501"/>
              </w:tabs>
              <w:spacing w:before="0" w:beforeAutospacing="0" w:after="0" w:afterAutospacing="0" w:line="386" w:lineRule="atLeast"/>
              <w:jc w:val="center"/>
              <w:textAlignment w:val="baseline"/>
              <w:rPr>
                <w:color w:val="444444"/>
                <w:sz w:val="21"/>
                <w:szCs w:val="21"/>
              </w:rPr>
            </w:pPr>
            <w:r>
              <w:rPr>
                <w:rFonts w:hint="eastAsia"/>
                <w:color w:val="444444"/>
                <w:sz w:val="21"/>
                <w:szCs w:val="21"/>
              </w:rPr>
              <w:t>优亿</w:t>
            </w:r>
          </w:p>
        </w:tc>
        <w:tc>
          <w:tcPr>
            <w:tcW w:w="667" w:type="pct"/>
            <w:vAlign w:val="center"/>
          </w:tcPr>
          <w:p w14:paraId="1A6A5ED1">
            <w:pPr>
              <w:pStyle w:val="39"/>
              <w:spacing w:before="0" w:beforeAutospacing="0" w:after="0" w:afterAutospacing="0" w:line="386" w:lineRule="atLeast"/>
              <w:jc w:val="center"/>
              <w:textAlignment w:val="baseline"/>
              <w:rPr>
                <w:color w:val="444444"/>
                <w:sz w:val="21"/>
                <w:szCs w:val="21"/>
              </w:rPr>
            </w:pPr>
            <w:r>
              <w:rPr>
                <w:color w:val="444444"/>
                <w:sz w:val="21"/>
                <w:szCs w:val="21"/>
              </w:rPr>
              <w:t>TIC-I4</w:t>
            </w:r>
          </w:p>
        </w:tc>
        <w:tc>
          <w:tcPr>
            <w:tcW w:w="321" w:type="pct"/>
            <w:vAlign w:val="center"/>
          </w:tcPr>
          <w:p w14:paraId="2C4594DF">
            <w:pPr>
              <w:pStyle w:val="39"/>
              <w:spacing w:before="0" w:beforeAutospacing="0" w:after="0" w:afterAutospacing="0" w:line="386" w:lineRule="atLeast"/>
              <w:jc w:val="center"/>
              <w:textAlignment w:val="baseline"/>
              <w:rPr>
                <w:color w:val="444444"/>
                <w:sz w:val="21"/>
                <w:szCs w:val="21"/>
              </w:rPr>
            </w:pPr>
            <w:r>
              <w:rPr>
                <w:rFonts w:hint="eastAsia"/>
                <w:color w:val="444444"/>
                <w:sz w:val="21"/>
                <w:szCs w:val="21"/>
              </w:rPr>
              <w:t>1</w:t>
            </w:r>
          </w:p>
        </w:tc>
        <w:tc>
          <w:tcPr>
            <w:tcW w:w="650" w:type="pct"/>
            <w:vAlign w:val="center"/>
          </w:tcPr>
          <w:p w14:paraId="725DBD79">
            <w:pPr>
              <w:pStyle w:val="39"/>
              <w:spacing w:before="0" w:beforeAutospacing="0" w:after="0" w:afterAutospacing="0" w:line="386" w:lineRule="atLeast"/>
              <w:jc w:val="center"/>
              <w:textAlignment w:val="baseline"/>
              <w:rPr>
                <w:color w:val="444444"/>
                <w:sz w:val="21"/>
                <w:szCs w:val="21"/>
              </w:rPr>
            </w:pPr>
            <w:r>
              <w:rPr>
                <w:color w:val="444444"/>
                <w:sz w:val="21"/>
                <w:szCs w:val="21"/>
              </w:rPr>
              <w:t>UEA06B09</w:t>
            </w:r>
          </w:p>
        </w:tc>
        <w:tc>
          <w:tcPr>
            <w:tcW w:w="980" w:type="pct"/>
            <w:vAlign w:val="center"/>
          </w:tcPr>
          <w:p w14:paraId="39C9E3E3">
            <w:pPr>
              <w:pStyle w:val="39"/>
              <w:spacing w:before="0" w:beforeAutospacing="0" w:after="0" w:afterAutospacing="0" w:line="386" w:lineRule="atLeast"/>
              <w:jc w:val="center"/>
              <w:textAlignment w:val="baseline"/>
              <w:rPr>
                <w:color w:val="000000" w:themeColor="text1"/>
                <w:sz w:val="21"/>
                <w:szCs w:val="21"/>
                <w14:textFill>
                  <w14:solidFill>
                    <w14:schemeClr w14:val="tx1"/>
                  </w14:solidFill>
                </w14:textFill>
              </w:rPr>
            </w:pPr>
            <w:r>
              <w:rPr>
                <w:rFonts w:hint="default"/>
                <w:color w:val="000000" w:themeColor="text1"/>
                <w:sz w:val="21"/>
                <w:szCs w:val="21"/>
                <w:lang w:val="en-US"/>
                <w14:textFill>
                  <w14:solidFill>
                    <w14:schemeClr w14:val="tx1"/>
                  </w14:solidFill>
                </w14:textFill>
              </w:rPr>
              <w:t>2</w:t>
            </w:r>
            <w:r>
              <w:rPr>
                <w:color w:val="000000" w:themeColor="text1"/>
                <w:sz w:val="21"/>
                <w:szCs w:val="21"/>
                <w14:textFill>
                  <w14:solidFill>
                    <w14:schemeClr w14:val="tx1"/>
                  </w14:solidFill>
                </w14:textFill>
              </w:rPr>
              <w:t xml:space="preserve"> 年(自合同生效算起）</w:t>
            </w:r>
          </w:p>
        </w:tc>
        <w:tc>
          <w:tcPr>
            <w:tcW w:w="535" w:type="pct"/>
            <w:vAlign w:val="center"/>
          </w:tcPr>
          <w:p w14:paraId="62EC4C53">
            <w:pPr>
              <w:pStyle w:val="39"/>
              <w:spacing w:before="0" w:beforeAutospacing="0" w:after="0" w:afterAutospacing="0" w:line="386" w:lineRule="atLeast"/>
              <w:jc w:val="center"/>
              <w:textAlignment w:val="baseline"/>
              <w:rPr>
                <w:color w:val="FF0000"/>
                <w:sz w:val="21"/>
                <w:szCs w:val="21"/>
              </w:rPr>
            </w:pPr>
          </w:p>
        </w:tc>
      </w:tr>
      <w:tr w14:paraId="2F100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387" w:type="pct"/>
            <w:vAlign w:val="center"/>
          </w:tcPr>
          <w:p w14:paraId="4E212E47">
            <w:pPr>
              <w:pStyle w:val="39"/>
              <w:spacing w:before="0" w:beforeAutospacing="0" w:after="0" w:afterAutospacing="0" w:line="386" w:lineRule="atLeast"/>
              <w:jc w:val="center"/>
              <w:textAlignment w:val="baseline"/>
              <w:rPr>
                <w:rFonts w:hint="default"/>
                <w:color w:val="444444"/>
                <w:sz w:val="21"/>
                <w:szCs w:val="21"/>
                <w:lang w:val="en-US" w:eastAsia="zh-CN"/>
              </w:rPr>
            </w:pPr>
            <w:r>
              <w:rPr>
                <w:rFonts w:hint="eastAsia"/>
                <w:color w:val="444444"/>
                <w:sz w:val="21"/>
                <w:szCs w:val="21"/>
                <w:lang w:val="en-US" w:eastAsia="zh-CN"/>
              </w:rPr>
              <w:t>7</w:t>
            </w:r>
          </w:p>
        </w:tc>
        <w:tc>
          <w:tcPr>
            <w:tcW w:w="856" w:type="pct"/>
            <w:vAlign w:val="center"/>
          </w:tcPr>
          <w:p w14:paraId="32E5DEBD">
            <w:pPr>
              <w:pStyle w:val="39"/>
              <w:spacing w:before="0" w:beforeAutospacing="0" w:after="0" w:afterAutospacing="0" w:line="386" w:lineRule="atLeast"/>
              <w:jc w:val="center"/>
              <w:textAlignment w:val="baseline"/>
              <w:rPr>
                <w:rFonts w:hint="default" w:eastAsia="宋体"/>
                <w:color w:val="444444"/>
                <w:sz w:val="21"/>
                <w:szCs w:val="21"/>
                <w:lang w:val="en-US" w:eastAsia="zh-CN"/>
              </w:rPr>
            </w:pPr>
            <w:r>
              <w:rPr>
                <w:rFonts w:hint="eastAsia"/>
                <w:color w:val="444444"/>
                <w:sz w:val="21"/>
                <w:szCs w:val="21"/>
                <w:lang w:val="en-US" w:eastAsia="zh-CN"/>
              </w:rPr>
              <w:t>支气管纤维镜</w:t>
            </w:r>
          </w:p>
        </w:tc>
        <w:tc>
          <w:tcPr>
            <w:tcW w:w="601" w:type="pct"/>
            <w:vAlign w:val="center"/>
          </w:tcPr>
          <w:p w14:paraId="0C9E22E9">
            <w:pPr>
              <w:pStyle w:val="39"/>
              <w:tabs>
                <w:tab w:val="left" w:pos="501"/>
              </w:tabs>
              <w:spacing w:before="0" w:beforeAutospacing="0" w:after="0" w:afterAutospacing="0" w:line="386" w:lineRule="atLeast"/>
              <w:jc w:val="center"/>
              <w:textAlignment w:val="baseline"/>
              <w:rPr>
                <w:rFonts w:hint="eastAsia"/>
                <w:color w:val="444444"/>
                <w:sz w:val="21"/>
                <w:szCs w:val="21"/>
              </w:rPr>
            </w:pPr>
            <w:r>
              <w:rPr>
                <w:color w:val="444444"/>
                <w:sz w:val="21"/>
                <w:szCs w:val="21"/>
              </w:rPr>
              <w:t>宾得</w:t>
            </w:r>
          </w:p>
        </w:tc>
        <w:tc>
          <w:tcPr>
            <w:tcW w:w="667" w:type="pct"/>
            <w:vAlign w:val="center"/>
          </w:tcPr>
          <w:p w14:paraId="5A6C711F">
            <w:pPr>
              <w:pStyle w:val="39"/>
              <w:spacing w:before="0" w:beforeAutospacing="0" w:after="0" w:afterAutospacing="0" w:line="386" w:lineRule="atLeast"/>
              <w:jc w:val="center"/>
              <w:textAlignment w:val="baseline"/>
              <w:rPr>
                <w:rFonts w:hint="eastAsia" w:eastAsia="宋体"/>
                <w:color w:val="444444"/>
                <w:sz w:val="21"/>
                <w:szCs w:val="21"/>
                <w:lang w:val="en-US" w:eastAsia="zh-CN"/>
              </w:rPr>
            </w:pPr>
            <w:r>
              <w:rPr>
                <w:rFonts w:hint="eastAsia"/>
                <w:color w:val="444444"/>
                <w:sz w:val="21"/>
                <w:szCs w:val="21"/>
                <w:lang w:val="en-US" w:eastAsia="zh-CN"/>
              </w:rPr>
              <w:t>FI-16RBS</w:t>
            </w:r>
          </w:p>
        </w:tc>
        <w:tc>
          <w:tcPr>
            <w:tcW w:w="321" w:type="pct"/>
            <w:vAlign w:val="center"/>
          </w:tcPr>
          <w:p w14:paraId="577D66C1">
            <w:pPr>
              <w:pStyle w:val="39"/>
              <w:spacing w:before="0" w:beforeAutospacing="0" w:after="0" w:afterAutospacing="0" w:line="386" w:lineRule="atLeast"/>
              <w:jc w:val="center"/>
              <w:textAlignment w:val="baseline"/>
              <w:rPr>
                <w:rFonts w:hint="eastAsia" w:eastAsia="宋体"/>
                <w:color w:val="444444"/>
                <w:sz w:val="21"/>
                <w:szCs w:val="21"/>
                <w:lang w:val="en-US" w:eastAsia="zh-CN"/>
              </w:rPr>
            </w:pPr>
            <w:r>
              <w:rPr>
                <w:rFonts w:hint="eastAsia"/>
                <w:color w:val="444444"/>
                <w:sz w:val="21"/>
                <w:szCs w:val="21"/>
                <w:lang w:val="en-US" w:eastAsia="zh-CN"/>
              </w:rPr>
              <w:t>1</w:t>
            </w:r>
          </w:p>
        </w:tc>
        <w:tc>
          <w:tcPr>
            <w:tcW w:w="650" w:type="pct"/>
            <w:vAlign w:val="center"/>
          </w:tcPr>
          <w:p w14:paraId="12AF8991">
            <w:pPr>
              <w:pStyle w:val="39"/>
              <w:spacing w:before="0" w:beforeAutospacing="0" w:after="0" w:afterAutospacing="0" w:line="386" w:lineRule="atLeast"/>
              <w:jc w:val="center"/>
              <w:textAlignment w:val="baseline"/>
              <w:rPr>
                <w:rFonts w:hint="eastAsia" w:eastAsia="宋体"/>
                <w:color w:val="444444"/>
                <w:sz w:val="21"/>
                <w:szCs w:val="21"/>
                <w:lang w:val="en-US" w:eastAsia="zh-CN"/>
              </w:rPr>
            </w:pPr>
            <w:r>
              <w:rPr>
                <w:rFonts w:hint="eastAsia"/>
                <w:color w:val="444444"/>
                <w:sz w:val="21"/>
                <w:szCs w:val="21"/>
                <w:lang w:val="en-US" w:eastAsia="zh-CN"/>
              </w:rPr>
              <w:t>H111746</w:t>
            </w:r>
          </w:p>
        </w:tc>
        <w:tc>
          <w:tcPr>
            <w:tcW w:w="980" w:type="pct"/>
            <w:vAlign w:val="center"/>
          </w:tcPr>
          <w:p w14:paraId="36D081F0">
            <w:pPr>
              <w:pStyle w:val="39"/>
              <w:spacing w:before="0" w:beforeAutospacing="0" w:after="0" w:afterAutospacing="0" w:line="386" w:lineRule="atLeast"/>
              <w:jc w:val="center"/>
              <w:textAlignment w:val="baseline"/>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color w:val="000000" w:themeColor="text1"/>
                <w:sz w:val="21"/>
                <w:szCs w:val="21"/>
                <w14:textFill>
                  <w14:solidFill>
                    <w14:schemeClr w14:val="tx1"/>
                  </w14:solidFill>
                </w14:textFill>
              </w:rPr>
              <w:t xml:space="preserve"> 年(自合同生效算起）</w:t>
            </w:r>
          </w:p>
        </w:tc>
        <w:tc>
          <w:tcPr>
            <w:tcW w:w="535" w:type="pct"/>
            <w:vAlign w:val="center"/>
          </w:tcPr>
          <w:p w14:paraId="6C25C567">
            <w:pPr>
              <w:pStyle w:val="39"/>
              <w:spacing w:before="0" w:beforeAutospacing="0" w:after="0" w:afterAutospacing="0" w:line="386" w:lineRule="atLeast"/>
              <w:jc w:val="center"/>
              <w:textAlignment w:val="baseline"/>
              <w:rPr>
                <w:rFonts w:hint="eastAsia"/>
                <w:color w:val="FF0000"/>
                <w:sz w:val="21"/>
                <w:szCs w:val="21"/>
              </w:rPr>
            </w:pPr>
          </w:p>
        </w:tc>
      </w:tr>
    </w:tbl>
    <w:p w14:paraId="7423C3A7">
      <w:pPr>
        <w:pStyle w:val="23"/>
        <w:spacing w:line="360" w:lineRule="auto"/>
        <w:outlineLvl w:val="1"/>
        <w:rPr>
          <w:rFonts w:hint="default" w:hAnsi="宋体" w:cs="宋体"/>
          <w:sz w:val="24"/>
          <w:szCs w:val="24"/>
          <w:highlight w:val="none"/>
          <w:lang w:val="en-US" w:eastAsia="zh-CN"/>
        </w:rPr>
      </w:pPr>
    </w:p>
    <w:p w14:paraId="63A87187">
      <w:pPr>
        <w:pStyle w:val="23"/>
        <w:spacing w:line="360" w:lineRule="auto"/>
        <w:ind w:firstLine="482"/>
        <w:outlineLvl w:val="1"/>
        <w:rPr>
          <w:rFonts w:hAnsi="宋体"/>
          <w:b/>
          <w:sz w:val="24"/>
          <w:szCs w:val="24"/>
          <w:highlight w:val="none"/>
        </w:rPr>
      </w:pPr>
      <w:bookmarkStart w:id="81" w:name="_Toc184723293"/>
      <w:r>
        <w:rPr>
          <w:rFonts w:hint="eastAsia" w:hAnsi="宋体"/>
          <w:b/>
          <w:sz w:val="24"/>
          <w:szCs w:val="24"/>
          <w:highlight w:val="none"/>
          <w:lang w:val="en-US" w:eastAsia="zh-CN"/>
        </w:rPr>
        <w:t>五</w:t>
      </w:r>
      <w:r>
        <w:rPr>
          <w:rFonts w:hint="eastAsia" w:hAnsi="宋体"/>
          <w:b/>
          <w:sz w:val="24"/>
          <w:szCs w:val="24"/>
          <w:highlight w:val="none"/>
        </w:rPr>
        <w:t>、报价要求</w:t>
      </w:r>
      <w:bookmarkEnd w:id="81"/>
    </w:p>
    <w:p w14:paraId="56B85BD6">
      <w:pPr>
        <w:pStyle w:val="23"/>
        <w:spacing w:line="360" w:lineRule="auto"/>
        <w:ind w:firstLine="482"/>
        <w:outlineLvl w:val="1"/>
        <w:rPr>
          <w:rFonts w:hint="eastAsia" w:hAnsi="宋体"/>
          <w:color w:val="auto"/>
          <w:sz w:val="24"/>
          <w:szCs w:val="24"/>
          <w:highlight w:val="none"/>
        </w:rPr>
      </w:pPr>
      <w:bookmarkStart w:id="82" w:name="_Toc184723294"/>
      <w:r>
        <w:rPr>
          <w:rFonts w:hint="default" w:hAnsi="宋体"/>
          <w:sz w:val="24"/>
          <w:szCs w:val="24"/>
          <w:highlight w:val="none"/>
        </w:rPr>
        <w:t>1</w:t>
      </w:r>
      <w:r>
        <w:rPr>
          <w:rFonts w:hint="eastAsia" w:hAnsi="宋体"/>
          <w:sz w:val="24"/>
          <w:szCs w:val="24"/>
          <w:highlight w:val="none"/>
        </w:rPr>
        <w:t>、</w:t>
      </w:r>
      <w:bookmarkEnd w:id="82"/>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遴选响应人应根据遴选文件的要求，结合本单位的实际情况考虑后进行一次性报价，采购人不再支付因遴选响应人漏项或是填写错误而增加的任何费用。响应报价包含</w:t>
      </w:r>
      <w:r>
        <w:rPr>
          <w:rFonts w:hint="eastAsia" w:hAnsi="宋体"/>
          <w:sz w:val="24"/>
          <w:szCs w:val="24"/>
          <w:highlight w:val="none"/>
          <w:lang w:val="en-US" w:eastAsia="zh-CN"/>
        </w:rPr>
        <w:t>完成本项目所需的全部费用的总和，但不限于所有设备的维修费用、保养费用、人工费用、更换配件费（仅包含主镜配件或备件，设备周边耗材不在本项目维保范围内）、交通费用、管理费用、利润、税金以及合同包含的所有风险、责任等一切费用，供应商必须自行考虑本项目在实施期间的一切可能发生的费用</w:t>
      </w:r>
      <w:r>
        <w:rPr>
          <w:rFonts w:hint="eastAsia" w:hAnsi="宋体"/>
          <w:sz w:val="24"/>
          <w:szCs w:val="24"/>
          <w:highlight w:val="none"/>
        </w:rPr>
        <w:t>。</w:t>
      </w:r>
    </w:p>
    <w:p w14:paraId="039B7BEA">
      <w:pPr>
        <w:spacing w:line="360" w:lineRule="auto"/>
        <w:ind w:firstLine="480" w:firstLineChars="200"/>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本项目最高限价金额为</w:t>
      </w:r>
      <w:r>
        <w:rPr>
          <w:rFonts w:ascii="宋体" w:hAnsi="宋体" w:eastAsia="宋体" w:cs="宋体"/>
          <w:b/>
          <w:bCs/>
          <w:color w:val="auto"/>
          <w:sz w:val="24"/>
          <w:szCs w:val="24"/>
          <w:highlight w:val="none"/>
          <w:u w:val="none"/>
        </w:rPr>
        <w:t>¥</w:t>
      </w:r>
      <w:r>
        <w:rPr>
          <w:rFonts w:hint="eastAsia" w:ascii="宋体" w:hAnsi="宋体" w:eastAsia="宋体" w:cs="宋体"/>
          <w:b/>
          <w:bCs/>
          <w:color w:val="FF0000"/>
          <w:sz w:val="24"/>
          <w:szCs w:val="24"/>
          <w:highlight w:val="none"/>
          <w:u w:val="none"/>
          <w:lang w:val="en-US" w:eastAsia="zh-CN"/>
        </w:rPr>
        <w:t xml:space="preserve"> </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192000.00  </w:t>
      </w:r>
      <w:r>
        <w:rPr>
          <w:rFonts w:hint="eastAsia" w:ascii="宋体" w:hAnsi="宋体" w:eastAsia="宋体" w:cs="宋体"/>
          <w:b/>
          <w:bCs/>
          <w:color w:val="000000" w:themeColor="text1"/>
          <w:sz w:val="24"/>
          <w:szCs w:val="24"/>
          <w:highlight w:val="none"/>
          <w:u w:val="single"/>
          <w14:textFill>
            <w14:solidFill>
              <w14:schemeClr w14:val="tx1"/>
            </w14:solidFill>
          </w14:textFill>
        </w:rPr>
        <w:t>元（大写：人民币</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壹拾玖万贰仟</w:t>
      </w:r>
      <w:r>
        <w:rPr>
          <w:rFonts w:hint="eastAsia" w:ascii="宋体" w:hAnsi="宋体" w:eastAsia="宋体" w:cs="宋体"/>
          <w:b/>
          <w:bCs/>
          <w:color w:val="000000" w:themeColor="text1"/>
          <w:sz w:val="24"/>
          <w:szCs w:val="24"/>
          <w:highlight w:val="none"/>
          <w:u w:val="single"/>
          <w14:textFill>
            <w14:solidFill>
              <w14:schemeClr w14:val="tx1"/>
            </w14:solidFill>
          </w14:textFill>
        </w:rPr>
        <w:t>元整）</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auto"/>
          <w:sz w:val="24"/>
          <w:szCs w:val="24"/>
          <w:highlight w:val="none"/>
        </w:rPr>
        <w:t>的响应（遴选）报价不得超过最高限价，否则作无效投标处理。</w:t>
      </w:r>
    </w:p>
    <w:p w14:paraId="054287EA">
      <w:pPr>
        <w:pStyle w:val="23"/>
        <w:spacing w:line="360" w:lineRule="auto"/>
        <w:ind w:firstLine="482"/>
        <w:outlineLvl w:val="1"/>
        <w:rPr>
          <w:rFonts w:hAnsi="宋体"/>
          <w:b/>
          <w:sz w:val="24"/>
          <w:szCs w:val="24"/>
          <w:highlight w:val="none"/>
        </w:rPr>
      </w:pPr>
      <w:bookmarkStart w:id="83" w:name="_Toc184723296"/>
      <w:r>
        <w:rPr>
          <w:rFonts w:hint="eastAsia" w:hAnsi="宋体"/>
          <w:b/>
          <w:sz w:val="24"/>
          <w:szCs w:val="24"/>
          <w:highlight w:val="none"/>
          <w:lang w:val="en-US" w:eastAsia="zh-CN"/>
        </w:rPr>
        <w:t>六</w:t>
      </w:r>
      <w:r>
        <w:rPr>
          <w:rFonts w:hAnsi="宋体"/>
          <w:b/>
          <w:sz w:val="24"/>
          <w:szCs w:val="24"/>
          <w:highlight w:val="none"/>
        </w:rPr>
        <w:t>、</w:t>
      </w:r>
      <w:r>
        <w:rPr>
          <w:rFonts w:hint="eastAsia" w:hAnsi="宋体"/>
          <w:b/>
          <w:sz w:val="24"/>
          <w:szCs w:val="24"/>
          <w:highlight w:val="none"/>
        </w:rPr>
        <w:t>评审办法和标准</w:t>
      </w:r>
      <w:bookmarkEnd w:id="83"/>
    </w:p>
    <w:p w14:paraId="19F79A2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评审原则：遵循公开、公平、公</w:t>
      </w:r>
      <w:r>
        <w:rPr>
          <w:rFonts w:hint="eastAsia" w:ascii="宋体" w:hAnsi="宋体" w:eastAsia="宋体" w:cs="宋体"/>
          <w:color w:val="000000" w:themeColor="text1"/>
          <w:sz w:val="24"/>
          <w:szCs w:val="24"/>
          <w:highlight w:val="none"/>
          <w14:textFill>
            <w14:solidFill>
              <w14:schemeClr w14:val="tx1"/>
            </w14:solidFill>
          </w14:textFill>
        </w:rPr>
        <w:t>正的原则，采用综合评分法。</w:t>
      </w:r>
    </w:p>
    <w:p w14:paraId="3CFA52A1">
      <w:pPr>
        <w:pStyle w:val="23"/>
        <w:spacing w:line="360" w:lineRule="auto"/>
        <w:ind w:firstLine="482"/>
        <w:outlineLvl w:val="1"/>
        <w:rPr>
          <w:rFonts w:hAnsi="宋体"/>
          <w:b/>
          <w:color w:val="000000" w:themeColor="text1"/>
          <w:sz w:val="24"/>
          <w:szCs w:val="24"/>
          <w:highlight w:val="none"/>
          <w14:textFill>
            <w14:solidFill>
              <w14:schemeClr w14:val="tx1"/>
            </w14:solidFill>
          </w14:textFill>
        </w:rPr>
      </w:pPr>
      <w:bookmarkStart w:id="84" w:name="_Toc184723297"/>
      <w:r>
        <w:rPr>
          <w:rFonts w:hint="eastAsia" w:hAnsi="宋体"/>
          <w:b/>
          <w:color w:val="000000" w:themeColor="text1"/>
          <w:sz w:val="24"/>
          <w:szCs w:val="24"/>
          <w:highlight w:val="none"/>
          <w:lang w:val="en-US" w:eastAsia="zh-CN"/>
          <w14:textFill>
            <w14:solidFill>
              <w14:schemeClr w14:val="tx1"/>
            </w14:solidFill>
          </w14:textFill>
        </w:rPr>
        <w:t>七</w:t>
      </w:r>
      <w:r>
        <w:rPr>
          <w:rFonts w:hAnsi="宋体"/>
          <w:b/>
          <w:color w:val="000000" w:themeColor="text1"/>
          <w:sz w:val="24"/>
          <w:szCs w:val="24"/>
          <w:highlight w:val="none"/>
          <w14:textFill>
            <w14:solidFill>
              <w14:schemeClr w14:val="tx1"/>
            </w14:solidFill>
          </w14:textFill>
        </w:rPr>
        <w:t>、验收标准</w:t>
      </w:r>
      <w:bookmarkEnd w:id="84"/>
    </w:p>
    <w:p w14:paraId="1E21E94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Courier New" w:eastAsia="宋体"/>
          <w:color w:val="000000" w:themeColor="text1"/>
          <w:sz w:val="24"/>
          <w:szCs w:val="21"/>
          <w:highlight w:val="none"/>
          <w14:textFill>
            <w14:solidFill>
              <w14:schemeClr w14:val="tx1"/>
            </w14:solidFill>
          </w14:textFill>
        </w:rPr>
        <w:t>符合上述第三点“服务</w:t>
      </w:r>
      <w:r>
        <w:rPr>
          <w:rFonts w:hint="eastAsia" w:ascii="宋体" w:hAnsi="Courier New" w:eastAsia="宋体"/>
          <w:color w:val="000000" w:themeColor="text1"/>
          <w:sz w:val="24"/>
          <w:szCs w:val="21"/>
          <w:highlight w:val="none"/>
          <w:lang w:val="en-US" w:eastAsia="zh-CN"/>
          <w14:textFill>
            <w14:solidFill>
              <w14:schemeClr w14:val="tx1"/>
            </w14:solidFill>
          </w14:textFill>
        </w:rPr>
        <w:t>内容及</w:t>
      </w:r>
      <w:r>
        <w:rPr>
          <w:rFonts w:hint="eastAsia" w:ascii="宋体" w:hAnsi="Courier New" w:eastAsia="宋体"/>
          <w:color w:val="000000" w:themeColor="text1"/>
          <w:sz w:val="24"/>
          <w:szCs w:val="21"/>
          <w:highlight w:val="none"/>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w:t>
      </w:r>
      <w:bookmarkEnd w:id="67"/>
      <w:bookmarkEnd w:id="68"/>
      <w:bookmarkEnd w:id="69"/>
      <w:bookmarkEnd w:id="70"/>
      <w:bookmarkEnd w:id="71"/>
      <w:bookmarkEnd w:id="72"/>
      <w:bookmarkEnd w:id="73"/>
      <w:bookmarkStart w:id="85" w:name="_Toc51756452"/>
      <w:bookmarkStart w:id="86" w:name="_Toc52021499"/>
      <w:bookmarkStart w:id="87" w:name="_Toc51939417"/>
      <w:bookmarkStart w:id="88" w:name="_Toc56352971"/>
      <w:bookmarkStart w:id="89" w:name="_Toc52027886"/>
      <w:bookmarkStart w:id="90" w:name="_Toc458262598"/>
      <w:bookmarkStart w:id="91" w:name="_Toc476976155"/>
      <w:bookmarkStart w:id="92" w:name="_Toc486671527"/>
      <w:bookmarkStart w:id="93" w:name="_Toc467236723"/>
    </w:p>
    <w:p w14:paraId="4B01D3AE">
      <w:pPr>
        <w:numPr>
          <w:ilvl w:val="0"/>
          <w:numId w:val="0"/>
        </w:numPr>
        <w:spacing w:line="360" w:lineRule="auto"/>
        <w:ind w:firstLine="482" w:firstLineChars="200"/>
        <w:rPr>
          <w:rFonts w:hint="eastAsia" w:ascii="宋体" w:hAnsi="宋体" w:eastAsia="宋体"/>
          <w:b/>
          <w:bCs/>
          <w:color w:val="000000" w:themeColor="text1"/>
          <w:sz w:val="24"/>
          <w:szCs w:val="21"/>
          <w:highlight w:val="none"/>
          <w:lang w:val="en-US" w:eastAsia="zh-CN"/>
          <w14:textFill>
            <w14:solidFill>
              <w14:schemeClr w14:val="tx1"/>
            </w14:solidFill>
          </w14:textFill>
        </w:rPr>
      </w:pPr>
      <w:r>
        <w:rPr>
          <w:rFonts w:hint="eastAsia" w:ascii="宋体" w:hAnsi="宋体" w:eastAsia="宋体"/>
          <w:b/>
          <w:bCs/>
          <w:color w:val="000000" w:themeColor="text1"/>
          <w:sz w:val="24"/>
          <w:szCs w:val="21"/>
          <w:highlight w:val="none"/>
          <w:lang w:val="en-US" w:eastAsia="zh-CN"/>
          <w14:textFill>
            <w14:solidFill>
              <w14:schemeClr w14:val="tx1"/>
            </w14:solidFill>
          </w14:textFill>
        </w:rPr>
        <w:t>八、结算方式</w:t>
      </w:r>
    </w:p>
    <w:p w14:paraId="008C293D">
      <w:pPr>
        <w:numPr>
          <w:ilvl w:val="0"/>
          <w:numId w:val="0"/>
        </w:numPr>
        <w:spacing w:line="360" w:lineRule="auto"/>
        <w:ind w:firstLine="480" w:firstLineChars="200"/>
        <w:rPr>
          <w:rFonts w:hint="eastAsia" w:ascii="宋体" w:hAnsi="宋体" w:eastAsia="宋体"/>
          <w:color w:val="000000" w:themeColor="text1"/>
          <w:sz w:val="24"/>
          <w:szCs w:val="21"/>
          <w:highlight w:val="none"/>
          <w:lang w:val="en-US" w:eastAsia="zh-CN"/>
          <w14:textFill>
            <w14:solidFill>
              <w14:schemeClr w14:val="tx1"/>
            </w14:solidFill>
          </w14:textFill>
        </w:rPr>
      </w:pPr>
      <w:r>
        <w:rPr>
          <w:rFonts w:hint="eastAsia" w:ascii="宋体" w:hAnsi="宋体" w:eastAsia="宋体"/>
          <w:color w:val="000000" w:themeColor="text1"/>
          <w:sz w:val="24"/>
          <w:szCs w:val="21"/>
          <w:highlight w:val="none"/>
          <w:lang w:val="en-US" w:eastAsia="zh-CN"/>
          <w14:textFill>
            <w14:solidFill>
              <w14:schemeClr w14:val="tx1"/>
            </w14:solidFill>
          </w14:textFill>
        </w:rPr>
        <w:t>维修保养服务费共分</w:t>
      </w:r>
      <w:r>
        <w:rPr>
          <w:rFonts w:hint="eastAsia" w:ascii="宋体" w:hAnsi="宋体" w:eastAsia="宋体"/>
          <w:color w:val="000000" w:themeColor="text1"/>
          <w:sz w:val="24"/>
          <w:szCs w:val="21"/>
          <w:highlight w:val="none"/>
          <w:u w:val="single"/>
          <w:lang w:val="en-US" w:eastAsia="zh-CN"/>
          <w14:textFill>
            <w14:solidFill>
              <w14:schemeClr w14:val="tx1"/>
            </w14:solidFill>
          </w14:textFill>
        </w:rPr>
        <w:t xml:space="preserve"> </w:t>
      </w:r>
      <w:r>
        <w:rPr>
          <w:rFonts w:hint="default" w:ascii="宋体" w:hAnsi="宋体" w:eastAsia="宋体"/>
          <w:color w:val="000000" w:themeColor="text1"/>
          <w:sz w:val="24"/>
          <w:szCs w:val="21"/>
          <w:highlight w:val="none"/>
          <w:u w:val="single"/>
          <w:lang w:val="en-US" w:eastAsia="zh-CN"/>
          <w14:textFill>
            <w14:solidFill>
              <w14:schemeClr w14:val="tx1"/>
            </w14:solidFill>
          </w14:textFill>
        </w:rPr>
        <w:t>8</w:t>
      </w:r>
      <w:r>
        <w:rPr>
          <w:rFonts w:hint="eastAsia" w:ascii="宋体" w:hAnsi="宋体" w:eastAsia="宋体"/>
          <w:color w:val="000000" w:themeColor="text1"/>
          <w:sz w:val="24"/>
          <w:szCs w:val="21"/>
          <w:highlight w:val="none"/>
          <w:lang w:val="en-US" w:eastAsia="zh-CN"/>
          <w14:textFill>
            <w14:solidFill>
              <w14:schemeClr w14:val="tx1"/>
            </w14:solidFill>
          </w14:textFill>
        </w:rPr>
        <w:t>期，服务</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olor w:val="000000" w:themeColor="text1"/>
          <w:sz w:val="24"/>
          <w:szCs w:val="21"/>
          <w:highlight w:val="none"/>
          <w:lang w:val="en-US" w:eastAsia="zh-CN"/>
          <w14:textFill>
            <w14:solidFill>
              <w14:schemeClr w14:val="tx1"/>
            </w14:solidFill>
          </w14:textFill>
        </w:rPr>
        <w:t>于每个季度尾凭发票支付，即每期支付成交总额的</w:t>
      </w:r>
      <w:r>
        <w:rPr>
          <w:rFonts w:hint="default" w:ascii="宋体" w:hAnsi="宋体" w:eastAsia="宋体"/>
          <w:color w:val="000000" w:themeColor="text1"/>
          <w:sz w:val="24"/>
          <w:szCs w:val="21"/>
          <w:highlight w:val="none"/>
          <w:u w:val="single"/>
          <w:lang w:val="en-US" w:eastAsia="zh-CN"/>
          <w14:textFill>
            <w14:solidFill>
              <w14:schemeClr w14:val="tx1"/>
            </w14:solidFill>
          </w14:textFill>
        </w:rPr>
        <w:t>12.5</w:t>
      </w:r>
      <w:r>
        <w:rPr>
          <w:rFonts w:hint="eastAsia" w:ascii="宋体" w:hAnsi="宋体" w:eastAsia="宋体"/>
          <w:color w:val="000000" w:themeColor="text1"/>
          <w:sz w:val="24"/>
          <w:szCs w:val="21"/>
          <w:highlight w:val="none"/>
          <w:u w:val="none"/>
          <w:lang w:val="en-US" w:eastAsia="zh-CN"/>
          <w14:textFill>
            <w14:solidFill>
              <w14:schemeClr w14:val="tx1"/>
            </w14:solidFill>
          </w14:textFill>
        </w:rPr>
        <w:t xml:space="preserve"> %。</w:t>
      </w:r>
    </w:p>
    <w:p w14:paraId="3BB82576">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3CA712E5">
      <w:pPr>
        <w:spacing w:line="360" w:lineRule="auto"/>
        <w:rPr>
          <w:sz w:val="36"/>
          <w:szCs w:val="28"/>
          <w:highlight w:val="none"/>
        </w:rPr>
      </w:pPr>
      <w:r>
        <w:rPr>
          <w:sz w:val="36"/>
          <w:szCs w:val="28"/>
          <w:highlight w:val="none"/>
        </w:rPr>
        <w:br w:type="page"/>
      </w:r>
    </w:p>
    <w:p w14:paraId="203F2DA9">
      <w:pPr>
        <w:pStyle w:val="2"/>
        <w:keepNext w:val="0"/>
        <w:keepLines w:val="0"/>
        <w:spacing w:before="0" w:after="0" w:line="360" w:lineRule="auto"/>
        <w:jc w:val="center"/>
        <w:rPr>
          <w:rFonts w:ascii="Times New Roman"/>
          <w:sz w:val="36"/>
          <w:szCs w:val="28"/>
          <w:highlight w:val="none"/>
        </w:rPr>
      </w:pPr>
      <w:bookmarkStart w:id="94" w:name="_Toc184723298"/>
      <w:r>
        <w:rPr>
          <w:rFonts w:ascii="Times New Roman"/>
          <w:sz w:val="36"/>
          <w:szCs w:val="28"/>
          <w:highlight w:val="none"/>
        </w:rPr>
        <w:t>第三部分</w:t>
      </w:r>
      <w:bookmarkEnd w:id="85"/>
      <w:bookmarkEnd w:id="86"/>
      <w:bookmarkEnd w:id="87"/>
      <w:bookmarkEnd w:id="88"/>
      <w:bookmarkEnd w:id="89"/>
      <w:r>
        <w:rPr>
          <w:rFonts w:ascii="Times New Roman"/>
          <w:sz w:val="36"/>
          <w:szCs w:val="28"/>
          <w:highlight w:val="none"/>
        </w:rPr>
        <w:t xml:space="preserve">  供应商须知</w:t>
      </w:r>
      <w:bookmarkEnd w:id="90"/>
      <w:bookmarkEnd w:id="91"/>
      <w:bookmarkEnd w:id="92"/>
      <w:bookmarkEnd w:id="93"/>
      <w:bookmarkEnd w:id="94"/>
    </w:p>
    <w:p w14:paraId="7E914613">
      <w:pPr>
        <w:pStyle w:val="3"/>
        <w:keepNext w:val="0"/>
        <w:keepLines w:val="0"/>
        <w:spacing w:beforeLines="50" w:after="0" w:line="360" w:lineRule="auto"/>
        <w:jc w:val="center"/>
        <w:rPr>
          <w:rFonts w:ascii="Times New Roman" w:hAnsi="Times New Roman" w:eastAsia="宋体"/>
          <w:sz w:val="24"/>
          <w:szCs w:val="21"/>
          <w:highlight w:val="none"/>
        </w:rPr>
      </w:pPr>
      <w:bookmarkStart w:id="95" w:name="_Toc6968687"/>
      <w:bookmarkStart w:id="96" w:name="_Toc507407359"/>
      <w:bookmarkStart w:id="97" w:name="_Toc102277756"/>
      <w:bookmarkStart w:id="98" w:name="_Toc184723299"/>
      <w:bookmarkStart w:id="99" w:name="_Toc466786434"/>
      <w:bookmarkStart w:id="100" w:name="_Toc6882675"/>
      <w:bookmarkStart w:id="101" w:name="_Toc468157520"/>
      <w:bookmarkStart w:id="102" w:name="_Toc468606013"/>
      <w:bookmarkStart w:id="103" w:name="_Toc480020241"/>
      <w:bookmarkStart w:id="104" w:name="_Toc48207756"/>
      <w:bookmarkStart w:id="105" w:name="_Toc479991566"/>
      <w:bookmarkStart w:id="106" w:name="_Toc458262599"/>
      <w:bookmarkStart w:id="107" w:name="_Toc480171863"/>
      <w:bookmarkStart w:id="108" w:name="_Toc480021037"/>
      <w:bookmarkStart w:id="109" w:name="_Toc467987807"/>
      <w:bookmarkStart w:id="110" w:name="_Toc467236724"/>
      <w:bookmarkStart w:id="111" w:name="_Toc480010692"/>
      <w:r>
        <w:rPr>
          <w:rFonts w:ascii="Times New Roman" w:hAnsi="Times New Roman" w:eastAsia="宋体"/>
          <w:sz w:val="24"/>
          <w:szCs w:val="21"/>
          <w:highlight w:val="none"/>
        </w:rPr>
        <w:t>一、说  明</w:t>
      </w:r>
      <w:bookmarkEnd w:id="95"/>
      <w:bookmarkEnd w:id="96"/>
      <w:bookmarkEnd w:id="97"/>
      <w:bookmarkEnd w:id="98"/>
      <w:bookmarkEnd w:id="99"/>
      <w:bookmarkEnd w:id="100"/>
    </w:p>
    <w:p w14:paraId="2F3462D0">
      <w:pPr>
        <w:pStyle w:val="5"/>
        <w:keepNext w:val="0"/>
        <w:keepLines w:val="0"/>
        <w:adjustRightInd/>
        <w:spacing w:before="0" w:after="0" w:line="360" w:lineRule="auto"/>
        <w:ind w:firstLine="482" w:firstLineChars="200"/>
        <w:rPr>
          <w:rFonts w:ascii="Times New Roman"/>
          <w:b w:val="0"/>
          <w:sz w:val="24"/>
          <w:szCs w:val="21"/>
          <w:highlight w:val="none"/>
        </w:rPr>
      </w:pPr>
      <w:bookmarkStart w:id="112" w:name="_Toc475249114"/>
      <w:r>
        <w:rPr>
          <w:rFonts w:ascii="Times New Roman"/>
          <w:sz w:val="24"/>
          <w:szCs w:val="21"/>
          <w:highlight w:val="none"/>
        </w:rPr>
        <w:t>1.适用范围</w:t>
      </w:r>
      <w:bookmarkEnd w:id="112"/>
    </w:p>
    <w:p w14:paraId="7E730A2F">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39B2A3D5">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14:paraId="06CD5656">
      <w:pPr>
        <w:pStyle w:val="5"/>
        <w:keepNext w:val="0"/>
        <w:keepLines w:val="0"/>
        <w:adjustRightInd/>
        <w:spacing w:before="0" w:after="0" w:line="360" w:lineRule="auto"/>
        <w:ind w:firstLine="482" w:firstLineChars="200"/>
        <w:rPr>
          <w:rFonts w:ascii="Times New Roman"/>
          <w:b w:val="0"/>
          <w:sz w:val="24"/>
          <w:szCs w:val="21"/>
          <w:highlight w:val="none"/>
        </w:rPr>
      </w:pPr>
      <w:bookmarkStart w:id="113" w:name="_Toc475249115"/>
      <w:r>
        <w:rPr>
          <w:rFonts w:ascii="Times New Roman"/>
          <w:sz w:val="24"/>
          <w:szCs w:val="21"/>
          <w:highlight w:val="none"/>
        </w:rPr>
        <w:t>2.定义</w:t>
      </w:r>
      <w:bookmarkEnd w:id="113"/>
    </w:p>
    <w:p w14:paraId="1BCF8C57">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5EB797E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14:paraId="5C131286">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76F8C252">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68C991A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62A12EC7">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4DAD0DA">
      <w:pPr>
        <w:pStyle w:val="5"/>
        <w:keepNext w:val="0"/>
        <w:keepLines w:val="0"/>
        <w:adjustRightInd/>
        <w:spacing w:before="0" w:after="0" w:line="360" w:lineRule="auto"/>
        <w:ind w:firstLine="482" w:firstLineChars="200"/>
        <w:rPr>
          <w:rFonts w:ascii="Times New Roman"/>
          <w:sz w:val="24"/>
          <w:szCs w:val="21"/>
          <w:highlight w:val="none"/>
        </w:rPr>
      </w:pPr>
      <w:bookmarkStart w:id="114" w:name="_Toc110953831"/>
      <w:bookmarkStart w:id="115" w:name="_Toc6882676"/>
      <w:bookmarkStart w:id="116" w:name="_Toc507407360"/>
      <w:bookmarkStart w:id="117" w:name="_Toc6968688"/>
      <w:bookmarkStart w:id="118" w:name="_Toc466786435"/>
      <w:bookmarkStart w:id="119" w:name="_Toc102277757"/>
      <w:r>
        <w:rPr>
          <w:rFonts w:ascii="Times New Roman"/>
          <w:sz w:val="24"/>
          <w:szCs w:val="21"/>
          <w:highlight w:val="none"/>
        </w:rPr>
        <w:t>3.适用法律</w:t>
      </w:r>
      <w:bookmarkEnd w:id="114"/>
    </w:p>
    <w:p w14:paraId="62168234">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14:paraId="64205572">
      <w:pPr>
        <w:pStyle w:val="5"/>
        <w:keepNext w:val="0"/>
        <w:keepLines w:val="0"/>
        <w:adjustRightInd/>
        <w:spacing w:before="0" w:after="0" w:line="360" w:lineRule="auto"/>
        <w:ind w:firstLine="482" w:firstLineChars="200"/>
        <w:rPr>
          <w:rFonts w:ascii="Times New Roman"/>
          <w:b w:val="0"/>
          <w:sz w:val="24"/>
          <w:szCs w:val="21"/>
          <w:highlight w:val="none"/>
        </w:rPr>
      </w:pPr>
      <w:bookmarkStart w:id="120" w:name="_Toc110953832"/>
      <w:r>
        <w:rPr>
          <w:rFonts w:ascii="Times New Roman"/>
          <w:sz w:val="24"/>
          <w:szCs w:val="21"/>
          <w:highlight w:val="none"/>
        </w:rPr>
        <w:t>4.知识产权</w:t>
      </w:r>
      <w:bookmarkEnd w:id="120"/>
    </w:p>
    <w:p w14:paraId="22072FEB">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14:paraId="1F0DEABC">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23BB45D9">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20D6A92F">
      <w:pPr>
        <w:pStyle w:val="5"/>
        <w:keepNext w:val="0"/>
        <w:keepLines w:val="0"/>
        <w:adjustRightInd/>
        <w:spacing w:before="0" w:after="0" w:line="360" w:lineRule="auto"/>
        <w:ind w:firstLine="482" w:firstLineChars="200"/>
        <w:rPr>
          <w:rFonts w:ascii="Times New Roman"/>
          <w:b w:val="0"/>
          <w:bCs/>
          <w:sz w:val="24"/>
          <w:szCs w:val="21"/>
          <w:highlight w:val="none"/>
        </w:rPr>
      </w:pPr>
      <w:bookmarkStart w:id="121" w:name="_Toc110953833"/>
      <w:r>
        <w:rPr>
          <w:rFonts w:ascii="Times New Roman"/>
          <w:sz w:val="24"/>
          <w:szCs w:val="21"/>
          <w:highlight w:val="none"/>
        </w:rPr>
        <w:t>5.禁止事项</w:t>
      </w:r>
      <w:bookmarkEnd w:id="121"/>
    </w:p>
    <w:p w14:paraId="3DCC2DB1">
      <w:pPr>
        <w:spacing w:line="360" w:lineRule="auto"/>
        <w:ind w:firstLine="480" w:firstLineChars="200"/>
        <w:rPr>
          <w:rFonts w:eastAsia="宋体"/>
          <w:sz w:val="24"/>
          <w:szCs w:val="21"/>
          <w:highlight w:val="none"/>
        </w:rPr>
      </w:pPr>
      <w:bookmarkStart w:id="122" w:name="_Toc98126218"/>
      <w:bookmarkStart w:id="123" w:name="_Toc98126293"/>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14:paraId="312C9D45">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2"/>
      <w:bookmarkEnd w:id="123"/>
    </w:p>
    <w:p w14:paraId="7CE374BA">
      <w:pPr>
        <w:spacing w:line="360" w:lineRule="auto"/>
        <w:ind w:firstLine="480" w:firstLineChars="200"/>
        <w:rPr>
          <w:rFonts w:eastAsia="宋体"/>
          <w:sz w:val="24"/>
          <w:szCs w:val="21"/>
          <w:highlight w:val="none"/>
        </w:rPr>
      </w:pPr>
      <w:bookmarkStart w:id="124" w:name="_Toc98126219"/>
      <w:bookmarkStart w:id="125" w:name="_Toc98126294"/>
      <w:r>
        <w:rPr>
          <w:rFonts w:eastAsia="宋体"/>
          <w:sz w:val="24"/>
          <w:szCs w:val="21"/>
          <w:highlight w:val="none"/>
        </w:rPr>
        <w:t>5.</w:t>
      </w:r>
      <w:bookmarkEnd w:id="124"/>
      <w:bookmarkEnd w:id="125"/>
      <w:bookmarkStart w:id="126" w:name="_Toc98126220"/>
      <w:bookmarkStart w:id="127" w:name="_Toc98126295"/>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26"/>
      <w:bookmarkEnd w:id="127"/>
    </w:p>
    <w:p w14:paraId="293BF75C">
      <w:pPr>
        <w:pStyle w:val="5"/>
        <w:keepNext w:val="0"/>
        <w:keepLines w:val="0"/>
        <w:adjustRightInd/>
        <w:spacing w:before="0" w:after="0" w:line="360" w:lineRule="auto"/>
        <w:ind w:firstLine="482" w:firstLineChars="200"/>
        <w:rPr>
          <w:rFonts w:ascii="Times New Roman"/>
          <w:b w:val="0"/>
          <w:bCs/>
          <w:sz w:val="24"/>
          <w:szCs w:val="21"/>
          <w:highlight w:val="none"/>
        </w:rPr>
      </w:pPr>
      <w:bookmarkStart w:id="128" w:name="_Toc110953834"/>
      <w:r>
        <w:rPr>
          <w:rFonts w:ascii="Times New Roman"/>
          <w:sz w:val="24"/>
          <w:szCs w:val="21"/>
          <w:highlight w:val="none"/>
        </w:rPr>
        <w:t>6.保密及其它注意事项</w:t>
      </w:r>
      <w:bookmarkEnd w:id="128"/>
    </w:p>
    <w:p w14:paraId="71AF63FA">
      <w:pPr>
        <w:spacing w:line="360" w:lineRule="auto"/>
        <w:ind w:firstLine="480" w:firstLineChars="200"/>
        <w:rPr>
          <w:rFonts w:eastAsia="宋体"/>
          <w:sz w:val="24"/>
          <w:szCs w:val="21"/>
          <w:highlight w:val="none"/>
        </w:rPr>
      </w:pPr>
      <w:bookmarkStart w:id="129" w:name="_Toc98126297"/>
      <w:bookmarkStart w:id="130" w:name="_Toc98126222"/>
      <w:r>
        <w:rPr>
          <w:rFonts w:eastAsia="宋体"/>
          <w:sz w:val="24"/>
          <w:szCs w:val="21"/>
          <w:highlight w:val="none"/>
        </w:rPr>
        <w:t>6.1凡参与采购工作的有关人员均应自觉接受有关主管部门的监督，不得向他人透露可能影响公平竞争的有关情况。</w:t>
      </w:r>
      <w:bookmarkEnd w:id="129"/>
      <w:bookmarkEnd w:id="130"/>
    </w:p>
    <w:p w14:paraId="5D3C73D4">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052C0FE9">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2F9EFF16">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2D5C092A">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14:paraId="189C9AE7">
      <w:pPr>
        <w:pStyle w:val="5"/>
        <w:keepNext w:val="0"/>
        <w:keepLines w:val="0"/>
        <w:adjustRightInd/>
        <w:spacing w:before="0" w:after="0" w:line="360" w:lineRule="auto"/>
        <w:ind w:firstLine="482" w:firstLineChars="200"/>
        <w:rPr>
          <w:rFonts w:ascii="Times New Roman"/>
          <w:sz w:val="24"/>
          <w:szCs w:val="21"/>
          <w:highlight w:val="none"/>
        </w:rPr>
      </w:pPr>
      <w:bookmarkStart w:id="131" w:name="_Toc497016085"/>
      <w:r>
        <w:rPr>
          <w:rFonts w:ascii="Times New Roman"/>
          <w:sz w:val="24"/>
          <w:szCs w:val="21"/>
          <w:highlight w:val="none"/>
        </w:rPr>
        <w:t>7. 供应商诚信管理</w:t>
      </w:r>
      <w:bookmarkEnd w:id="131"/>
    </w:p>
    <w:p w14:paraId="274D5E8A">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14:paraId="7615C060">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6FE412DF">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530F8EAA">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6EDDC81A">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1447D0CF">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0F172058">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14:paraId="6288CE8F">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108E53A4">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28D827A7">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623AFEA8">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14:paraId="45A6ACFD">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14:paraId="092A0DDE">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0405D882">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1D87A1C5">
      <w:pPr>
        <w:spacing w:line="360" w:lineRule="auto"/>
        <w:ind w:firstLine="480" w:firstLineChars="200"/>
        <w:rPr>
          <w:rFonts w:eastAsia="宋体"/>
          <w:sz w:val="24"/>
          <w:szCs w:val="21"/>
          <w:highlight w:val="none"/>
        </w:rPr>
      </w:pPr>
    </w:p>
    <w:p w14:paraId="65BD9F0E">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2"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15"/>
      <w:bookmarkEnd w:id="116"/>
      <w:bookmarkEnd w:id="117"/>
      <w:bookmarkEnd w:id="118"/>
      <w:bookmarkEnd w:id="119"/>
      <w:bookmarkEnd w:id="132"/>
    </w:p>
    <w:p w14:paraId="11E102DD">
      <w:pPr>
        <w:pStyle w:val="5"/>
        <w:keepNext w:val="0"/>
        <w:keepLines w:val="0"/>
        <w:adjustRightInd/>
        <w:spacing w:before="0" w:after="0" w:line="360" w:lineRule="auto"/>
        <w:ind w:firstLine="482" w:firstLineChars="200"/>
        <w:rPr>
          <w:rFonts w:ascii="Times New Roman"/>
          <w:sz w:val="24"/>
          <w:szCs w:val="21"/>
          <w:highlight w:val="none"/>
        </w:rPr>
      </w:pPr>
      <w:bookmarkStart w:id="133" w:name="_Toc110953836"/>
      <w:bookmarkStart w:id="134" w:name="_Toc6968689"/>
      <w:bookmarkStart w:id="135" w:name="_Toc102277758"/>
      <w:bookmarkStart w:id="136" w:name="_Toc466786436"/>
      <w:bookmarkStart w:id="137" w:name="_Toc6882677"/>
      <w:bookmarkStart w:id="138" w:name="_Toc507407361"/>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33"/>
    </w:p>
    <w:p w14:paraId="5B9B378A">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464E61F0">
      <w:pPr>
        <w:pStyle w:val="5"/>
        <w:keepNext w:val="0"/>
        <w:keepLines w:val="0"/>
        <w:adjustRightInd/>
        <w:spacing w:before="0" w:after="0" w:line="360" w:lineRule="auto"/>
        <w:ind w:firstLine="482" w:firstLineChars="200"/>
        <w:rPr>
          <w:rFonts w:ascii="Times New Roman"/>
          <w:sz w:val="24"/>
          <w:szCs w:val="21"/>
          <w:highlight w:val="none"/>
        </w:rPr>
      </w:pPr>
      <w:bookmarkStart w:id="139"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39"/>
    </w:p>
    <w:p w14:paraId="4707CE09">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3E44DBD5">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34"/>
      <w:bookmarkEnd w:id="135"/>
      <w:bookmarkEnd w:id="136"/>
      <w:bookmarkEnd w:id="137"/>
      <w:bookmarkEnd w:id="138"/>
      <w:bookmarkStart w:id="140" w:name="_Toc110953838"/>
      <w:bookmarkStart w:id="141" w:name="_Toc6882678"/>
      <w:bookmarkStart w:id="142" w:name="_Toc102277759"/>
      <w:bookmarkStart w:id="143" w:name="_Toc507407362"/>
      <w:bookmarkStart w:id="144" w:name="_Toc6968690"/>
      <w:bookmarkStart w:id="145" w:name="_Toc466786437"/>
    </w:p>
    <w:p w14:paraId="2763C526">
      <w:pPr>
        <w:spacing w:line="360" w:lineRule="auto"/>
        <w:rPr>
          <w:highlight w:val="none"/>
        </w:rPr>
      </w:pPr>
    </w:p>
    <w:p w14:paraId="03221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46" w:name="_Toc184723301"/>
      <w:r>
        <w:rPr>
          <w:rFonts w:ascii="Times New Roman" w:hAnsi="Times New Roman" w:eastAsia="宋体"/>
          <w:sz w:val="24"/>
          <w:szCs w:val="21"/>
          <w:highlight w:val="none"/>
        </w:rPr>
        <w:t>三、响应文件的制作</w:t>
      </w:r>
      <w:bookmarkEnd w:id="140"/>
      <w:bookmarkEnd w:id="146"/>
    </w:p>
    <w:p w14:paraId="03DDF9E8">
      <w:pPr>
        <w:pStyle w:val="5"/>
        <w:keepNext w:val="0"/>
        <w:keepLines w:val="0"/>
        <w:adjustRightInd/>
        <w:spacing w:before="0" w:after="0" w:line="480" w:lineRule="exact"/>
        <w:ind w:firstLine="482" w:firstLineChars="200"/>
        <w:rPr>
          <w:rFonts w:hAnsi="宋体"/>
          <w:sz w:val="24"/>
          <w:szCs w:val="21"/>
          <w:highlight w:val="none"/>
        </w:rPr>
      </w:pPr>
      <w:bookmarkStart w:id="147" w:name="_Toc96940314"/>
      <w:bookmarkStart w:id="148" w:name="_Toc97112225"/>
      <w:bookmarkStart w:id="149" w:name="_Toc96934186"/>
      <w:bookmarkStart w:id="150" w:name="_Toc110953839"/>
      <w:bookmarkStart w:id="151" w:name="_Toc97109974"/>
      <w:bookmarkStart w:id="152" w:name="_Toc110953840"/>
      <w:r>
        <w:rPr>
          <w:rFonts w:hAnsi="宋体"/>
          <w:sz w:val="24"/>
          <w:szCs w:val="21"/>
          <w:highlight w:val="none"/>
        </w:rPr>
        <w:t>10.制作要求</w:t>
      </w:r>
      <w:bookmarkEnd w:id="147"/>
      <w:bookmarkEnd w:id="148"/>
      <w:bookmarkEnd w:id="149"/>
      <w:bookmarkEnd w:id="150"/>
      <w:bookmarkEnd w:id="151"/>
    </w:p>
    <w:p w14:paraId="3A714B41">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2963D20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2666AB4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5B2F3DC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361018D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14ABD30E">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43BF809A">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2"/>
    <w:p w14:paraId="5B5A0983">
      <w:pPr>
        <w:pStyle w:val="5"/>
        <w:keepNext w:val="0"/>
        <w:keepLines w:val="0"/>
        <w:adjustRightInd/>
        <w:spacing w:before="0" w:after="0" w:line="480" w:lineRule="exact"/>
        <w:ind w:firstLine="482" w:firstLineChars="200"/>
        <w:rPr>
          <w:rFonts w:hAnsi="宋体"/>
          <w:sz w:val="24"/>
          <w:szCs w:val="21"/>
          <w:highlight w:val="none"/>
        </w:rPr>
      </w:pPr>
      <w:bookmarkStart w:id="153" w:name="_Toc97109975"/>
      <w:bookmarkStart w:id="154" w:name="_Toc96940315"/>
      <w:bookmarkStart w:id="155" w:name="_Toc97112226"/>
      <w:bookmarkStart w:id="156" w:name="_Toc96934187"/>
      <w:bookmarkStart w:id="157" w:name="_Toc185150707"/>
      <w:r>
        <w:rPr>
          <w:rFonts w:hAnsi="宋体"/>
          <w:sz w:val="24"/>
          <w:szCs w:val="21"/>
          <w:highlight w:val="none"/>
        </w:rPr>
        <w:t>11.响应文件的内容</w:t>
      </w:r>
      <w:bookmarkEnd w:id="153"/>
      <w:bookmarkEnd w:id="154"/>
      <w:bookmarkEnd w:id="155"/>
      <w:bookmarkEnd w:id="156"/>
    </w:p>
    <w:p w14:paraId="6852BBBE">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4B1AAE14">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1DEB85A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65385EF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（3）报价表；</w:t>
      </w:r>
    </w:p>
    <w:p w14:paraId="1F4DB9E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（4）遴选响应函；</w:t>
      </w:r>
    </w:p>
    <w:p w14:paraId="38227146">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（5）遴选响应人信息登记表；</w:t>
      </w:r>
    </w:p>
    <w:p w14:paraId="3A9C14BF">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（6）法定代表人授权书（代理人）；</w:t>
      </w:r>
    </w:p>
    <w:p w14:paraId="79F38FD5">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（7）法定代表人身份证明文件（法定代表人）；</w:t>
      </w:r>
    </w:p>
    <w:p w14:paraId="70E2476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（8）遴选响应人合法资格及资质证明文件；</w:t>
      </w:r>
    </w:p>
    <w:p w14:paraId="4D25C22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9</w:t>
      </w:r>
      <w:r>
        <w:rPr>
          <w:rFonts w:hint="eastAsia" w:ascii="宋体" w:hAnsi="宋体" w:eastAsia="宋体"/>
          <w:sz w:val="24"/>
          <w:szCs w:val="21"/>
          <w:highlight w:val="none"/>
        </w:rPr>
        <w:t>）遴选响应承诺函；</w:t>
      </w:r>
    </w:p>
    <w:p w14:paraId="64D97997">
      <w:pPr>
        <w:spacing w:line="480" w:lineRule="exact"/>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10</w:t>
      </w:r>
      <w:r>
        <w:rPr>
          <w:rFonts w:hint="eastAsia" w:ascii="宋体" w:hAnsi="宋体" w:eastAsia="宋体"/>
          <w:sz w:val="24"/>
          <w:szCs w:val="21"/>
          <w:highlight w:val="none"/>
        </w:rPr>
        <w:t>）信誉良好承诺函。</w:t>
      </w:r>
    </w:p>
    <w:p w14:paraId="38358633">
      <w:pPr>
        <w:spacing w:line="480" w:lineRule="exact"/>
        <w:ind w:firstLine="480" w:firstLineChars="200"/>
        <w:rPr>
          <w:rFonts w:hint="default" w:ascii="宋体" w:hAnsi="宋体" w:eastAsia="宋体"/>
          <w:sz w:val="24"/>
          <w:szCs w:val="21"/>
          <w:highlight w:val="none"/>
          <w:lang w:val="en-US" w:eastAsia="zh-CN"/>
        </w:rPr>
      </w:pPr>
      <w:r>
        <w:rPr>
          <w:rFonts w:hint="eastAsia" w:ascii="宋体" w:hAnsi="宋体" w:eastAsia="宋体"/>
          <w:sz w:val="24"/>
          <w:szCs w:val="21"/>
          <w:highlight w:val="none"/>
          <w:lang w:eastAsia="zh-CN"/>
        </w:rPr>
        <w:t>（</w:t>
      </w:r>
      <w:r>
        <w:rPr>
          <w:rFonts w:hint="eastAsia" w:ascii="宋体" w:hAnsi="宋体" w:eastAsia="宋体"/>
          <w:sz w:val="24"/>
          <w:szCs w:val="21"/>
          <w:highlight w:val="none"/>
          <w:lang w:val="en-US" w:eastAsia="zh-CN"/>
        </w:rPr>
        <w:t>11）</w:t>
      </w:r>
      <w:r>
        <w:rPr>
          <w:rFonts w:hint="eastAsia" w:ascii="宋体" w:hAnsi="宋体" w:eastAsia="宋体"/>
          <w:sz w:val="24"/>
          <w:szCs w:val="21"/>
          <w:highlight w:val="none"/>
        </w:rPr>
        <w:t>遴选响应人认为其它需要说明情况的有效文件</w:t>
      </w:r>
      <w:r>
        <w:rPr>
          <w:rFonts w:hint="eastAsia" w:ascii="宋体" w:hAnsi="宋体" w:eastAsia="宋体"/>
          <w:sz w:val="24"/>
          <w:szCs w:val="21"/>
          <w:highlight w:val="none"/>
          <w:lang w:eastAsia="zh-CN"/>
        </w:rPr>
        <w:t>。</w:t>
      </w:r>
    </w:p>
    <w:p w14:paraId="0AF176AD">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14:paraId="1780C3C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遴选报价应为人民币全包价（包含项目所有</w:t>
      </w:r>
      <w:r>
        <w:rPr>
          <w:rFonts w:hint="eastAsia" w:ascii="宋体" w:hAnsi="宋体" w:eastAsia="宋体"/>
          <w:sz w:val="24"/>
          <w:szCs w:val="21"/>
          <w:highlight w:val="none"/>
          <w:lang w:val="en-US" w:eastAsia="zh-CN"/>
        </w:rPr>
        <w:t>设备的维修费用、保养费用、人工费用、更换配件费（仅包含主镜配件或备件，设备周边耗材不在本项目维保范围内）、交通费用、管理费用、利润、税金以及合同包含的所有风险、责任等一切费用，供应商必须自行考虑本项目在实施期间的一切可能发生的费用</w:t>
      </w:r>
      <w:r>
        <w:rPr>
          <w:rFonts w:hint="eastAsia" w:ascii="宋体" w:hAnsi="宋体" w:eastAsia="宋体"/>
          <w:sz w:val="24"/>
          <w:szCs w:val="21"/>
          <w:highlight w:val="none"/>
        </w:rPr>
        <w:t>。</w:t>
      </w:r>
    </w:p>
    <w:p w14:paraId="33F403A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w:t>
      </w:r>
      <w:r>
        <w:rPr>
          <w:rFonts w:ascii="宋体" w:hAnsi="宋体" w:eastAsia="宋体"/>
          <w:color w:val="000000" w:themeColor="text1"/>
          <w:sz w:val="24"/>
          <w:szCs w:val="21"/>
          <w:highlight w:val="none"/>
          <w14:textFill>
            <w14:solidFill>
              <w14:schemeClr w14:val="tx1"/>
            </w14:solidFill>
          </w14:textFill>
        </w:rPr>
        <w:t>填写响应内容的总价。</w:t>
      </w:r>
    </w:p>
    <w:p w14:paraId="5188C708">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14:paraId="55B553A1">
      <w:pPr>
        <w:pStyle w:val="5"/>
        <w:keepNext w:val="0"/>
        <w:keepLines w:val="0"/>
        <w:adjustRightInd/>
        <w:spacing w:before="0" w:after="0" w:line="360" w:lineRule="auto"/>
        <w:ind w:firstLine="482" w:firstLineChars="200"/>
        <w:rPr>
          <w:rFonts w:hAnsi="宋体"/>
          <w:sz w:val="24"/>
          <w:szCs w:val="21"/>
          <w:highlight w:val="none"/>
        </w:rPr>
      </w:pPr>
      <w:bookmarkStart w:id="158" w:name="_Toc97112227"/>
      <w:bookmarkStart w:id="159" w:name="_Toc96940316"/>
      <w:bookmarkStart w:id="160" w:name="_Toc110953841"/>
      <w:bookmarkStart w:id="161" w:name="_Toc96934188"/>
      <w:bookmarkStart w:id="162" w:name="_Toc97109976"/>
      <w:r>
        <w:rPr>
          <w:rFonts w:hAnsi="宋体"/>
          <w:sz w:val="24"/>
          <w:szCs w:val="21"/>
          <w:highlight w:val="none"/>
        </w:rPr>
        <w:t>12.响应文件格式</w:t>
      </w:r>
      <w:bookmarkEnd w:id="158"/>
      <w:bookmarkEnd w:id="159"/>
      <w:bookmarkEnd w:id="160"/>
      <w:bookmarkEnd w:id="161"/>
      <w:bookmarkEnd w:id="162"/>
    </w:p>
    <w:p w14:paraId="74C417EA">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57"/>
    <w:p w14:paraId="28BF07DE">
      <w:pPr>
        <w:pStyle w:val="5"/>
        <w:keepNext w:val="0"/>
        <w:keepLines w:val="0"/>
        <w:adjustRightInd/>
        <w:spacing w:before="0" w:after="0" w:line="360" w:lineRule="auto"/>
        <w:ind w:firstLine="482" w:firstLineChars="200"/>
        <w:rPr>
          <w:rFonts w:ascii="Times New Roman"/>
          <w:sz w:val="24"/>
          <w:szCs w:val="21"/>
          <w:highlight w:val="none"/>
        </w:rPr>
      </w:pPr>
      <w:bookmarkStart w:id="163" w:name="_Toc454701382"/>
      <w:bookmarkStart w:id="164" w:name="_Toc467236741"/>
      <w:bookmarkStart w:id="165" w:name="_Toc480020258"/>
      <w:bookmarkStart w:id="166" w:name="_Toc468606030"/>
      <w:bookmarkStart w:id="167" w:name="_Toc110953842"/>
      <w:bookmarkStart w:id="168" w:name="_Toc467987824"/>
      <w:bookmarkStart w:id="169" w:name="_Toc480010709"/>
      <w:bookmarkStart w:id="170" w:name="_Toc458262615"/>
      <w:bookmarkStart w:id="171" w:name="_Toc479991583"/>
      <w:bookmarkStart w:id="172" w:name="_Toc468157537"/>
      <w:bookmarkStart w:id="173" w:name="_Toc480171880"/>
      <w:bookmarkStart w:id="174" w:name="_Toc503758471"/>
      <w:bookmarkStart w:id="175" w:name="_Toc480021054"/>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5225C975">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3D50C114">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3BC7FD40">
      <w:pPr>
        <w:spacing w:line="360" w:lineRule="auto"/>
        <w:ind w:firstLine="480" w:firstLineChars="200"/>
        <w:rPr>
          <w:rFonts w:eastAsia="宋体"/>
          <w:sz w:val="24"/>
          <w:szCs w:val="21"/>
          <w:highlight w:val="none"/>
        </w:rPr>
      </w:pPr>
    </w:p>
    <w:p w14:paraId="140C38A0">
      <w:pPr>
        <w:spacing w:line="360" w:lineRule="auto"/>
        <w:rPr>
          <w:rFonts w:eastAsia="宋体"/>
          <w:sz w:val="24"/>
          <w:szCs w:val="21"/>
          <w:highlight w:val="none"/>
        </w:rPr>
      </w:pPr>
    </w:p>
    <w:bookmarkEnd w:id="141"/>
    <w:bookmarkEnd w:id="142"/>
    <w:bookmarkEnd w:id="143"/>
    <w:bookmarkEnd w:id="144"/>
    <w:bookmarkEnd w:id="145"/>
    <w:p w14:paraId="54422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76" w:name="_Toc184723302"/>
      <w:bookmarkStart w:id="177" w:name="_Toc110953843"/>
      <w:bookmarkStart w:id="178" w:name="_Toc6882679"/>
      <w:bookmarkStart w:id="179" w:name="_Toc102277760"/>
      <w:bookmarkStart w:id="180" w:name="_Toc466786438"/>
      <w:bookmarkStart w:id="181" w:name="_Toc6968691"/>
      <w:bookmarkStart w:id="182" w:name="_Toc507407363"/>
      <w:r>
        <w:rPr>
          <w:rFonts w:ascii="Times New Roman" w:hAnsi="Times New Roman" w:eastAsia="宋体"/>
          <w:sz w:val="24"/>
          <w:szCs w:val="21"/>
          <w:highlight w:val="none"/>
        </w:rPr>
        <w:t>四、响应文件的递交</w:t>
      </w:r>
      <w:bookmarkEnd w:id="176"/>
      <w:bookmarkEnd w:id="177"/>
    </w:p>
    <w:p w14:paraId="1E39FEA6">
      <w:pPr>
        <w:pStyle w:val="5"/>
        <w:keepNext w:val="0"/>
        <w:keepLines w:val="0"/>
        <w:adjustRightInd/>
        <w:spacing w:before="0" w:after="0" w:line="480" w:lineRule="exact"/>
        <w:ind w:firstLine="482" w:firstLineChars="200"/>
        <w:rPr>
          <w:rFonts w:hAnsi="宋体"/>
          <w:sz w:val="24"/>
          <w:szCs w:val="21"/>
          <w:highlight w:val="none"/>
        </w:rPr>
      </w:pPr>
      <w:bookmarkStart w:id="183" w:name="_Toc97112231"/>
      <w:bookmarkStart w:id="184" w:name="_Toc96940320"/>
      <w:bookmarkStart w:id="185" w:name="_Toc96934192"/>
      <w:bookmarkStart w:id="186" w:name="_Toc110953844"/>
      <w:bookmarkStart w:id="187" w:name="_Toc97109980"/>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83"/>
      <w:bookmarkEnd w:id="184"/>
      <w:bookmarkEnd w:id="185"/>
      <w:bookmarkEnd w:id="186"/>
      <w:bookmarkEnd w:id="187"/>
    </w:p>
    <w:p w14:paraId="40E2DD83">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7E06E28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88" w:name="_Hlk65400439"/>
      <w:r>
        <w:rPr>
          <w:rFonts w:ascii="宋体" w:hAnsi="宋体" w:eastAsia="宋体"/>
          <w:sz w:val="24"/>
          <w:szCs w:val="21"/>
          <w:highlight w:val="none"/>
        </w:rPr>
        <w:t>，封条上应注明“</w:t>
      </w:r>
      <w:r>
        <w:rPr>
          <w:rFonts w:ascii="宋体" w:hAnsi="宋体" w:eastAsia="宋体"/>
          <w:b/>
          <w:color w:val="000000" w:themeColor="text1"/>
          <w:sz w:val="24"/>
          <w:szCs w:val="21"/>
          <w:highlight w:val="none"/>
          <w14:textFill>
            <w14:solidFill>
              <w14:schemeClr w14:val="tx1"/>
            </w14:solidFill>
          </w14:textFill>
        </w:rPr>
        <w:t>于202</w:t>
      </w:r>
      <w:r>
        <w:rPr>
          <w:rFonts w:hint="eastAsia" w:ascii="宋体" w:hAnsi="宋体" w:eastAsia="宋体"/>
          <w:b/>
          <w:color w:val="000000" w:themeColor="text1"/>
          <w:sz w:val="24"/>
          <w:szCs w:val="21"/>
          <w:highlight w:val="none"/>
          <w:lang w:val="en-US" w:eastAsia="zh-CN"/>
          <w14:textFill>
            <w14:solidFill>
              <w14:schemeClr w14:val="tx1"/>
            </w14:solidFill>
          </w14:textFill>
        </w:rPr>
        <w:t>6</w:t>
      </w:r>
      <w:r>
        <w:rPr>
          <w:rFonts w:ascii="宋体" w:hAnsi="宋体" w:eastAsia="宋体"/>
          <w:b/>
          <w:color w:val="000000" w:themeColor="text1"/>
          <w:sz w:val="24"/>
          <w:szCs w:val="21"/>
          <w:highlight w:val="none"/>
          <w14:textFill>
            <w14:solidFill>
              <w14:schemeClr w14:val="tx1"/>
            </w14:solidFill>
          </w14:textFill>
        </w:rPr>
        <w:t>年</w:t>
      </w:r>
      <w:r>
        <w:rPr>
          <w:rFonts w:hint="eastAsia" w:ascii="宋体" w:hAnsi="宋体" w:eastAsia="宋体"/>
          <w:b/>
          <w:color w:val="000000" w:themeColor="text1"/>
          <w:sz w:val="24"/>
          <w:szCs w:val="21"/>
          <w:highlight w:val="none"/>
          <w:lang w:val="en-US" w:eastAsia="zh-CN"/>
          <w14:textFill>
            <w14:solidFill>
              <w14:schemeClr w14:val="tx1"/>
            </w14:solidFill>
          </w14:textFill>
        </w:rPr>
        <w:t>1</w:t>
      </w:r>
      <w:r>
        <w:rPr>
          <w:rFonts w:ascii="宋体" w:hAnsi="宋体" w:eastAsia="宋体"/>
          <w:b/>
          <w:color w:val="000000" w:themeColor="text1"/>
          <w:sz w:val="24"/>
          <w:szCs w:val="21"/>
          <w:highlight w:val="none"/>
          <w14:textFill>
            <w14:solidFill>
              <w14:schemeClr w14:val="tx1"/>
            </w14:solidFill>
          </w14:textFill>
        </w:rPr>
        <w:t>月</w:t>
      </w:r>
      <w:r>
        <w:rPr>
          <w:rFonts w:hint="eastAsia" w:ascii="宋体" w:hAnsi="宋体" w:eastAsia="宋体"/>
          <w:b/>
          <w:color w:val="000000" w:themeColor="text1"/>
          <w:sz w:val="24"/>
          <w:szCs w:val="21"/>
          <w:highlight w:val="none"/>
          <w:lang w:val="en-US" w:eastAsia="zh-CN"/>
          <w14:textFill>
            <w14:solidFill>
              <w14:schemeClr w14:val="tx1"/>
            </w14:solidFill>
          </w14:textFill>
        </w:rPr>
        <w:t>15</w:t>
      </w:r>
      <w:r>
        <w:rPr>
          <w:rFonts w:ascii="宋体" w:hAnsi="宋体" w:eastAsia="宋体"/>
          <w:b/>
          <w:color w:val="000000" w:themeColor="text1"/>
          <w:sz w:val="24"/>
          <w:szCs w:val="21"/>
          <w:highlight w:val="none"/>
          <w14:textFill>
            <w14:solidFill>
              <w14:schemeClr w14:val="tx1"/>
            </w14:solidFill>
          </w14:textFill>
        </w:rPr>
        <w:t>日</w:t>
      </w:r>
      <w:r>
        <w:rPr>
          <w:rFonts w:hint="eastAsia" w:ascii="宋体" w:hAnsi="宋体" w:eastAsia="宋体"/>
          <w:b/>
          <w:color w:val="000000" w:themeColor="text1"/>
          <w:sz w:val="24"/>
          <w:szCs w:val="21"/>
          <w:highlight w:val="none"/>
          <w14:textFill>
            <w14:solidFill>
              <w14:schemeClr w14:val="tx1"/>
            </w14:solidFill>
          </w14:textFill>
        </w:rPr>
        <w:t>15</w:t>
      </w:r>
      <w:r>
        <w:rPr>
          <w:rFonts w:ascii="宋体" w:hAnsi="宋体" w:eastAsia="宋体"/>
          <w:b/>
          <w:color w:val="000000" w:themeColor="text1"/>
          <w:sz w:val="24"/>
          <w:szCs w:val="21"/>
          <w:highlight w:val="none"/>
          <w14:textFill>
            <w14:solidFill>
              <w14:schemeClr w14:val="tx1"/>
            </w14:solidFill>
          </w14:textFill>
        </w:rPr>
        <w:t>时</w:t>
      </w:r>
      <w:r>
        <w:rPr>
          <w:rFonts w:hint="eastAsia" w:ascii="宋体" w:hAnsi="宋体" w:eastAsia="宋体"/>
          <w:b/>
          <w:color w:val="000000" w:themeColor="text1"/>
          <w:sz w:val="24"/>
          <w:szCs w:val="21"/>
          <w:highlight w:val="none"/>
          <w14:textFill>
            <w14:solidFill>
              <w14:schemeClr w14:val="tx1"/>
            </w14:solidFill>
          </w14:textFill>
        </w:rPr>
        <w:t>30分</w:t>
      </w:r>
      <w:r>
        <w:rPr>
          <w:rFonts w:ascii="宋体" w:hAnsi="宋体" w:eastAsia="宋体"/>
          <w:b/>
          <w:color w:val="000000" w:themeColor="text1"/>
          <w:sz w:val="24"/>
          <w:szCs w:val="21"/>
          <w:highlight w:val="none"/>
          <w14:textFill>
            <w14:solidFill>
              <w14:schemeClr w14:val="tx1"/>
            </w14:solidFill>
          </w14:textFill>
        </w:rPr>
        <w:t>之前不准启封”</w:t>
      </w:r>
      <w:r>
        <w:rPr>
          <w:rFonts w:ascii="宋体" w:hAnsi="宋体" w:eastAsia="宋体"/>
          <w:color w:val="auto"/>
          <w:sz w:val="24"/>
          <w:szCs w:val="21"/>
          <w:highlight w:val="none"/>
        </w:rPr>
        <w:t>的字</w:t>
      </w:r>
      <w:r>
        <w:rPr>
          <w:rFonts w:ascii="宋体" w:hAnsi="宋体" w:eastAsia="宋体"/>
          <w:sz w:val="24"/>
          <w:szCs w:val="21"/>
          <w:highlight w:val="none"/>
        </w:rPr>
        <w:t>样，并加盖骑缝章（公章）。</w:t>
      </w:r>
      <w:bookmarkEnd w:id="188"/>
    </w:p>
    <w:p w14:paraId="171B00A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37B5FF2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14:paraId="46D51A22">
      <w:pPr>
        <w:pStyle w:val="5"/>
        <w:keepNext w:val="0"/>
        <w:keepLines w:val="0"/>
        <w:adjustRightInd/>
        <w:spacing w:before="0" w:after="0" w:line="480" w:lineRule="exact"/>
        <w:ind w:firstLine="482" w:firstLineChars="200"/>
        <w:rPr>
          <w:rFonts w:hAnsi="宋体"/>
          <w:sz w:val="24"/>
          <w:szCs w:val="21"/>
          <w:highlight w:val="none"/>
        </w:rPr>
      </w:pPr>
      <w:bookmarkStart w:id="189" w:name="_Toc96940321"/>
      <w:bookmarkStart w:id="190" w:name="_Toc110953845"/>
      <w:bookmarkStart w:id="191" w:name="_Toc97112232"/>
      <w:bookmarkStart w:id="192" w:name="_Toc96934193"/>
      <w:bookmarkStart w:id="193" w:name="_Toc97109981"/>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89"/>
      <w:bookmarkEnd w:id="190"/>
      <w:bookmarkEnd w:id="191"/>
      <w:bookmarkEnd w:id="192"/>
      <w:bookmarkEnd w:id="193"/>
    </w:p>
    <w:p w14:paraId="0832A8A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14:paraId="6BB3263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w:t>
      </w:r>
      <w:r>
        <w:rPr>
          <w:rFonts w:hint="eastAsia" w:ascii="宋体" w:hAnsi="宋体" w:eastAsia="宋体"/>
          <w:color w:val="000000" w:themeColor="text1"/>
          <w:sz w:val="24"/>
          <w:szCs w:val="21"/>
          <w:highlight w:val="none"/>
          <w14:textFill>
            <w14:solidFill>
              <w14:schemeClr w14:val="tx1"/>
            </w14:solidFill>
          </w14:textFill>
        </w:rPr>
        <w:t>时间</w:t>
      </w:r>
      <w:r>
        <w:rPr>
          <w:rFonts w:ascii="宋体" w:hAnsi="宋体" w:eastAsia="宋体"/>
          <w:color w:val="000000" w:themeColor="text1"/>
          <w:sz w:val="24"/>
          <w:szCs w:val="21"/>
          <w:highlight w:val="none"/>
          <w14:textFill>
            <w14:solidFill>
              <w14:schemeClr w14:val="tx1"/>
            </w14:solidFill>
          </w14:textFill>
        </w:rPr>
        <w:t>：</w:t>
      </w:r>
      <w:r>
        <w:rPr>
          <w:rFonts w:hint="eastAsia" w:ascii="宋体" w:hAnsi="宋体" w:eastAsia="宋体"/>
          <w:color w:val="000000" w:themeColor="text1"/>
          <w:sz w:val="24"/>
          <w:szCs w:val="21"/>
          <w:highlight w:val="none"/>
          <w14:textFill>
            <w14:solidFill>
              <w14:schemeClr w14:val="tx1"/>
            </w14:solidFill>
          </w14:textFill>
        </w:rPr>
        <w:t>202</w:t>
      </w:r>
      <w:r>
        <w:rPr>
          <w:rFonts w:hint="eastAsia" w:ascii="宋体" w:hAnsi="宋体" w:eastAsia="宋体"/>
          <w:color w:val="000000" w:themeColor="text1"/>
          <w:sz w:val="24"/>
          <w:szCs w:val="21"/>
          <w:highlight w:val="none"/>
          <w:lang w:val="en-US" w:eastAsia="zh-CN"/>
          <w14:textFill>
            <w14:solidFill>
              <w14:schemeClr w14:val="tx1"/>
            </w14:solidFill>
          </w14:textFill>
        </w:rPr>
        <w:t>6</w:t>
      </w:r>
      <w:r>
        <w:rPr>
          <w:rFonts w:hint="eastAsia" w:ascii="宋体" w:hAnsi="宋体" w:eastAsia="宋体"/>
          <w:color w:val="000000" w:themeColor="text1"/>
          <w:sz w:val="24"/>
          <w:szCs w:val="21"/>
          <w:highlight w:val="none"/>
          <w14:textFill>
            <w14:solidFill>
              <w14:schemeClr w14:val="tx1"/>
            </w14:solidFill>
          </w14:textFill>
        </w:rPr>
        <w:t>年</w:t>
      </w:r>
      <w:r>
        <w:rPr>
          <w:rFonts w:hint="eastAsia" w:ascii="宋体" w:hAnsi="宋体" w:eastAsia="宋体"/>
          <w:color w:val="000000" w:themeColor="text1"/>
          <w:sz w:val="24"/>
          <w:szCs w:val="21"/>
          <w:highlight w:val="none"/>
          <w:lang w:val="en-US" w:eastAsia="zh-CN"/>
          <w14:textFill>
            <w14:solidFill>
              <w14:schemeClr w14:val="tx1"/>
            </w14:solidFill>
          </w14:textFill>
        </w:rPr>
        <w:t>1</w:t>
      </w:r>
      <w:r>
        <w:rPr>
          <w:rFonts w:ascii="宋体" w:hAnsi="宋体" w:eastAsia="宋体"/>
          <w:color w:val="000000" w:themeColor="text1"/>
          <w:sz w:val="24"/>
          <w:szCs w:val="21"/>
          <w:highlight w:val="none"/>
          <w14:textFill>
            <w14:solidFill>
              <w14:schemeClr w14:val="tx1"/>
            </w14:solidFill>
          </w14:textFill>
        </w:rPr>
        <w:t>月</w:t>
      </w:r>
      <w:r>
        <w:rPr>
          <w:rFonts w:hint="eastAsia" w:ascii="宋体" w:hAnsi="宋体" w:eastAsia="宋体"/>
          <w:color w:val="000000" w:themeColor="text1"/>
          <w:sz w:val="24"/>
          <w:szCs w:val="21"/>
          <w:highlight w:val="none"/>
          <w:lang w:val="en-US" w:eastAsia="zh-CN"/>
          <w14:textFill>
            <w14:solidFill>
              <w14:schemeClr w14:val="tx1"/>
            </w14:solidFill>
          </w14:textFill>
        </w:rPr>
        <w:t>15</w:t>
      </w:r>
      <w:r>
        <w:rPr>
          <w:rFonts w:ascii="宋体" w:hAnsi="宋体" w:eastAsia="宋体"/>
          <w:color w:val="000000" w:themeColor="text1"/>
          <w:sz w:val="24"/>
          <w:szCs w:val="21"/>
          <w:highlight w:val="none"/>
          <w14:textFill>
            <w14:solidFill>
              <w14:schemeClr w14:val="tx1"/>
            </w14:solidFill>
          </w14:textFill>
        </w:rPr>
        <w:t>日</w:t>
      </w:r>
      <w:r>
        <w:rPr>
          <w:rFonts w:hint="eastAsia" w:ascii="宋体" w:hAnsi="宋体" w:eastAsia="宋体"/>
          <w:color w:val="000000" w:themeColor="text1"/>
          <w:sz w:val="24"/>
          <w:szCs w:val="21"/>
          <w:highlight w:val="none"/>
          <w14:textFill>
            <w14:solidFill>
              <w14:schemeClr w14:val="tx1"/>
            </w14:solidFill>
          </w14:textFill>
        </w:rPr>
        <w:t>14：30-15：30（北京时间）。</w:t>
      </w:r>
      <w:r>
        <w:rPr>
          <w:rFonts w:hint="eastAsia" w:ascii="宋体" w:hAnsi="宋体" w:eastAsia="宋体"/>
          <w:sz w:val="24"/>
          <w:szCs w:val="21"/>
          <w:highlight w:val="none"/>
        </w:rPr>
        <w:t>提前、逾期递交或不符合规定的响应文件恕不接受。</w:t>
      </w:r>
    </w:p>
    <w:p w14:paraId="0A16EDD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14:paraId="53D3D35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2883323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23E5F75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0BF95276">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21A7BB7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14:paraId="1E19710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取消投标资格</w:t>
      </w:r>
      <w:r>
        <w:rPr>
          <w:rFonts w:ascii="宋体" w:hAnsi="宋体" w:eastAsia="宋体"/>
          <w:sz w:val="24"/>
          <w:szCs w:val="21"/>
          <w:highlight w:val="none"/>
        </w:rPr>
        <w:t>。</w:t>
      </w:r>
    </w:p>
    <w:bookmarkEnd w:id="101"/>
    <w:bookmarkEnd w:id="102"/>
    <w:bookmarkEnd w:id="103"/>
    <w:bookmarkEnd w:id="104"/>
    <w:bookmarkEnd w:id="105"/>
    <w:bookmarkEnd w:id="106"/>
    <w:bookmarkEnd w:id="107"/>
    <w:bookmarkEnd w:id="108"/>
    <w:bookmarkEnd w:id="109"/>
    <w:bookmarkEnd w:id="110"/>
    <w:bookmarkEnd w:id="111"/>
    <w:bookmarkEnd w:id="178"/>
    <w:bookmarkEnd w:id="179"/>
    <w:bookmarkEnd w:id="180"/>
    <w:bookmarkEnd w:id="181"/>
    <w:bookmarkEnd w:id="182"/>
    <w:p w14:paraId="1C6CCD34">
      <w:pPr>
        <w:rPr>
          <w:sz w:val="36"/>
          <w:szCs w:val="28"/>
          <w:highlight w:val="none"/>
        </w:rPr>
      </w:pPr>
      <w:bookmarkStart w:id="194" w:name="_Toc52021538"/>
      <w:bookmarkStart w:id="195" w:name="_Toc52027926"/>
      <w:bookmarkStart w:id="196" w:name="_Toc51756491"/>
      <w:bookmarkStart w:id="197" w:name="_Toc51939456"/>
      <w:bookmarkStart w:id="198" w:name="_Toc56353011"/>
      <w:bookmarkStart w:id="199" w:name="_Toc467236766"/>
      <w:bookmarkStart w:id="200" w:name="_Toc467049706"/>
      <w:bookmarkStart w:id="201" w:name="_Toc476976198"/>
      <w:bookmarkStart w:id="202" w:name="_Toc486671570"/>
      <w:bookmarkStart w:id="203" w:name="_Toc457975339"/>
      <w:bookmarkStart w:id="204" w:name="_Toc467050236"/>
      <w:r>
        <w:rPr>
          <w:sz w:val="36"/>
          <w:szCs w:val="28"/>
          <w:highlight w:val="none"/>
        </w:rPr>
        <w:br w:type="page"/>
      </w:r>
    </w:p>
    <w:p w14:paraId="0C088C4F">
      <w:pPr>
        <w:pStyle w:val="2"/>
        <w:keepNext w:val="0"/>
        <w:keepLines w:val="0"/>
        <w:numPr>
          <w:ilvl w:val="0"/>
          <w:numId w:val="0"/>
        </w:numPr>
        <w:spacing w:before="0" w:after="0" w:line="360" w:lineRule="auto"/>
        <w:jc w:val="center"/>
        <w:rPr>
          <w:rFonts w:hint="eastAsia" w:ascii="Times New Roman"/>
          <w:sz w:val="36"/>
          <w:szCs w:val="28"/>
          <w:highlight w:val="none"/>
        </w:rPr>
      </w:pPr>
      <w:bookmarkStart w:id="205" w:name="_Toc184723303"/>
      <w:r>
        <w:rPr>
          <w:rFonts w:hint="eastAsia" w:ascii="Times New Roman" w:hAnsi="Times New Roman" w:eastAsia="宋体" w:cs="Times New Roman"/>
          <w:b/>
          <w:kern w:val="44"/>
          <w:sz w:val="36"/>
          <w:szCs w:val="28"/>
          <w:lang w:val="en-US" w:eastAsia="zh-CN" w:bidi="ar-SA"/>
        </w:rPr>
        <w:t>第四部分</w:t>
      </w:r>
      <w:r>
        <w:rPr>
          <w:rFonts w:hint="eastAsia" w:ascii="Times New Roman" w:cs="Times New Roman"/>
          <w:b/>
          <w:kern w:val="44"/>
          <w:sz w:val="36"/>
          <w:szCs w:val="28"/>
          <w:lang w:val="en-US" w:eastAsia="zh-CN" w:bidi="ar-SA"/>
        </w:rPr>
        <w:t xml:space="preserve">  </w:t>
      </w:r>
      <w:r>
        <w:rPr>
          <w:rFonts w:hint="eastAsia" w:ascii="Times New Roman"/>
          <w:sz w:val="36"/>
          <w:szCs w:val="28"/>
          <w:highlight w:val="none"/>
        </w:rPr>
        <w:t>评审办法</w:t>
      </w:r>
      <w:bookmarkEnd w:id="205"/>
    </w:p>
    <w:p w14:paraId="7F142141">
      <w:pPr>
        <w:pStyle w:val="17"/>
        <w:spacing w:line="240" w:lineRule="auto"/>
        <w:jc w:val="left"/>
        <w:outlineLvl w:val="1"/>
      </w:pPr>
      <w:r>
        <w:rPr>
          <w:rFonts w:hint="eastAsia" w:ascii="Times New Roman" w:eastAsia="宋体"/>
          <w:b/>
          <w:sz w:val="24"/>
          <w:szCs w:val="21"/>
          <w:highlight w:val="none"/>
        </w:rPr>
        <w:t>一、资格性审查、符合性审查。</w:t>
      </w:r>
    </w:p>
    <w:tbl>
      <w:tblPr>
        <w:tblStyle w:val="42"/>
        <w:tblpPr w:leftFromText="180" w:rightFromText="180" w:vertAnchor="text" w:horzAnchor="page" w:tblpX="1637" w:tblpY="445"/>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2FC5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65" w:type="dxa"/>
            <w:vAlign w:val="center"/>
          </w:tcPr>
          <w:p w14:paraId="251C7C71">
            <w:pPr>
              <w:pStyle w:val="91"/>
              <w:spacing w:beforeLines="50" w:afterLines="50" w:line="360" w:lineRule="auto"/>
              <w:ind w:firstLine="0" w:firstLineChars="0"/>
              <w:jc w:val="center"/>
              <w:rPr>
                <w:rFonts w:ascii="Times New Roman" w:hAnsi="Times New Roman"/>
                <w:b/>
                <w:bCs/>
                <w:sz w:val="24"/>
                <w:highlight w:val="none"/>
              </w:rPr>
            </w:pPr>
            <w:bookmarkStart w:id="206" w:name="_Toc184723304"/>
            <w:r>
              <w:rPr>
                <w:rFonts w:hint="eastAsia" w:ascii="Times New Roman" w:hAnsi="Times New Roman"/>
                <w:b/>
                <w:bCs/>
                <w:sz w:val="24"/>
                <w:highlight w:val="none"/>
              </w:rPr>
              <w:t>审查项目</w:t>
            </w:r>
          </w:p>
        </w:tc>
        <w:tc>
          <w:tcPr>
            <w:tcW w:w="6110" w:type="dxa"/>
            <w:vAlign w:val="center"/>
          </w:tcPr>
          <w:p w14:paraId="2F77C460">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Pr>
          <w:p w14:paraId="16CF9872">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4912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465" w:type="dxa"/>
            <w:vMerge w:val="restart"/>
            <w:vAlign w:val="center"/>
          </w:tcPr>
          <w:p w14:paraId="43F9BE9A">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vAlign w:val="center"/>
          </w:tcPr>
          <w:p w14:paraId="2A8B2487">
            <w:pPr>
              <w:bidi w:val="0"/>
              <w:jc w:val="both"/>
              <w:rPr>
                <w:rFonts w:hint="eastAsia" w:ascii="宋体" w:hAnsi="宋体" w:eastAsia="宋体" w:cs="宋体"/>
                <w:bCs/>
                <w:color w:val="auto"/>
                <w:highlight w:val="none"/>
              </w:rPr>
            </w:pPr>
            <w:r>
              <w:rPr>
                <w:rFonts w:hint="eastAsia" w:ascii="宋体" w:hAnsi="宋体" w:eastAsia="宋体" w:cs="宋体"/>
                <w:color w:val="auto"/>
                <w:sz w:val="24"/>
                <w:szCs w:val="16"/>
              </w:rPr>
              <w:t>1.有效的营业执照（或事业法人登记证或身份证等相关证明）。</w:t>
            </w:r>
          </w:p>
        </w:tc>
        <w:tc>
          <w:tcPr>
            <w:tcW w:w="1275" w:type="dxa"/>
            <w:vAlign w:val="center"/>
          </w:tcPr>
          <w:p w14:paraId="614E3753">
            <w:pPr>
              <w:pStyle w:val="91"/>
              <w:adjustRightInd w:val="0"/>
              <w:snapToGrid w:val="0"/>
              <w:spacing w:line="360" w:lineRule="auto"/>
              <w:ind w:firstLine="0" w:firstLineChars="0"/>
              <w:jc w:val="left"/>
              <w:rPr>
                <w:rFonts w:ascii="Times New Roman" w:hAnsi="Times New Roman"/>
                <w:bCs/>
                <w:sz w:val="24"/>
                <w:highlight w:val="none"/>
              </w:rPr>
            </w:pPr>
          </w:p>
        </w:tc>
      </w:tr>
      <w:tr w14:paraId="5738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465" w:type="dxa"/>
            <w:vMerge w:val="continue"/>
            <w:vAlign w:val="center"/>
          </w:tcPr>
          <w:p w14:paraId="22D08410">
            <w:pPr>
              <w:widowControl/>
              <w:spacing w:line="360" w:lineRule="auto"/>
              <w:rPr>
                <w:rFonts w:eastAsia="宋体"/>
                <w:bCs/>
                <w:sz w:val="24"/>
                <w:szCs w:val="22"/>
                <w:highlight w:val="none"/>
              </w:rPr>
            </w:pPr>
          </w:p>
        </w:tc>
        <w:tc>
          <w:tcPr>
            <w:tcW w:w="6110" w:type="dxa"/>
            <w:vAlign w:val="center"/>
          </w:tcPr>
          <w:p w14:paraId="0D819CEC">
            <w:pPr>
              <w:adjustRightInd w:val="0"/>
              <w:snapToGrid w:val="0"/>
              <w:spacing w:line="24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2.供应商应具备履行合同所</w:t>
            </w:r>
            <w:r>
              <w:rPr>
                <w:rFonts w:hint="eastAsia" w:ascii="宋体" w:hAnsi="宋体" w:eastAsia="宋体" w:cs="宋体"/>
                <w:color w:val="auto"/>
                <w:sz w:val="24"/>
                <w:szCs w:val="21"/>
                <w:highlight w:val="none"/>
              </w:rPr>
              <w:t>必需的设备和专业技术能力</w:t>
            </w:r>
            <w:r>
              <w:rPr>
                <w:rFonts w:hint="eastAsia" w:ascii="宋体" w:hAnsi="宋体" w:eastAsia="宋体" w:cs="宋体"/>
                <w:color w:val="auto"/>
                <w:sz w:val="24"/>
                <w:szCs w:val="21"/>
                <w:highlight w:val="none"/>
                <w:lang w:val="en-US" w:eastAsia="zh-CN"/>
              </w:rPr>
              <w:t>（提供承诺函）</w:t>
            </w:r>
          </w:p>
        </w:tc>
        <w:tc>
          <w:tcPr>
            <w:tcW w:w="1275" w:type="dxa"/>
            <w:vAlign w:val="center"/>
          </w:tcPr>
          <w:p w14:paraId="3A3EBEB9">
            <w:pPr>
              <w:adjustRightInd w:val="0"/>
              <w:snapToGrid w:val="0"/>
              <w:spacing w:line="360" w:lineRule="auto"/>
              <w:jc w:val="left"/>
              <w:rPr>
                <w:rFonts w:eastAsia="宋体"/>
                <w:sz w:val="24"/>
                <w:szCs w:val="21"/>
                <w:highlight w:val="none"/>
              </w:rPr>
            </w:pPr>
          </w:p>
        </w:tc>
      </w:tr>
      <w:tr w14:paraId="15C8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65" w:type="dxa"/>
            <w:vMerge w:val="continue"/>
            <w:vAlign w:val="center"/>
          </w:tcPr>
          <w:p w14:paraId="4CB8F6BE">
            <w:pPr>
              <w:widowControl/>
              <w:spacing w:line="360" w:lineRule="auto"/>
              <w:rPr>
                <w:rFonts w:eastAsia="宋体"/>
                <w:bCs/>
                <w:sz w:val="24"/>
                <w:szCs w:val="22"/>
                <w:highlight w:val="none"/>
              </w:rPr>
            </w:pPr>
          </w:p>
        </w:tc>
        <w:tc>
          <w:tcPr>
            <w:tcW w:w="6110" w:type="dxa"/>
            <w:vAlign w:val="center"/>
          </w:tcPr>
          <w:p w14:paraId="776EF1A0">
            <w:pPr>
              <w:adjustRightInd w:val="0"/>
              <w:snapToGrid w:val="0"/>
              <w:spacing w:line="24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w:t>
            </w:r>
            <w:r>
              <w:rPr>
                <w:rFonts w:hint="eastAsia" w:ascii="宋体" w:hAnsi="宋体" w:eastAsia="宋体" w:cs="宋体"/>
                <w:bCs/>
                <w:color w:val="auto"/>
                <w:sz w:val="24"/>
                <w:szCs w:val="21"/>
                <w:highlight w:val="none"/>
              </w:rPr>
              <w:t>本次遴选不接受联合体遴选响应</w:t>
            </w:r>
            <w:r>
              <w:rPr>
                <w:rFonts w:hint="eastAsia" w:ascii="宋体" w:hAnsi="宋体" w:eastAsia="宋体" w:cs="宋体"/>
                <w:color w:val="auto"/>
                <w:sz w:val="24"/>
                <w:szCs w:val="21"/>
                <w:highlight w:val="none"/>
              </w:rPr>
              <w:t>。</w:t>
            </w:r>
          </w:p>
        </w:tc>
        <w:tc>
          <w:tcPr>
            <w:tcW w:w="1275" w:type="dxa"/>
            <w:vAlign w:val="center"/>
          </w:tcPr>
          <w:p w14:paraId="7D8E3494">
            <w:pPr>
              <w:adjustRightInd w:val="0"/>
              <w:snapToGrid w:val="0"/>
              <w:spacing w:line="360" w:lineRule="auto"/>
              <w:jc w:val="left"/>
              <w:rPr>
                <w:rFonts w:eastAsia="宋体"/>
                <w:sz w:val="24"/>
                <w:szCs w:val="21"/>
                <w:highlight w:val="none"/>
              </w:rPr>
            </w:pPr>
          </w:p>
        </w:tc>
      </w:tr>
      <w:tr w14:paraId="26B4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65" w:type="dxa"/>
            <w:vMerge w:val="restart"/>
            <w:vAlign w:val="center"/>
          </w:tcPr>
          <w:p w14:paraId="4F2D4319">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vAlign w:val="center"/>
          </w:tcPr>
          <w:p w14:paraId="79AA2581">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1.响应文件资料完整，打印、盖章、签字等情况符合要求。</w:t>
            </w:r>
          </w:p>
        </w:tc>
        <w:tc>
          <w:tcPr>
            <w:tcW w:w="1275" w:type="dxa"/>
            <w:vAlign w:val="center"/>
          </w:tcPr>
          <w:p w14:paraId="32409C0E">
            <w:pPr>
              <w:pStyle w:val="91"/>
              <w:adjustRightInd w:val="0"/>
              <w:snapToGrid w:val="0"/>
              <w:spacing w:line="360" w:lineRule="auto"/>
              <w:ind w:firstLine="0" w:firstLineChars="0"/>
              <w:jc w:val="left"/>
              <w:rPr>
                <w:rFonts w:ascii="Times New Roman" w:hAnsi="Times New Roman"/>
                <w:bCs/>
                <w:sz w:val="24"/>
                <w:highlight w:val="none"/>
              </w:rPr>
            </w:pPr>
          </w:p>
        </w:tc>
      </w:tr>
      <w:tr w14:paraId="4A90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65" w:type="dxa"/>
            <w:vMerge w:val="continue"/>
            <w:vAlign w:val="center"/>
          </w:tcPr>
          <w:p w14:paraId="35E62CD7">
            <w:pPr>
              <w:widowControl/>
              <w:spacing w:line="360" w:lineRule="auto"/>
              <w:rPr>
                <w:rFonts w:eastAsia="宋体"/>
                <w:bCs/>
                <w:sz w:val="24"/>
                <w:szCs w:val="22"/>
                <w:highlight w:val="none"/>
              </w:rPr>
            </w:pPr>
          </w:p>
        </w:tc>
        <w:tc>
          <w:tcPr>
            <w:tcW w:w="6110" w:type="dxa"/>
            <w:vAlign w:val="center"/>
          </w:tcPr>
          <w:p w14:paraId="7C623649">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2.有效的法定代表人／授权委托书。</w:t>
            </w:r>
          </w:p>
        </w:tc>
        <w:tc>
          <w:tcPr>
            <w:tcW w:w="1275" w:type="dxa"/>
            <w:vAlign w:val="center"/>
          </w:tcPr>
          <w:p w14:paraId="1DF8007F">
            <w:pPr>
              <w:pStyle w:val="91"/>
              <w:adjustRightInd w:val="0"/>
              <w:snapToGrid w:val="0"/>
              <w:spacing w:line="360" w:lineRule="auto"/>
              <w:ind w:firstLine="0" w:firstLineChars="0"/>
              <w:jc w:val="left"/>
              <w:rPr>
                <w:rFonts w:ascii="Times New Roman" w:hAnsi="Times New Roman"/>
                <w:bCs/>
                <w:sz w:val="24"/>
                <w:highlight w:val="none"/>
              </w:rPr>
            </w:pPr>
          </w:p>
        </w:tc>
      </w:tr>
      <w:tr w14:paraId="49FF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465" w:type="dxa"/>
            <w:vMerge w:val="continue"/>
            <w:vAlign w:val="center"/>
          </w:tcPr>
          <w:p w14:paraId="3D2BC18F">
            <w:pPr>
              <w:widowControl/>
              <w:spacing w:line="360" w:lineRule="auto"/>
              <w:rPr>
                <w:rFonts w:eastAsia="宋体"/>
                <w:bCs/>
                <w:sz w:val="24"/>
                <w:szCs w:val="22"/>
                <w:highlight w:val="none"/>
              </w:rPr>
            </w:pPr>
          </w:p>
        </w:tc>
        <w:tc>
          <w:tcPr>
            <w:tcW w:w="6110" w:type="dxa"/>
            <w:vAlign w:val="center"/>
          </w:tcPr>
          <w:p w14:paraId="00B08993">
            <w:pPr>
              <w:pStyle w:val="93"/>
              <w:kinsoku w:val="0"/>
              <w:overflowPunct w:val="0"/>
              <w:spacing w:line="240" w:lineRule="auto"/>
              <w:jc w:val="both"/>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.报价总金额未超过本项目采购项目预算</w:t>
            </w:r>
            <w:r>
              <w:rPr>
                <w:rFonts w:hint="eastAsia" w:ascii="宋体" w:hAnsi="宋体" w:cs="宋体"/>
                <w:color w:val="auto"/>
                <w:highlight w:val="none"/>
                <w:lang w:eastAsia="zh-CN"/>
              </w:rPr>
              <w:t>。</w:t>
            </w:r>
          </w:p>
        </w:tc>
        <w:tc>
          <w:tcPr>
            <w:tcW w:w="1275" w:type="dxa"/>
            <w:vAlign w:val="center"/>
          </w:tcPr>
          <w:p w14:paraId="785A7531">
            <w:pPr>
              <w:pStyle w:val="91"/>
              <w:adjustRightInd w:val="0"/>
              <w:snapToGrid w:val="0"/>
              <w:spacing w:line="360" w:lineRule="auto"/>
              <w:ind w:firstLine="0" w:firstLineChars="0"/>
              <w:jc w:val="left"/>
              <w:rPr>
                <w:rFonts w:ascii="Times New Roman" w:hAnsi="Times New Roman"/>
                <w:bCs/>
                <w:color w:val="FF0000"/>
                <w:sz w:val="24"/>
                <w:highlight w:val="none"/>
              </w:rPr>
            </w:pPr>
          </w:p>
        </w:tc>
      </w:tr>
      <w:bookmarkEnd w:id="206"/>
    </w:tbl>
    <w:p w14:paraId="39E77E0B">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14:paraId="4D0C01A6">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委认为通过初审的响应文件（少数服从多数），为有效响应文件，否则视为不通过。通过初审的响应文件方可进入遴选程序，视为不通过的响应文件，作无效投标处理，由评标委员会出具书面说明。</w:t>
      </w:r>
    </w:p>
    <w:p w14:paraId="563D9C1D">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14:paraId="22682BEC">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14:paraId="04D043D0">
      <w:pPr>
        <w:tabs>
          <w:tab w:val="left" w:pos="1365"/>
          <w:tab w:val="left" w:pos="1470"/>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.2当单价和数量的乘积与总价不一致时，以单价为准，并修正总价，但单价金额小数点有明显错误的除外</w:t>
      </w:r>
      <w:r>
        <w:rPr>
          <w:rFonts w:hint="eastAsia" w:eastAsia="宋体"/>
          <w:sz w:val="24"/>
          <w:szCs w:val="21"/>
          <w:highlight w:val="none"/>
        </w:rPr>
        <w:t>。</w:t>
      </w:r>
    </w:p>
    <w:p w14:paraId="302C4156">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.3当分项之和与总价不一致时，以单价为准，并修正总价。</w:t>
      </w:r>
    </w:p>
    <w:p w14:paraId="6B83E59C">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66117914">
      <w:pPr>
        <w:tabs>
          <w:tab w:val="left" w:pos="1245"/>
        </w:tabs>
        <w:spacing w:line="360" w:lineRule="auto"/>
        <w:outlineLvl w:val="2"/>
        <w:rPr>
          <w:rFonts w:hint="eastAsia" w:eastAsia="宋体"/>
          <w:b/>
          <w:sz w:val="24"/>
          <w:szCs w:val="21"/>
          <w:highlight w:val="none"/>
        </w:rPr>
      </w:pPr>
    </w:p>
    <w:p w14:paraId="39A82034">
      <w:pPr>
        <w:tabs>
          <w:tab w:val="left" w:pos="1245"/>
        </w:tabs>
        <w:spacing w:line="360" w:lineRule="auto"/>
        <w:outlineLvl w:val="2"/>
        <w:rPr>
          <w:rFonts w:hint="eastAsia" w:ascii="宋体" w:hAnsi="宋体" w:eastAsia="宋体" w:cs="宋体"/>
          <w:sz w:val="21"/>
          <w:szCs w:val="21"/>
          <w:highlight w:val="none"/>
          <w:lang w:val="zh-TW" w:eastAsia="zh-TW"/>
        </w:rPr>
      </w:pPr>
      <w:r>
        <w:rPr>
          <w:rFonts w:hint="eastAsia" w:eastAsia="宋体"/>
          <w:b/>
          <w:sz w:val="24"/>
          <w:szCs w:val="21"/>
          <w:highlight w:val="none"/>
        </w:rPr>
        <w:t>二、详细评审</w:t>
      </w:r>
    </w:p>
    <w:tbl>
      <w:tblPr>
        <w:tblStyle w:val="42"/>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754"/>
        <w:gridCol w:w="1086"/>
        <w:gridCol w:w="805"/>
        <w:gridCol w:w="5171"/>
        <w:gridCol w:w="732"/>
      </w:tblGrid>
      <w:tr w14:paraId="39B7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754" w:type="dxa"/>
            <w:vAlign w:val="center"/>
          </w:tcPr>
          <w:p w14:paraId="379A4122">
            <w:pPr>
              <w:snapToGrid w:val="0"/>
              <w:spacing w:line="44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类别</w:t>
            </w:r>
          </w:p>
        </w:tc>
        <w:tc>
          <w:tcPr>
            <w:tcW w:w="1086" w:type="dxa"/>
            <w:vAlign w:val="center"/>
          </w:tcPr>
          <w:p w14:paraId="30ECE173">
            <w:pPr>
              <w:snapToGrid w:val="0"/>
              <w:spacing w:line="44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计分因素</w:t>
            </w:r>
          </w:p>
        </w:tc>
        <w:tc>
          <w:tcPr>
            <w:tcW w:w="805" w:type="dxa"/>
            <w:vAlign w:val="center"/>
          </w:tcPr>
          <w:p w14:paraId="34262BD2">
            <w:pPr>
              <w:snapToGrid w:val="0"/>
              <w:spacing w:line="44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分值</w:t>
            </w:r>
          </w:p>
        </w:tc>
        <w:tc>
          <w:tcPr>
            <w:tcW w:w="5171" w:type="dxa"/>
            <w:vAlign w:val="center"/>
          </w:tcPr>
          <w:p w14:paraId="50DBA691">
            <w:pPr>
              <w:snapToGrid w:val="0"/>
              <w:spacing w:line="44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评分标准</w:t>
            </w:r>
          </w:p>
        </w:tc>
        <w:tc>
          <w:tcPr>
            <w:tcW w:w="732" w:type="dxa"/>
            <w:vAlign w:val="center"/>
          </w:tcPr>
          <w:p w14:paraId="3404B955">
            <w:pPr>
              <w:snapToGrid w:val="0"/>
              <w:spacing w:line="44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评分</w:t>
            </w:r>
          </w:p>
        </w:tc>
      </w:tr>
      <w:tr w14:paraId="2996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54" w:type="dxa"/>
            <w:vAlign w:val="center"/>
          </w:tcPr>
          <w:p w14:paraId="04132F7E">
            <w:pPr>
              <w:snapToGrid w:val="0"/>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1086" w:type="dxa"/>
            <w:vAlign w:val="center"/>
          </w:tcPr>
          <w:p w14:paraId="56E38151">
            <w:pPr>
              <w:snapToGrid w:val="0"/>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05" w:type="dxa"/>
            <w:vAlign w:val="center"/>
          </w:tcPr>
          <w:p w14:paraId="58D98B34">
            <w:pPr>
              <w:snapToGrid w:val="0"/>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5171" w:type="dxa"/>
            <w:vAlign w:val="center"/>
          </w:tcPr>
          <w:p w14:paraId="3D381D40">
            <w:pPr>
              <w:snapToGrid w:val="0"/>
              <w:spacing w:line="320" w:lineRule="exact"/>
              <w:ind w:right="150" w:rightChars="50"/>
              <w:jc w:val="left"/>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商务部分：</w:t>
            </w:r>
            <w:r>
              <w:rPr>
                <w:rFonts w:hint="eastAsia" w:ascii="宋体" w:hAnsi="宋体" w:eastAsia="宋体"/>
                <w:color w:val="000000" w:themeColor="text1"/>
                <w:sz w:val="21"/>
                <w:szCs w:val="21"/>
                <w:highlight w:val="none"/>
                <w:lang w:val="en-US" w:eastAsia="zh-CN"/>
                <w14:textFill>
                  <w14:solidFill>
                    <w14:schemeClr w14:val="tx1"/>
                  </w14:solidFill>
                </w14:textFill>
              </w:rPr>
              <w:t>40</w:t>
            </w:r>
            <w:r>
              <w:rPr>
                <w:rFonts w:hint="eastAsia" w:ascii="宋体" w:hAnsi="宋体" w:eastAsia="宋体"/>
                <w:color w:val="000000" w:themeColor="text1"/>
                <w:sz w:val="21"/>
                <w:szCs w:val="21"/>
                <w:highlight w:val="none"/>
                <w14:textFill>
                  <w14:solidFill>
                    <w14:schemeClr w14:val="tx1"/>
                  </w14:solidFill>
                </w14:textFill>
              </w:rPr>
              <w:t>分     技术部分：</w:t>
            </w:r>
            <w:r>
              <w:rPr>
                <w:rFonts w:hint="eastAsia" w:ascii="宋体" w:hAnsi="宋体" w:eastAsia="宋体"/>
                <w:color w:val="000000" w:themeColor="text1"/>
                <w:sz w:val="21"/>
                <w:szCs w:val="21"/>
                <w:highlight w:val="none"/>
                <w:lang w:val="en-US" w:eastAsia="zh-CN"/>
                <w14:textFill>
                  <w14:solidFill>
                    <w14:schemeClr w14:val="tx1"/>
                  </w14:solidFill>
                </w14:textFill>
              </w:rPr>
              <w:t>30</w:t>
            </w:r>
            <w:r>
              <w:rPr>
                <w:rFonts w:hint="eastAsia" w:ascii="宋体" w:hAnsi="宋体" w:eastAsia="宋体"/>
                <w:color w:val="000000" w:themeColor="text1"/>
                <w:sz w:val="21"/>
                <w:szCs w:val="21"/>
                <w:highlight w:val="none"/>
                <w14:textFill>
                  <w14:solidFill>
                    <w14:schemeClr w14:val="tx1"/>
                  </w14:solidFill>
                </w14:textFill>
              </w:rPr>
              <w:t>分</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响应报价：</w:t>
            </w:r>
            <w:r>
              <w:rPr>
                <w:rFonts w:hint="eastAsia" w:ascii="宋体" w:hAnsi="宋体" w:eastAsia="宋体"/>
                <w:color w:val="000000" w:themeColor="text1"/>
                <w:sz w:val="21"/>
                <w:szCs w:val="21"/>
                <w:highlight w:val="none"/>
                <w:lang w:val="en-US" w:eastAsia="zh-CN"/>
                <w14:textFill>
                  <w14:solidFill>
                    <w14:schemeClr w14:val="tx1"/>
                  </w14:solidFill>
                </w14:textFill>
              </w:rPr>
              <w:t>30</w:t>
            </w:r>
            <w:r>
              <w:rPr>
                <w:rFonts w:hint="eastAsia" w:ascii="宋体" w:hAnsi="宋体" w:eastAsia="宋体"/>
                <w:color w:val="000000" w:themeColor="text1"/>
                <w:sz w:val="21"/>
                <w:szCs w:val="21"/>
                <w:highlight w:val="none"/>
                <w14:textFill>
                  <w14:solidFill>
                    <w14:schemeClr w14:val="tx1"/>
                  </w14:solidFill>
                </w14:textFill>
              </w:rPr>
              <w:t xml:space="preserve">分 </w:t>
            </w:r>
          </w:p>
        </w:tc>
        <w:tc>
          <w:tcPr>
            <w:tcW w:w="732" w:type="dxa"/>
            <w:vAlign w:val="center"/>
          </w:tcPr>
          <w:p w14:paraId="6231AAA1">
            <w:pPr>
              <w:snapToGrid w:val="0"/>
              <w:spacing w:line="440" w:lineRule="exact"/>
              <w:jc w:val="center"/>
              <w:rPr>
                <w:rFonts w:ascii="宋体" w:hAnsi="宋体" w:eastAsia="宋体" w:cs="宋体"/>
                <w:sz w:val="21"/>
                <w:szCs w:val="21"/>
                <w:highlight w:val="none"/>
              </w:rPr>
            </w:pPr>
          </w:p>
        </w:tc>
      </w:tr>
      <w:tr w14:paraId="3080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54" w:type="dxa"/>
            <w:vMerge w:val="restart"/>
            <w:vAlign w:val="center"/>
          </w:tcPr>
          <w:p w14:paraId="031AB6A6">
            <w:pPr>
              <w:snapToGrid w:val="0"/>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分</w:t>
            </w:r>
          </w:p>
        </w:tc>
        <w:tc>
          <w:tcPr>
            <w:tcW w:w="1086" w:type="dxa"/>
            <w:vAlign w:val="center"/>
          </w:tcPr>
          <w:p w14:paraId="06DDB590">
            <w:pPr>
              <w:snapToGrid w:val="0"/>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企业实力</w:t>
            </w:r>
          </w:p>
        </w:tc>
        <w:tc>
          <w:tcPr>
            <w:tcW w:w="805" w:type="dxa"/>
            <w:vAlign w:val="center"/>
          </w:tcPr>
          <w:p w14:paraId="40E988D1">
            <w:pPr>
              <w:snapToGrid w:val="0"/>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6分</w:t>
            </w:r>
          </w:p>
        </w:tc>
        <w:tc>
          <w:tcPr>
            <w:tcW w:w="5171" w:type="dxa"/>
            <w:vAlign w:val="center"/>
          </w:tcPr>
          <w:p w14:paraId="4BF82C75">
            <w:pPr>
              <w:numPr>
                <w:ilvl w:val="-1"/>
                <w:numId w:val="0"/>
              </w:numPr>
              <w:snapToGrid w:val="0"/>
              <w:spacing w:line="240" w:lineRule="auto"/>
              <w:ind w:right="150" w:rightChars="50"/>
              <w:jc w:val="left"/>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default" w:ascii="宋体" w:hAnsi="宋体" w:eastAsia="宋体"/>
                <w:color w:val="000000" w:themeColor="text1"/>
                <w:sz w:val="21"/>
                <w:szCs w:val="21"/>
                <w:highlight w:val="none"/>
                <w:lang w:val="en-US" w:eastAsia="zh-CN"/>
                <w14:textFill>
                  <w14:solidFill>
                    <w14:schemeClr w14:val="tx1"/>
                  </w14:solidFill>
                </w14:textFill>
              </w:rPr>
              <w:t>供应商具有有效期内的质量管理体系认证证书、医疗器械质量管理体系认证证书、售后服务认证证书的，每提供一项得2分，最高得</w:t>
            </w:r>
            <w:r>
              <w:rPr>
                <w:rFonts w:hint="eastAsia" w:ascii="宋体" w:hAnsi="宋体" w:eastAsia="宋体"/>
                <w:color w:val="000000" w:themeColor="text1"/>
                <w:sz w:val="21"/>
                <w:szCs w:val="21"/>
                <w:highlight w:val="none"/>
                <w:lang w:val="en-US" w:eastAsia="zh-CN"/>
                <w14:textFill>
                  <w14:solidFill>
                    <w14:schemeClr w14:val="tx1"/>
                  </w14:solidFill>
                </w14:textFill>
              </w:rPr>
              <w:t>6</w:t>
            </w:r>
            <w:r>
              <w:rPr>
                <w:rFonts w:hint="default" w:ascii="宋体" w:hAnsi="宋体" w:eastAsia="宋体"/>
                <w:color w:val="000000" w:themeColor="text1"/>
                <w:sz w:val="21"/>
                <w:szCs w:val="21"/>
                <w:highlight w:val="none"/>
                <w:lang w:val="en-US" w:eastAsia="zh-CN"/>
                <w14:textFill>
                  <w14:solidFill>
                    <w14:schemeClr w14:val="tx1"/>
                  </w14:solidFill>
                </w14:textFill>
              </w:rPr>
              <w:t>分。注：需提供证书复印件或证书有效性网页截图（以全国认证认可信息公共服务平台http://cx.cnca.cn/网站查询为准），未按要求提供证明材料的不得分。</w:t>
            </w:r>
          </w:p>
        </w:tc>
        <w:tc>
          <w:tcPr>
            <w:tcW w:w="732" w:type="dxa"/>
            <w:vAlign w:val="center"/>
          </w:tcPr>
          <w:p w14:paraId="4B2A870E">
            <w:pPr>
              <w:snapToGrid w:val="0"/>
              <w:spacing w:line="440" w:lineRule="exact"/>
              <w:jc w:val="center"/>
              <w:rPr>
                <w:rFonts w:ascii="宋体" w:hAnsi="宋体" w:eastAsia="宋体" w:cs="宋体"/>
                <w:sz w:val="21"/>
                <w:szCs w:val="21"/>
                <w:highlight w:val="none"/>
              </w:rPr>
            </w:pPr>
          </w:p>
        </w:tc>
      </w:tr>
      <w:tr w14:paraId="2ED5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54" w:type="dxa"/>
            <w:vMerge w:val="continue"/>
            <w:vAlign w:val="center"/>
          </w:tcPr>
          <w:p w14:paraId="04B05806">
            <w:pPr>
              <w:snapToGrid w:val="0"/>
              <w:spacing w:line="320" w:lineRule="exact"/>
              <w:ind w:left="6" w:hanging="6"/>
              <w:jc w:val="center"/>
              <w:rPr>
                <w:rFonts w:ascii="宋体" w:hAnsi="宋体" w:eastAsia="宋体" w:cs="宋体"/>
                <w:sz w:val="21"/>
                <w:szCs w:val="21"/>
                <w:highlight w:val="none"/>
              </w:rPr>
            </w:pPr>
          </w:p>
        </w:tc>
        <w:tc>
          <w:tcPr>
            <w:tcW w:w="1086" w:type="dxa"/>
            <w:vAlign w:val="center"/>
          </w:tcPr>
          <w:p w14:paraId="3D051A47">
            <w:pPr>
              <w:snapToGrid w:val="0"/>
              <w:spacing w:line="320" w:lineRule="exact"/>
              <w:jc w:val="center"/>
              <w:rPr>
                <w:rFonts w:ascii="宋体" w:hAnsi="宋体" w:eastAsia="宋体"/>
                <w:sz w:val="21"/>
                <w:szCs w:val="21"/>
                <w:highlight w:val="none"/>
              </w:rPr>
            </w:pPr>
            <w:r>
              <w:rPr>
                <w:rFonts w:ascii="宋体" w:hAnsi="宋体" w:eastAsia="宋体"/>
                <w:sz w:val="21"/>
                <w:szCs w:val="21"/>
                <w:highlight w:val="none"/>
              </w:rPr>
              <w:t>同类项目业绩</w:t>
            </w:r>
          </w:p>
        </w:tc>
        <w:tc>
          <w:tcPr>
            <w:tcW w:w="805" w:type="dxa"/>
            <w:vAlign w:val="center"/>
          </w:tcPr>
          <w:p w14:paraId="7CD60DE5">
            <w:pPr>
              <w:snapToGrid w:val="0"/>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分</w:t>
            </w:r>
          </w:p>
        </w:tc>
        <w:tc>
          <w:tcPr>
            <w:tcW w:w="5171" w:type="dxa"/>
            <w:vAlign w:val="center"/>
          </w:tcPr>
          <w:p w14:paraId="0ABBD7E2">
            <w:pPr>
              <w:snapToGrid w:val="0"/>
              <w:spacing w:line="240" w:lineRule="auto"/>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年1月1日至今（以合同签订时间为准），</w:t>
            </w:r>
            <w:r>
              <w:rPr>
                <w:rFonts w:hint="eastAsia" w:ascii="宋体" w:hAnsi="宋体" w:eastAsia="宋体" w:cs="宋体"/>
                <w:color w:val="000000" w:themeColor="text1"/>
                <w:sz w:val="21"/>
                <w:szCs w:val="21"/>
                <w:highlight w:val="none"/>
                <w:lang w:eastAsia="zh-CN"/>
                <w14:textFill>
                  <w14:solidFill>
                    <w14:schemeClr w14:val="tx1"/>
                  </w14:solidFill>
                </w14:textFill>
              </w:rPr>
              <w:t>（具有医疗机构设备维保服务业绩）</w:t>
            </w:r>
            <w:r>
              <w:rPr>
                <w:rFonts w:hint="eastAsia" w:ascii="宋体" w:hAnsi="宋体" w:eastAsia="宋体" w:cs="宋体"/>
                <w:color w:val="000000" w:themeColor="text1"/>
                <w:sz w:val="21"/>
                <w:szCs w:val="21"/>
                <w:highlight w:val="none"/>
                <w14:textFill>
                  <w14:solidFill>
                    <w14:schemeClr w14:val="tx1"/>
                  </w14:solidFill>
                </w14:textFill>
              </w:rPr>
              <w:t>承担过二级及以上医院电子镜</w:t>
            </w:r>
            <w:r>
              <w:rPr>
                <w:rFonts w:hint="eastAsia" w:ascii="宋体" w:hAnsi="宋体" w:eastAsia="宋体" w:cs="宋体"/>
                <w:color w:val="000000" w:themeColor="text1"/>
                <w:sz w:val="21"/>
                <w:szCs w:val="21"/>
                <w:highlight w:val="none"/>
                <w:lang w:val="en-US" w:eastAsia="zh-CN"/>
                <w14:textFill>
                  <w14:solidFill>
                    <w14:schemeClr w14:val="tx1"/>
                  </w14:solidFill>
                </w14:textFill>
              </w:rPr>
              <w:t>维</w:t>
            </w:r>
            <w:r>
              <w:rPr>
                <w:rFonts w:hint="eastAsia" w:ascii="宋体" w:hAnsi="宋体" w:eastAsia="宋体" w:cs="宋体"/>
                <w:color w:val="000000" w:themeColor="text1"/>
                <w:sz w:val="21"/>
                <w:szCs w:val="21"/>
                <w:highlight w:val="none"/>
                <w14:textFill>
                  <w14:solidFill>
                    <w14:schemeClr w14:val="tx1"/>
                  </w14:solidFill>
                </w14:textFill>
              </w:rPr>
              <w:t>保服务项目，每提</w:t>
            </w:r>
            <w:r>
              <w:rPr>
                <w:rFonts w:hint="eastAsia" w:ascii="宋体" w:hAnsi="宋体" w:eastAsia="宋体" w:cs="宋体"/>
                <w:color w:val="000000" w:themeColor="text1"/>
                <w:sz w:val="21"/>
                <w:szCs w:val="21"/>
                <w:highlight w:val="none"/>
                <w:u w:val="none"/>
                <w14:textFill>
                  <w14:solidFill>
                    <w14:schemeClr w14:val="tx1"/>
                  </w14:solidFill>
                </w14:textFill>
              </w:rPr>
              <w:t>供1份有效合同得2分；最多得10分。注：提供项目业绩合同关键页复印件（必须包含：签约时间、项目名称</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如项目名称无法体现其与电子镜维保相关，还须提供具体服务内容页</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、双方盖章），未按要求提供证明材料的不得分。</w:t>
            </w:r>
          </w:p>
        </w:tc>
        <w:tc>
          <w:tcPr>
            <w:tcW w:w="732" w:type="dxa"/>
            <w:vAlign w:val="center"/>
          </w:tcPr>
          <w:p w14:paraId="0D5E6629">
            <w:pPr>
              <w:snapToGrid w:val="0"/>
              <w:spacing w:line="440" w:lineRule="exact"/>
              <w:jc w:val="center"/>
              <w:rPr>
                <w:rFonts w:ascii="宋体" w:hAnsi="宋体" w:eastAsia="宋体" w:cs="宋体"/>
                <w:sz w:val="21"/>
                <w:szCs w:val="21"/>
                <w:highlight w:val="none"/>
              </w:rPr>
            </w:pPr>
          </w:p>
        </w:tc>
      </w:tr>
      <w:tr w14:paraId="6450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54" w:type="dxa"/>
            <w:vMerge w:val="continue"/>
            <w:vAlign w:val="center"/>
          </w:tcPr>
          <w:p w14:paraId="2D9B3F8A">
            <w:pPr>
              <w:snapToGrid w:val="0"/>
              <w:spacing w:line="320" w:lineRule="exact"/>
              <w:ind w:left="6" w:hanging="6"/>
              <w:jc w:val="center"/>
              <w:rPr>
                <w:rFonts w:ascii="宋体" w:hAnsi="宋体" w:eastAsia="宋体" w:cs="宋体"/>
                <w:sz w:val="21"/>
                <w:szCs w:val="21"/>
                <w:highlight w:val="none"/>
              </w:rPr>
            </w:pPr>
          </w:p>
        </w:tc>
        <w:tc>
          <w:tcPr>
            <w:tcW w:w="1086" w:type="dxa"/>
            <w:vAlign w:val="center"/>
          </w:tcPr>
          <w:p w14:paraId="0D3EF039">
            <w:pPr>
              <w:snapToGrid w:val="0"/>
              <w:spacing w:line="320" w:lineRule="exact"/>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项目评价</w:t>
            </w:r>
          </w:p>
        </w:tc>
        <w:tc>
          <w:tcPr>
            <w:tcW w:w="805" w:type="dxa"/>
            <w:vAlign w:val="center"/>
          </w:tcPr>
          <w:p w14:paraId="7D74F20C">
            <w:pPr>
              <w:snapToGrid w:val="0"/>
              <w:spacing w:line="320" w:lineRule="exact"/>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5分</w:t>
            </w:r>
          </w:p>
        </w:tc>
        <w:tc>
          <w:tcPr>
            <w:tcW w:w="5171" w:type="dxa"/>
            <w:vAlign w:val="center"/>
          </w:tcPr>
          <w:p w14:paraId="7C32F152">
            <w:pPr>
              <w:snapToGrid w:val="0"/>
              <w:spacing w:line="240" w:lineRule="auto"/>
              <w:jc w:val="lef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供应商提供上述有效业绩的项目评价情况，评分达到总分90%及以上的或评价结果为“好评"或“优秀”或“满意”等相关正面评价字眼的，每提供一项得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ascii="宋体" w:hAnsi="宋体" w:eastAsia="宋体" w:cs="宋体"/>
                <w:color w:val="000000" w:themeColor="text1"/>
                <w:sz w:val="21"/>
                <w:szCs w:val="21"/>
                <w:highlight w:val="none"/>
                <w14:textFill>
                  <w14:solidFill>
                    <w14:schemeClr w14:val="tx1"/>
                  </w14:solidFill>
                </w14:textFill>
              </w:rPr>
              <w:t>分。注：提供证明资料复印件，未按要求提供证明材料的不得分。</w:t>
            </w:r>
          </w:p>
        </w:tc>
        <w:tc>
          <w:tcPr>
            <w:tcW w:w="732" w:type="dxa"/>
            <w:vAlign w:val="center"/>
          </w:tcPr>
          <w:p w14:paraId="15683240">
            <w:pPr>
              <w:snapToGrid w:val="0"/>
              <w:spacing w:line="440" w:lineRule="exact"/>
              <w:jc w:val="center"/>
              <w:rPr>
                <w:rFonts w:ascii="宋体" w:hAnsi="宋体" w:eastAsia="宋体" w:cs="宋体"/>
                <w:sz w:val="21"/>
                <w:szCs w:val="21"/>
                <w:highlight w:val="none"/>
              </w:rPr>
            </w:pPr>
          </w:p>
        </w:tc>
      </w:tr>
      <w:tr w14:paraId="1030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90" w:hRule="atLeast"/>
          <w:jc w:val="center"/>
        </w:trPr>
        <w:tc>
          <w:tcPr>
            <w:tcW w:w="754" w:type="dxa"/>
            <w:vMerge w:val="continue"/>
            <w:vAlign w:val="center"/>
          </w:tcPr>
          <w:p w14:paraId="4E1D9899">
            <w:pPr>
              <w:snapToGrid w:val="0"/>
              <w:spacing w:line="320" w:lineRule="exact"/>
              <w:ind w:left="6" w:hanging="6"/>
              <w:jc w:val="center"/>
              <w:rPr>
                <w:rFonts w:ascii="宋体" w:hAnsi="宋体" w:eastAsia="宋体" w:cs="宋体"/>
                <w:sz w:val="21"/>
                <w:szCs w:val="21"/>
                <w:highlight w:val="none"/>
              </w:rPr>
            </w:pPr>
          </w:p>
        </w:tc>
        <w:tc>
          <w:tcPr>
            <w:tcW w:w="1086" w:type="dxa"/>
            <w:vAlign w:val="center"/>
          </w:tcPr>
          <w:p w14:paraId="4737AD14">
            <w:pPr>
              <w:snapToGrid w:val="0"/>
              <w:spacing w:line="320" w:lineRule="exact"/>
              <w:jc w:val="center"/>
              <w:rPr>
                <w:rFonts w:ascii="宋体" w:hAnsi="宋体" w:eastAsia="宋体"/>
                <w:strike/>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 xml:space="preserve">服务人员配置 </w:t>
            </w:r>
          </w:p>
        </w:tc>
        <w:tc>
          <w:tcPr>
            <w:tcW w:w="805" w:type="dxa"/>
            <w:vAlign w:val="center"/>
          </w:tcPr>
          <w:p w14:paraId="6379D16C">
            <w:pPr>
              <w:snapToGrid w:val="0"/>
              <w:spacing w:line="320" w:lineRule="exact"/>
              <w:jc w:val="center"/>
              <w:rPr>
                <w:rFonts w:hint="default" w:ascii="宋体" w:hAnsi="宋体" w:eastAsia="宋体"/>
                <w:strike/>
                <w:color w:val="000000" w:themeColor="text1"/>
                <w:sz w:val="21"/>
                <w:szCs w:val="21"/>
                <w:highlight w:val="none"/>
                <w:lang w:val="en-US" w:eastAsia="zh-CN"/>
                <w14:textFill>
                  <w14:solidFill>
                    <w14:schemeClr w14:val="tx1"/>
                  </w14:solidFill>
                </w14:textFill>
              </w:rPr>
            </w:pPr>
            <w:r>
              <w:rPr>
                <w:rFonts w:hint="eastAsia" w:ascii="宋体" w:hAnsi="宋体" w:eastAsia="宋体"/>
                <w:strike w:val="0"/>
                <w:color w:val="000000" w:themeColor="text1"/>
                <w:sz w:val="21"/>
                <w:szCs w:val="21"/>
                <w:highlight w:val="none"/>
                <w:lang w:val="en-US" w:eastAsia="zh-CN"/>
                <w14:textFill>
                  <w14:solidFill>
                    <w14:schemeClr w14:val="tx1"/>
                  </w14:solidFill>
                </w14:textFill>
              </w:rPr>
              <w:t>19分</w:t>
            </w:r>
          </w:p>
        </w:tc>
        <w:tc>
          <w:tcPr>
            <w:tcW w:w="5171" w:type="dxa"/>
            <w:vAlign w:val="center"/>
          </w:tcPr>
          <w:p w14:paraId="145EB49B">
            <w:pPr>
              <w:numPr>
                <w:ilvl w:val="0"/>
                <w:numId w:val="0"/>
              </w:numPr>
              <w:snapToGrid w:val="0"/>
              <w:spacing w:line="240" w:lineRule="auto"/>
              <w:jc w:val="left"/>
              <w:rPr>
                <w:rFonts w:ascii="宋体" w:hAnsi="宋体" w:eastAsia="宋体" w:cs="宋体"/>
                <w:strike/>
                <w:color w:val="000000" w:themeColor="text1"/>
                <w:sz w:val="21"/>
                <w:szCs w:val="21"/>
                <w:highlight w:val="none"/>
                <w:u w:val="none"/>
                <w14:textFill>
                  <w14:solidFill>
                    <w14:schemeClr w14:val="tx1"/>
                  </w14:solidFill>
                </w14:textFill>
              </w:rPr>
            </w:pPr>
            <w:r>
              <w:rPr>
                <w:rFonts w:ascii="宋体" w:hAnsi="宋体" w:eastAsia="宋体" w:cs="宋体"/>
                <w:strike w:val="0"/>
                <w:color w:val="000000" w:themeColor="text1"/>
                <w:kern w:val="2"/>
                <w:sz w:val="21"/>
                <w:szCs w:val="21"/>
                <w:lang w:val="en-US" w:eastAsia="zh-CN" w:bidi="ar-SA"/>
                <w14:textFill>
                  <w14:solidFill>
                    <w14:schemeClr w14:val="tx1"/>
                  </w14:solidFill>
                </w14:textFill>
              </w:rPr>
              <w:t>1、</w:t>
            </w:r>
            <w:r>
              <w:rPr>
                <w:rFonts w:ascii="宋体" w:hAnsi="宋体" w:eastAsia="宋体" w:cs="宋体"/>
                <w:color w:val="000000" w:themeColor="text1"/>
                <w:sz w:val="21"/>
                <w:szCs w:val="21"/>
                <w:highlight w:val="none"/>
                <w14:textFill>
                  <w14:solidFill>
                    <w14:schemeClr w14:val="tx1"/>
                  </w14:solidFill>
                </w14:textFill>
              </w:rPr>
              <w:t>项目负责人：具有医疗器械高级工程师及以上资格证书的，得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ascii="宋体" w:hAnsi="宋体" w:eastAsia="宋体" w:cs="宋体"/>
                <w:color w:val="000000" w:themeColor="text1"/>
                <w:sz w:val="21"/>
                <w:szCs w:val="21"/>
                <w:highlight w:val="none"/>
                <w14:textFill>
                  <w14:solidFill>
                    <w14:schemeClr w14:val="tx1"/>
                  </w14:solidFill>
                </w14:textFill>
              </w:rPr>
              <w:t>分；具有医疗器械中级工程师资格证书的，得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ascii="宋体" w:hAnsi="宋体" w:eastAsia="宋体" w:cs="宋体"/>
                <w:color w:val="000000" w:themeColor="text1"/>
                <w:sz w:val="21"/>
                <w:szCs w:val="21"/>
                <w:highlight w:val="none"/>
                <w14:textFill>
                  <w14:solidFill>
                    <w14:schemeClr w14:val="tx1"/>
                  </w14:solidFill>
                </w14:textFill>
              </w:rPr>
              <w:t>分；具有医疗器械初级工程师资格证书的，得1分；其他情况不得分。</w:t>
            </w:r>
          </w:p>
          <w:p w14:paraId="3C5B358A">
            <w:pPr>
              <w:numPr>
                <w:ilvl w:val="0"/>
                <w:numId w:val="0"/>
              </w:numPr>
              <w:snapToGrid w:val="0"/>
              <w:spacing w:line="240" w:lineRule="auto"/>
              <w:jc w:val="left"/>
              <w:rPr>
                <w:rFonts w:ascii="宋体" w:hAnsi="宋体" w:eastAsia="宋体" w:cs="宋体"/>
                <w:strike w:val="0"/>
                <w:color w:val="000000" w:themeColor="text1"/>
                <w:sz w:val="21"/>
                <w:szCs w:val="21"/>
                <w:highlight w:val="none"/>
                <w:u w:val="none"/>
                <w14:textFill>
                  <w14:solidFill>
                    <w14:schemeClr w14:val="tx1"/>
                  </w14:solidFill>
                </w14:textFill>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sz w:val="21"/>
                <w:szCs w:val="21"/>
                <w:highlight w:val="none"/>
                <w:u w:val="none"/>
                <w:lang w:val="en-US" w:eastAsia="zh-CN"/>
                <w14:textFill>
                  <w14:solidFill>
                    <w14:schemeClr w14:val="tx1"/>
                  </w14:solidFill>
                </w14:textFill>
              </w:rPr>
              <w:t>项目</w:t>
            </w:r>
            <w:r>
              <w:rPr>
                <w:rFonts w:ascii="宋体" w:hAnsi="宋体" w:eastAsia="宋体" w:cs="宋体"/>
                <w:strike w:val="0"/>
                <w:color w:val="000000" w:themeColor="text1"/>
                <w:sz w:val="21"/>
                <w:szCs w:val="21"/>
                <w:highlight w:val="none"/>
                <w:u w:val="none"/>
                <w14:textFill>
                  <w14:solidFill>
                    <w14:schemeClr w14:val="tx1"/>
                  </w14:solidFill>
                </w14:textFill>
              </w:rPr>
              <w:t>负责人具有5年及以上内镜维修经验得</w:t>
            </w:r>
            <w:r>
              <w:rPr>
                <w:rFonts w:hint="eastAsia" w:ascii="宋体" w:hAnsi="宋体" w:eastAsia="宋体" w:cs="宋体"/>
                <w:strike w:val="0"/>
                <w:color w:val="000000" w:themeColor="text1"/>
                <w:sz w:val="21"/>
                <w:szCs w:val="21"/>
                <w:highlight w:val="none"/>
                <w:u w:val="none"/>
                <w:lang w:val="en-US" w:eastAsia="zh-CN"/>
                <w14:textFill>
                  <w14:solidFill>
                    <w14:schemeClr w14:val="tx1"/>
                  </w14:solidFill>
                </w14:textFill>
              </w:rPr>
              <w:t>2</w:t>
            </w:r>
            <w:r>
              <w:rPr>
                <w:rFonts w:ascii="宋体" w:hAnsi="宋体" w:eastAsia="宋体" w:cs="宋体"/>
                <w:strike w:val="0"/>
                <w:color w:val="000000" w:themeColor="text1"/>
                <w:sz w:val="21"/>
                <w:szCs w:val="21"/>
                <w:highlight w:val="none"/>
                <w:u w:val="none"/>
                <w14:textFill>
                  <w14:solidFill>
                    <w14:schemeClr w14:val="tx1"/>
                  </w14:solidFill>
                </w14:textFill>
              </w:rPr>
              <w:t>分；不足5年，得0分。</w:t>
            </w:r>
          </w:p>
          <w:p w14:paraId="1A992CEE">
            <w:pPr>
              <w:numPr>
                <w:ilvl w:val="0"/>
                <w:numId w:val="0"/>
              </w:numPr>
              <w:snapToGrid w:val="0"/>
              <w:spacing w:line="240" w:lineRule="auto"/>
              <w:jc w:val="left"/>
              <w:rPr>
                <w:rFonts w:ascii="宋体" w:hAnsi="宋体" w:eastAsia="宋体" w:cs="宋体"/>
                <w:strike w:val="0"/>
                <w:color w:val="000000" w:themeColor="text1"/>
                <w:sz w:val="21"/>
                <w:szCs w:val="21"/>
                <w:highlight w:val="none"/>
                <w:u w:val="none"/>
                <w14:textFill>
                  <w14:solidFill>
                    <w14:schemeClr w14:val="tx1"/>
                  </w14:solidFill>
                </w14:textFill>
              </w:rPr>
            </w:pPr>
            <w:r>
              <w:rPr>
                <w:rFonts w:hint="eastAsia" w:ascii="宋体" w:hAnsi="宋体" w:eastAsia="宋体" w:cs="宋体"/>
                <w:strike w:val="0"/>
                <w:color w:val="000000" w:themeColor="text1"/>
                <w:sz w:val="21"/>
                <w:szCs w:val="21"/>
                <w:highlight w:val="none"/>
                <w:u w:val="none"/>
                <w:lang w:val="en-US" w:eastAsia="zh-CN"/>
                <w14:textFill>
                  <w14:solidFill>
                    <w14:schemeClr w14:val="tx1"/>
                  </w14:solidFill>
                </w14:textFill>
              </w:rPr>
              <w:t>3、</w:t>
            </w:r>
            <w:r>
              <w:rPr>
                <w:rFonts w:ascii="宋体" w:hAnsi="宋体" w:eastAsia="宋体" w:cs="宋体"/>
                <w:strike w:val="0"/>
                <w:color w:val="000000" w:themeColor="text1"/>
                <w:sz w:val="21"/>
                <w:szCs w:val="21"/>
                <w:highlight w:val="none"/>
                <w:u w:val="none"/>
                <w14:textFill>
                  <w14:solidFill>
                    <w14:schemeClr w14:val="tx1"/>
                  </w14:solidFill>
                </w14:textFill>
              </w:rPr>
              <w:t>维修团队中持有奥林巴斯、</w:t>
            </w:r>
            <w:r>
              <w:rPr>
                <w:rFonts w:hint="eastAsia" w:ascii="宋体" w:hAnsi="宋体" w:eastAsia="宋体" w:cs="宋体"/>
                <w:strike w:val="0"/>
                <w:color w:val="000000" w:themeColor="text1"/>
                <w:sz w:val="21"/>
                <w:szCs w:val="21"/>
                <w:highlight w:val="none"/>
                <w:u w:val="none"/>
                <w14:textFill>
                  <w14:solidFill>
                    <w14:schemeClr w14:val="tx1"/>
                  </w14:solidFill>
                </w14:textFill>
              </w:rPr>
              <w:t>宾得</w:t>
            </w:r>
            <w:r>
              <w:rPr>
                <w:rFonts w:hint="eastAsia" w:ascii="宋体" w:hAnsi="宋体" w:eastAsia="宋体" w:cs="宋体"/>
                <w:strike w:val="0"/>
                <w:color w:val="000000" w:themeColor="text1"/>
                <w:sz w:val="21"/>
                <w:szCs w:val="21"/>
                <w:highlight w:val="none"/>
                <w:u w:val="none"/>
                <w:lang w:eastAsia="zh-CN"/>
                <w14:textFill>
                  <w14:solidFill>
                    <w14:schemeClr w14:val="tx1"/>
                  </w14:solidFill>
                </w14:textFill>
              </w:rPr>
              <w:t>、优亿</w:t>
            </w:r>
            <w:r>
              <w:rPr>
                <w:rFonts w:ascii="宋体" w:hAnsi="宋体" w:eastAsia="宋体" w:cs="宋体"/>
                <w:strike w:val="0"/>
                <w:color w:val="000000" w:themeColor="text1"/>
                <w:sz w:val="21"/>
                <w:szCs w:val="21"/>
                <w:highlight w:val="none"/>
                <w:u w:val="none"/>
                <w14:textFill>
                  <w14:solidFill>
                    <w14:schemeClr w14:val="tx1"/>
                  </w14:solidFill>
                </w14:textFill>
              </w:rPr>
              <w:t>原厂维修培训证书的人员，每</w:t>
            </w:r>
            <w:r>
              <w:rPr>
                <w:rFonts w:hint="eastAsia" w:ascii="宋体" w:hAnsi="宋体" w:eastAsia="宋体" w:cs="宋体"/>
                <w:strike w:val="0"/>
                <w:color w:val="000000" w:themeColor="text1"/>
                <w:sz w:val="21"/>
                <w:szCs w:val="21"/>
                <w:highlight w:val="none"/>
                <w:u w:val="none"/>
                <w:lang w:val="en-US" w:eastAsia="zh-CN"/>
                <w14:textFill>
                  <w14:solidFill>
                    <w14:schemeClr w14:val="tx1"/>
                  </w14:solidFill>
                </w14:textFill>
              </w:rPr>
              <w:t>提供1个证书</w:t>
            </w:r>
            <w:r>
              <w:rPr>
                <w:rFonts w:ascii="宋体" w:hAnsi="宋体" w:eastAsia="宋体" w:cs="宋体"/>
                <w:strike w:val="0"/>
                <w:color w:val="000000" w:themeColor="text1"/>
                <w:sz w:val="21"/>
                <w:szCs w:val="21"/>
                <w:highlight w:val="none"/>
                <w:u w:val="none"/>
                <w14:textFill>
                  <w14:solidFill>
                    <w14:schemeClr w14:val="tx1"/>
                  </w14:solidFill>
                </w14:textFill>
              </w:rPr>
              <w:t>，得2分</w:t>
            </w:r>
            <w:r>
              <w:rPr>
                <w:rFonts w:hint="eastAsia" w:ascii="宋体" w:hAnsi="宋体" w:eastAsia="宋体" w:cs="宋体"/>
                <w:strike w:val="0"/>
                <w:color w:val="000000" w:themeColor="text1"/>
                <w:sz w:val="21"/>
                <w:szCs w:val="21"/>
                <w:highlight w:val="none"/>
                <w:u w:val="none"/>
                <w:lang w:eastAsia="zh-CN"/>
                <w14:textFill>
                  <w14:solidFill>
                    <w14:schemeClr w14:val="tx1"/>
                  </w14:solidFill>
                </w14:textFill>
              </w:rPr>
              <w:t>，</w:t>
            </w:r>
            <w:r>
              <w:rPr>
                <w:rFonts w:ascii="宋体" w:hAnsi="宋体" w:eastAsia="宋体" w:cs="宋体"/>
                <w:strike w:val="0"/>
                <w:color w:val="000000" w:themeColor="text1"/>
                <w:sz w:val="21"/>
                <w:szCs w:val="21"/>
                <w:highlight w:val="none"/>
                <w:u w:val="none"/>
                <w14:textFill>
                  <w14:solidFill>
                    <w14:schemeClr w14:val="tx1"/>
                  </w14:solidFill>
                </w14:textFill>
              </w:rPr>
              <w:t>最多得</w:t>
            </w:r>
            <w:r>
              <w:rPr>
                <w:rFonts w:hint="eastAsia" w:ascii="宋体" w:hAnsi="宋体" w:eastAsia="宋体" w:cs="宋体"/>
                <w:strike w:val="0"/>
                <w:color w:val="000000" w:themeColor="text1"/>
                <w:sz w:val="21"/>
                <w:szCs w:val="21"/>
                <w:highlight w:val="none"/>
                <w:u w:val="none"/>
                <w:lang w:val="en-US" w:eastAsia="zh-CN"/>
                <w14:textFill>
                  <w14:solidFill>
                    <w14:schemeClr w14:val="tx1"/>
                  </w14:solidFill>
                </w14:textFill>
              </w:rPr>
              <w:t>12</w:t>
            </w:r>
            <w:r>
              <w:rPr>
                <w:rFonts w:ascii="宋体" w:hAnsi="宋体" w:eastAsia="宋体" w:cs="宋体"/>
                <w:strike w:val="0"/>
                <w:color w:val="000000" w:themeColor="text1"/>
                <w:sz w:val="21"/>
                <w:szCs w:val="21"/>
                <w:highlight w:val="none"/>
                <w:u w:val="none"/>
                <w14:textFill>
                  <w14:solidFill>
                    <w14:schemeClr w14:val="tx1"/>
                  </w14:solidFill>
                </w14:textFill>
              </w:rPr>
              <w:t>分。</w:t>
            </w:r>
            <w:r>
              <w:rPr>
                <w:rFonts w:hint="eastAsia" w:ascii="宋体" w:hAnsi="宋体" w:eastAsia="宋体" w:cs="宋体"/>
                <w:strike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strike w:val="0"/>
                <w:color w:val="000000" w:themeColor="text1"/>
                <w:sz w:val="21"/>
                <w:szCs w:val="21"/>
                <w:highlight w:val="none"/>
                <w:u w:val="none"/>
                <w:lang w:val="en-US" w:eastAsia="zh-CN"/>
                <w14:textFill>
                  <w14:solidFill>
                    <w14:schemeClr w14:val="tx1"/>
                  </w14:solidFill>
                </w14:textFill>
              </w:rPr>
              <w:t>同一人持有上述品牌中不同品牌的维修培训证书的可重复计分，同一人持有多个同一品牌维修培训证书的仅计分一次</w:t>
            </w:r>
            <w:r>
              <w:rPr>
                <w:rFonts w:hint="eastAsia" w:ascii="宋体" w:hAnsi="宋体" w:eastAsia="宋体" w:cs="宋体"/>
                <w:strike w:val="0"/>
                <w:color w:val="000000" w:themeColor="text1"/>
                <w:sz w:val="21"/>
                <w:szCs w:val="21"/>
                <w:highlight w:val="none"/>
                <w:u w:val="none"/>
                <w:lang w:eastAsia="zh-CN"/>
                <w14:textFill>
                  <w14:solidFill>
                    <w14:schemeClr w14:val="tx1"/>
                  </w14:solidFill>
                </w14:textFill>
              </w:rPr>
              <w:t>）</w:t>
            </w:r>
          </w:p>
          <w:p w14:paraId="3BF1F9B4">
            <w:pPr>
              <w:snapToGrid w:val="0"/>
              <w:spacing w:line="240" w:lineRule="auto"/>
              <w:jc w:val="left"/>
              <w:rPr>
                <w:rFonts w:hint="eastAsia" w:ascii="宋体" w:hAnsi="宋体" w:eastAsia="宋体" w:cs="宋体"/>
                <w:strike/>
                <w:color w:val="000000" w:themeColor="text1"/>
                <w:sz w:val="21"/>
                <w:szCs w:val="21"/>
                <w:highlight w:val="none"/>
                <w:lang w:val="en-US"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注：提供以上人员相关证书复印件及供应商为其购买的投标截止日前</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ascii="宋体" w:hAnsi="宋体" w:eastAsia="宋体" w:cs="宋体"/>
                <w:color w:val="000000" w:themeColor="text1"/>
                <w:sz w:val="21"/>
                <w:szCs w:val="21"/>
                <w:highlight w:val="none"/>
                <w14:textFill>
                  <w14:solidFill>
                    <w14:schemeClr w14:val="tx1"/>
                  </w14:solidFill>
                </w14:textFill>
              </w:rPr>
              <w:t>个月内任意1个月的社保证明复印件，未按要求提供证明材料的不得分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732" w:type="dxa"/>
            <w:vAlign w:val="center"/>
          </w:tcPr>
          <w:p w14:paraId="6ABF170D">
            <w:pPr>
              <w:snapToGrid w:val="0"/>
              <w:spacing w:line="440" w:lineRule="exact"/>
              <w:jc w:val="center"/>
              <w:rPr>
                <w:rFonts w:ascii="宋体" w:hAnsi="宋体" w:eastAsia="宋体" w:cs="宋体"/>
                <w:sz w:val="21"/>
                <w:szCs w:val="21"/>
                <w:highlight w:val="none"/>
              </w:rPr>
            </w:pPr>
          </w:p>
        </w:tc>
      </w:tr>
      <w:tr w14:paraId="01A7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54" w:type="dxa"/>
            <w:vMerge w:val="restart"/>
            <w:vAlign w:val="center"/>
          </w:tcPr>
          <w:p w14:paraId="15CAA3C5">
            <w:pPr>
              <w:snapToGrid w:val="0"/>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p>
        </w:tc>
        <w:tc>
          <w:tcPr>
            <w:tcW w:w="1086" w:type="dxa"/>
            <w:vAlign w:val="center"/>
          </w:tcPr>
          <w:p w14:paraId="0FA95DC9">
            <w:pPr>
              <w:snapToGrid w:val="0"/>
              <w:spacing w:line="320" w:lineRule="exact"/>
              <w:jc w:val="center"/>
              <w:rPr>
                <w:rFonts w:ascii="宋体" w:hAnsi="宋体" w:eastAsia="宋体" w:cs="宋体"/>
                <w:sz w:val="21"/>
                <w:szCs w:val="21"/>
                <w:highlight w:val="none"/>
              </w:rPr>
            </w:pPr>
            <w:r>
              <w:rPr>
                <w:rFonts w:ascii="宋体" w:hAnsi="宋体" w:eastAsia="宋体" w:cs="宋体"/>
                <w:sz w:val="21"/>
                <w:szCs w:val="21"/>
                <w:highlight w:val="none"/>
              </w:rPr>
              <w:t>项目理解程度</w:t>
            </w:r>
          </w:p>
        </w:tc>
        <w:tc>
          <w:tcPr>
            <w:tcW w:w="805" w:type="dxa"/>
            <w:vAlign w:val="center"/>
          </w:tcPr>
          <w:p w14:paraId="05762FFC">
            <w:pPr>
              <w:snapToGrid w:val="0"/>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171" w:type="dxa"/>
            <w:vAlign w:val="center"/>
          </w:tcPr>
          <w:p w14:paraId="37ED9BEE">
            <w:pPr>
              <w:numPr>
                <w:ilvl w:val="0"/>
                <w:numId w:val="0"/>
              </w:numPr>
              <w:snapToGrid w:val="0"/>
              <w:spacing w:line="240" w:lineRule="auto"/>
              <w:jc w:val="left"/>
              <w:rPr>
                <w:rFonts w:ascii="宋体" w:hAnsi="宋体" w:eastAsia="宋体" w:cs="宋体"/>
                <w:color w:val="000000" w:themeColor="text1"/>
                <w:sz w:val="21"/>
                <w:szCs w:val="21"/>
                <w:highlight w:val="none"/>
                <w:u w:val="none"/>
                <w14:textFill>
                  <w14:solidFill>
                    <w14:schemeClr w14:val="tx1"/>
                  </w14:solidFill>
                </w14:textFill>
              </w:rPr>
            </w:pPr>
            <w:r>
              <w:rPr>
                <w:rFonts w:ascii="宋体" w:hAnsi="宋体" w:eastAsia="宋体" w:cs="宋体"/>
                <w:color w:val="000000" w:themeColor="text1"/>
                <w:sz w:val="21"/>
                <w:szCs w:val="21"/>
                <w:highlight w:val="none"/>
                <w:u w:val="none"/>
                <w14:textFill>
                  <w14:solidFill>
                    <w14:schemeClr w14:val="tx1"/>
                  </w14:solidFill>
                </w14:textFill>
              </w:rPr>
              <w:t>根据供应商对项目需求的理解和认识程度进行综合评审：</w:t>
            </w:r>
          </w:p>
          <w:p w14:paraId="7312E492">
            <w:pPr>
              <w:numPr>
                <w:ilvl w:val="0"/>
                <w:numId w:val="0"/>
              </w:numPr>
              <w:snapToGrid w:val="0"/>
              <w:spacing w:line="240" w:lineRule="auto"/>
              <w:jc w:val="left"/>
              <w:rPr>
                <w:rFonts w:ascii="宋体" w:hAnsi="宋体" w:eastAsia="宋体" w:cs="宋体"/>
                <w:color w:val="000000" w:themeColor="text1"/>
                <w:sz w:val="21"/>
                <w:szCs w:val="21"/>
                <w:highlight w:val="none"/>
                <w:u w:val="none"/>
                <w14:textFill>
                  <w14:solidFill>
                    <w14:schemeClr w14:val="tx1"/>
                  </w14:solidFill>
                </w14:textFill>
              </w:rPr>
            </w:pPr>
            <w:r>
              <w:rPr>
                <w:rFonts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u w:val="none"/>
                <w14:textFill>
                  <w14:solidFill>
                    <w14:schemeClr w14:val="tx1"/>
                  </w14:solidFill>
                </w14:textFill>
              </w:rPr>
              <w:t>理解极为深刻、精准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方案不仅完全契合需求，更能洞见潜在问题，提出超越</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需求</w:t>
            </w:r>
            <w:r>
              <w:rPr>
                <w:rFonts w:hint="eastAsia" w:ascii="宋体" w:hAnsi="宋体" w:eastAsia="宋体" w:cs="宋体"/>
                <w:color w:val="000000" w:themeColor="text1"/>
                <w:sz w:val="21"/>
                <w:szCs w:val="21"/>
                <w:highlight w:val="none"/>
                <w:u w:val="none"/>
                <w14:textFill>
                  <w14:solidFill>
                    <w14:schemeClr w14:val="tx1"/>
                  </w14:solidFill>
                </w14:textFill>
              </w:rPr>
              <w:t>的见解或创新解决方案，显示出卓越的分析能力和专业水平</w:t>
            </w:r>
            <w:r>
              <w:rPr>
                <w:rFonts w:hint="eastAsia" w:ascii="宋体" w:hAnsi="宋体" w:eastAsia="宋体" w:cs="宋体"/>
                <w:color w:val="000000" w:themeColor="text1"/>
                <w:sz w:val="21"/>
                <w:szCs w:val="21"/>
                <w:highlight w:val="none"/>
                <w:u w:val="none"/>
                <w:lang w:eastAsia="zh-CN"/>
                <w14:textFill>
                  <w14:solidFill>
                    <w14:schemeClr w14:val="tx1"/>
                  </w14:solidFill>
                </w14:textFill>
              </w:rPr>
              <w:t>的</w:t>
            </w:r>
            <w:r>
              <w:rPr>
                <w:rFonts w:ascii="宋体" w:hAnsi="宋体" w:eastAsia="宋体" w:cs="宋体"/>
                <w:color w:val="000000" w:themeColor="text1"/>
                <w:sz w:val="21"/>
                <w:szCs w:val="21"/>
                <w:highlight w:val="none"/>
                <w:u w:val="none"/>
                <w14:textFill>
                  <w14:solidFill>
                    <w14:schemeClr w14:val="tx1"/>
                  </w14:solidFill>
                </w14:textFill>
              </w:rPr>
              <w:t>，得10分；</w:t>
            </w:r>
          </w:p>
          <w:p w14:paraId="312D2082">
            <w:pPr>
              <w:numPr>
                <w:ilvl w:val="0"/>
                <w:numId w:val="0"/>
              </w:numPr>
              <w:snapToGrid w:val="0"/>
              <w:spacing w:line="240" w:lineRule="auto"/>
              <w:jc w:val="left"/>
              <w:rPr>
                <w:rFonts w:hint="default" w:ascii="宋体" w:hAnsi="宋体" w:eastAsia="宋体" w:cs="宋体"/>
                <w:color w:val="000000" w:themeColor="text1"/>
                <w:sz w:val="21"/>
                <w:szCs w:val="21"/>
                <w:highlight w:val="none"/>
                <w:u w:val="none"/>
                <w:lang w:val="en-US"/>
                <w14:textFill>
                  <w14:solidFill>
                    <w14:schemeClr w14:val="tx1"/>
                  </w14:solidFill>
                </w14:textFill>
              </w:rPr>
            </w:pPr>
            <w:r>
              <w:rPr>
                <w:rFonts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en-US" w:eastAsia="zh-CN" w:bidi="ar-SA"/>
                <w14:textFill>
                  <w14:solidFill>
                    <w14:schemeClr w14:val="tx1"/>
                  </w14:solidFill>
                </w14:textFill>
              </w:rPr>
              <w:t>理解全面、准确，方案完整响应了所有关键需求，对项目目标和背景有清晰认识，逻辑严谨，表现出良好的专业性的，得8分；</w:t>
            </w:r>
          </w:p>
          <w:p w14:paraId="4990CCDF">
            <w:pPr>
              <w:numPr>
                <w:ilvl w:val="0"/>
                <w:numId w:val="0"/>
              </w:numPr>
              <w:snapToGrid w:val="0"/>
              <w:spacing w:line="240" w:lineRule="auto"/>
              <w:jc w:val="left"/>
              <w:rPr>
                <w:rFonts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r>
              <w:rPr>
                <w:rFonts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理解基本正确。方案覆盖了主要需求，无原则性错误，但可能缺乏深度、细节或对部分非核心需求关注不够</w:t>
            </w:r>
            <w:r>
              <w:rPr>
                <w:rFonts w:ascii="宋体" w:hAnsi="宋体" w:eastAsia="宋体" w:cs="宋体"/>
                <w:color w:val="000000" w:themeColor="text1"/>
                <w:sz w:val="21"/>
                <w:szCs w:val="21"/>
                <w:highlight w:val="none"/>
                <w:u w:val="none"/>
                <w14:textFill>
                  <w14:solidFill>
                    <w14:schemeClr w14:val="tx1"/>
                  </w14:solidFill>
                </w14:textFill>
              </w:rPr>
              <w:t>的，得6分；</w:t>
            </w:r>
          </w:p>
          <w:p w14:paraId="30408838">
            <w:pPr>
              <w:numPr>
                <w:ilvl w:val="0"/>
                <w:numId w:val="0"/>
              </w:numPr>
              <w:snapToGrid w:val="0"/>
              <w:spacing w:line="240" w:lineRule="auto"/>
              <w:jc w:val="left"/>
              <w:rPr>
                <w:rFonts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w:t>
            </w:r>
            <w:r>
              <w:rPr>
                <w:rFonts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 xml:space="preserve"> 理解存在偏差或不足。方案内容粗糙，对需求响应不完整，或有明显误解</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对项目的认识比较表面化</w:t>
            </w:r>
            <w:r>
              <w:rPr>
                <w:rFonts w:ascii="宋体" w:hAnsi="宋体" w:eastAsia="宋体" w:cs="宋体"/>
                <w:color w:val="000000" w:themeColor="text1"/>
                <w:sz w:val="21"/>
                <w:szCs w:val="21"/>
                <w:highlight w:val="none"/>
                <w:u w:val="none"/>
                <w14:textFill>
                  <w14:solidFill>
                    <w14:schemeClr w14:val="tx1"/>
                  </w14:solidFill>
                </w14:textFill>
              </w:rPr>
              <w:t>的，得</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w:t>
            </w:r>
            <w:r>
              <w:rPr>
                <w:rFonts w:ascii="宋体" w:hAnsi="宋体" w:eastAsia="宋体" w:cs="宋体"/>
                <w:color w:val="000000" w:themeColor="text1"/>
                <w:sz w:val="21"/>
                <w:szCs w:val="21"/>
                <w:highlight w:val="none"/>
                <w:u w:val="none"/>
                <w14:textFill>
                  <w14:solidFill>
                    <w14:schemeClr w14:val="tx1"/>
                  </w14:solidFill>
                </w14:textFill>
              </w:rPr>
              <w:t>分；</w:t>
            </w:r>
          </w:p>
          <w:p w14:paraId="5CA1E385">
            <w:pPr>
              <w:numPr>
                <w:ilvl w:val="0"/>
                <w:numId w:val="0"/>
              </w:numPr>
              <w:snapToGrid w:val="0"/>
              <w:spacing w:line="240" w:lineRule="auto"/>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5.理解严重不足，方案与项目需求关联度低，内容空洞、拼凑，表明未进行认真分析的，得2分；</w:t>
            </w:r>
          </w:p>
          <w:p w14:paraId="3AA8D7D5">
            <w:pPr>
              <w:numPr>
                <w:ilvl w:val="0"/>
                <w:numId w:val="0"/>
              </w:numPr>
              <w:snapToGrid w:val="0"/>
              <w:spacing w:line="240" w:lineRule="auto"/>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6.未提供对应方案或相关描述的，得0分。</w:t>
            </w:r>
          </w:p>
        </w:tc>
        <w:tc>
          <w:tcPr>
            <w:tcW w:w="732" w:type="dxa"/>
            <w:vAlign w:val="center"/>
          </w:tcPr>
          <w:p w14:paraId="38245C0C">
            <w:pPr>
              <w:snapToGrid w:val="0"/>
              <w:spacing w:line="440" w:lineRule="exact"/>
              <w:jc w:val="center"/>
              <w:rPr>
                <w:rFonts w:ascii="宋体" w:hAnsi="宋体" w:eastAsia="宋体" w:cs="宋体"/>
                <w:sz w:val="21"/>
                <w:szCs w:val="21"/>
                <w:highlight w:val="none"/>
              </w:rPr>
            </w:pPr>
            <w:bookmarkStart w:id="249" w:name="_GoBack"/>
            <w:bookmarkEnd w:id="249"/>
          </w:p>
        </w:tc>
      </w:tr>
      <w:tr w14:paraId="45FF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998" w:hRule="atLeast"/>
          <w:jc w:val="center"/>
        </w:trPr>
        <w:tc>
          <w:tcPr>
            <w:tcW w:w="754" w:type="dxa"/>
            <w:vMerge w:val="continue"/>
            <w:vAlign w:val="center"/>
          </w:tcPr>
          <w:p w14:paraId="33802376">
            <w:pPr>
              <w:snapToGrid w:val="0"/>
              <w:spacing w:line="320" w:lineRule="exact"/>
              <w:jc w:val="center"/>
              <w:rPr>
                <w:rFonts w:ascii="宋体" w:hAnsi="宋体" w:eastAsia="宋体" w:cs="宋体"/>
                <w:sz w:val="21"/>
                <w:szCs w:val="21"/>
                <w:highlight w:val="none"/>
              </w:rPr>
            </w:pPr>
          </w:p>
        </w:tc>
        <w:tc>
          <w:tcPr>
            <w:tcW w:w="1086" w:type="dxa"/>
            <w:vAlign w:val="center"/>
          </w:tcPr>
          <w:p w14:paraId="03EFA71E">
            <w:pPr>
              <w:snapToGrid w:val="0"/>
              <w:spacing w:line="320" w:lineRule="exact"/>
              <w:jc w:val="center"/>
              <w:rPr>
                <w:rFonts w:hint="eastAsia" w:ascii="宋体" w:hAnsi="宋体" w:eastAsia="宋体"/>
                <w:sz w:val="21"/>
                <w:szCs w:val="21"/>
                <w:highlight w:val="none"/>
                <w:u w:val="none" w:color="auto"/>
                <w:lang w:val="en-US" w:eastAsia="zh-CN"/>
              </w:rPr>
            </w:pPr>
            <w:r>
              <w:rPr>
                <w:rFonts w:hint="eastAsia" w:ascii="宋体" w:hAnsi="宋体" w:eastAsia="宋体"/>
                <w:sz w:val="21"/>
                <w:szCs w:val="21"/>
                <w:highlight w:val="none"/>
                <w:u w:val="none" w:color="auto"/>
                <w:lang w:val="en-US" w:eastAsia="zh-CN"/>
              </w:rPr>
              <w:t>服务管理实施方案</w:t>
            </w:r>
          </w:p>
        </w:tc>
        <w:tc>
          <w:tcPr>
            <w:tcW w:w="805" w:type="dxa"/>
            <w:vAlign w:val="center"/>
          </w:tcPr>
          <w:p w14:paraId="48DA56F9">
            <w:pPr>
              <w:snapToGrid w:val="0"/>
              <w:spacing w:line="320" w:lineRule="exact"/>
              <w:jc w:val="center"/>
              <w:rPr>
                <w:rFonts w:hint="default" w:ascii="宋体" w:hAnsi="宋体" w:eastAsia="宋体" w:cs="宋体"/>
                <w:sz w:val="21"/>
                <w:szCs w:val="21"/>
                <w:highlight w:val="none"/>
                <w:u w:val="none" w:color="auto"/>
                <w:lang w:val="en-US" w:eastAsia="zh-CN"/>
              </w:rPr>
            </w:pPr>
            <w:r>
              <w:rPr>
                <w:rFonts w:hint="eastAsia" w:ascii="宋体" w:hAnsi="宋体" w:eastAsia="宋体" w:cs="宋体"/>
                <w:sz w:val="21"/>
                <w:szCs w:val="21"/>
                <w:highlight w:val="none"/>
                <w:u w:val="none" w:color="auto"/>
                <w:lang w:val="en-US" w:eastAsia="zh-CN"/>
              </w:rPr>
              <w:t>10分</w:t>
            </w:r>
          </w:p>
        </w:tc>
        <w:tc>
          <w:tcPr>
            <w:tcW w:w="5171" w:type="dxa"/>
            <w:vAlign w:val="center"/>
          </w:tcPr>
          <w:p w14:paraId="189F0038">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pPr>
            <w:r>
              <w:rPr>
                <w:rFonts w:hint="eastAsia" w:ascii="宋体" w:hAnsi="宋体" w:eastAsia="宋体"/>
                <w:color w:val="000000" w:themeColor="text1"/>
                <w:sz w:val="21"/>
                <w:szCs w:val="21"/>
                <w:highlight w:val="none"/>
                <w:u w:val="none" w:color="auto"/>
                <w14:textFill>
                  <w14:solidFill>
                    <w14:schemeClr w14:val="tx1"/>
                  </w14:solidFill>
                </w14:textFill>
              </w:rPr>
              <w:t>根据供应商提供的服务管理实施方案，包括对本项目维保设备维护保养技术组</w:t>
            </w:r>
            <w:r>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t>织计划措施及工作安排等进行综合评审：</w:t>
            </w:r>
          </w:p>
          <w:p w14:paraId="28F92F18">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pPr>
            <w:r>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t>1.在完整性、合理性、可行性和适用性上均表现出色</w:t>
            </w:r>
            <w:r>
              <w:rPr>
                <w:rFonts w:hint="eastAsia" w:ascii="宋体" w:hAnsi="宋体" w:eastAsia="宋体"/>
                <w:color w:val="000000" w:themeColor="text1"/>
                <w:sz w:val="21"/>
                <w:szCs w:val="21"/>
                <w:highlight w:val="none"/>
                <w:u w:val="none" w:color="auto"/>
                <w:shd w:val="clear" w:color="auto" w:fill="auto"/>
                <w:lang w:eastAsia="zh-CN"/>
                <w14:textFill>
                  <w14:solidFill>
                    <w14:schemeClr w14:val="tx1"/>
                  </w14:solidFill>
                </w14:textFill>
              </w:rPr>
              <w:t>，</w:t>
            </w:r>
            <w:r>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t>方案呈现出高度的定制化，对潜在风险有预案，并包含提升服务质量的增值建议的，得10分；</w:t>
            </w:r>
          </w:p>
          <w:p w14:paraId="060922A8">
            <w:pPr>
              <w:numPr>
                <w:ilvl w:val="-1"/>
                <w:numId w:val="0"/>
              </w:numPr>
              <w:snapToGrid w:val="0"/>
              <w:spacing w:line="240" w:lineRule="auto"/>
              <w:ind w:right="0" w:rightChars="0"/>
              <w:jc w:val="left"/>
              <w:rPr>
                <w:rFonts w:hint="default" w:ascii="宋体" w:hAnsi="宋体" w:eastAsia="宋体"/>
                <w:color w:val="000000" w:themeColor="text1"/>
                <w:sz w:val="21"/>
                <w:szCs w:val="21"/>
                <w:highlight w:val="none"/>
                <w:u w:val="none" w:color="auto"/>
                <w:shd w:val="clear" w:color="auto" w:fill="auto"/>
                <w:lang w:val="en-US" w:eastAsia="zh-CN"/>
                <w14:textFill>
                  <w14:solidFill>
                    <w14:schemeClr w14:val="tx1"/>
                  </w14:solidFill>
                </w14:textFill>
              </w:rPr>
            </w:pPr>
            <w:r>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t>2.各项计划与安排合理可行，能有效满足项目需求</w:t>
            </w:r>
            <w:r>
              <w:rPr>
                <w:rFonts w:hint="eastAsia" w:ascii="宋体" w:hAnsi="宋体" w:eastAsia="宋体"/>
                <w:color w:val="000000" w:themeColor="text1"/>
                <w:sz w:val="21"/>
                <w:szCs w:val="21"/>
                <w:highlight w:val="none"/>
                <w:u w:val="none" w:color="auto"/>
                <w:shd w:val="clear" w:color="auto" w:fill="auto"/>
                <w:lang w:eastAsia="zh-CN"/>
                <w14:textFill>
                  <w14:solidFill>
                    <w14:schemeClr w14:val="tx1"/>
                  </w14:solidFill>
                </w14:textFill>
              </w:rPr>
              <w:t>，</w:t>
            </w:r>
            <w:r>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t>方案体现出对本项目的重视和思考，虽偶有细节可优化，但整体具备可靠的落地执行基础</w:t>
            </w:r>
            <w:r>
              <w:rPr>
                <w:rFonts w:hint="eastAsia" w:ascii="宋体" w:hAnsi="宋体" w:eastAsia="宋体"/>
                <w:color w:val="000000" w:themeColor="text1"/>
                <w:sz w:val="21"/>
                <w:szCs w:val="21"/>
                <w:highlight w:val="none"/>
                <w:u w:val="none" w:color="auto"/>
                <w:shd w:val="clear" w:color="auto" w:fill="auto"/>
                <w:lang w:eastAsia="zh-CN"/>
                <w14:textFill>
                  <w14:solidFill>
                    <w14:schemeClr w14:val="tx1"/>
                  </w14:solidFill>
                </w14:textFill>
              </w:rPr>
              <w:t>的，</w:t>
            </w:r>
            <w:r>
              <w:rPr>
                <w:rFonts w:hint="eastAsia" w:ascii="宋体" w:hAnsi="宋体" w:eastAsia="宋体"/>
                <w:color w:val="000000" w:themeColor="text1"/>
                <w:sz w:val="21"/>
                <w:szCs w:val="21"/>
                <w:highlight w:val="none"/>
                <w:u w:val="none" w:color="auto"/>
                <w:shd w:val="clear" w:color="auto" w:fill="auto"/>
                <w:lang w:val="en-US" w:eastAsia="zh-CN"/>
                <w14:textFill>
                  <w14:solidFill>
                    <w14:schemeClr w14:val="tx1"/>
                  </w14:solidFill>
                </w14:textFill>
              </w:rPr>
              <w:t>得8分；</w:t>
            </w:r>
          </w:p>
          <w:p w14:paraId="3C1903B1">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pPr>
            <w:r>
              <w:rPr>
                <w:rFonts w:hint="eastAsia" w:ascii="宋体" w:hAnsi="宋体" w:eastAsia="宋体"/>
                <w:color w:val="000000" w:themeColor="text1"/>
                <w:sz w:val="21"/>
                <w:szCs w:val="21"/>
                <w:highlight w:val="none"/>
                <w:u w:val="none" w:color="auto"/>
                <w:shd w:val="clear" w:color="auto" w:fill="auto"/>
                <w:lang w:val="en-US" w:eastAsia="zh-CN"/>
                <w14:textFill>
                  <w14:solidFill>
                    <w14:schemeClr w14:val="tx1"/>
                  </w14:solidFill>
                </w14:textFill>
              </w:rPr>
              <w:t>3.</w:t>
            </w:r>
            <w:r>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t>具备了基本要素，能覆盖主要维保需求</w:t>
            </w:r>
            <w:r>
              <w:rPr>
                <w:rFonts w:hint="eastAsia" w:ascii="宋体" w:hAnsi="宋体" w:eastAsia="宋体"/>
                <w:color w:val="000000" w:themeColor="text1"/>
                <w:sz w:val="21"/>
                <w:szCs w:val="21"/>
                <w:highlight w:val="none"/>
                <w:u w:val="none" w:color="auto"/>
                <w:shd w:val="clear" w:color="auto" w:fill="auto"/>
                <w:lang w:eastAsia="zh-CN"/>
                <w14:textFill>
                  <w14:solidFill>
                    <w14:schemeClr w14:val="tx1"/>
                  </w14:solidFill>
                </w14:textFill>
              </w:rPr>
              <w:t>，</w:t>
            </w:r>
            <w:r>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t>但在计划的精细度、措施的针对性、或资源的优化配置上存在明显不足的，得6分；</w:t>
            </w:r>
          </w:p>
          <w:p w14:paraId="57AB134C">
            <w:pPr>
              <w:numPr>
                <w:ilvl w:val="-1"/>
                <w:numId w:val="0"/>
              </w:numPr>
              <w:snapToGrid w:val="0"/>
              <w:spacing w:line="240" w:lineRule="auto"/>
              <w:ind w:right="0" w:rightChars="0"/>
              <w:jc w:val="left"/>
              <w:rPr>
                <w:rFonts w:hint="default" w:ascii="宋体" w:hAnsi="宋体" w:eastAsia="宋体"/>
                <w:color w:val="000000" w:themeColor="text1"/>
                <w:sz w:val="21"/>
                <w:szCs w:val="21"/>
                <w:highlight w:val="none"/>
                <w:u w:val="none" w:color="auto"/>
                <w:shd w:val="clear" w:color="auto" w:fill="auto"/>
                <w:lang w:val="en-US" w:eastAsia="zh-CN"/>
                <w14:textFill>
                  <w14:solidFill>
                    <w14:schemeClr w14:val="tx1"/>
                  </w14:solidFill>
                </w14:textFill>
              </w:rPr>
            </w:pPr>
            <w:r>
              <w:rPr>
                <w:rFonts w:hint="eastAsia" w:ascii="宋体" w:hAnsi="宋体" w:eastAsia="宋体"/>
                <w:color w:val="000000" w:themeColor="text1"/>
                <w:sz w:val="21"/>
                <w:szCs w:val="21"/>
                <w:highlight w:val="none"/>
                <w:u w:val="none" w:color="auto"/>
                <w:shd w:val="clear" w:color="auto" w:fill="auto"/>
                <w:lang w:val="en-US" w:eastAsia="zh-CN"/>
                <w14:textFill>
                  <w14:solidFill>
                    <w14:schemeClr w14:val="tx1"/>
                  </w14:solidFill>
                </w14:textFill>
              </w:rPr>
              <w:t>4.内容单薄，多处关键环节缺失或设计不合理，可行性存疑或与项目实际需求契合度低的，得4分；</w:t>
            </w:r>
          </w:p>
          <w:p w14:paraId="24699250">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14:textFill>
                  <w14:solidFill>
                    <w14:schemeClr w14:val="tx1"/>
                  </w14:solidFill>
                </w14:textFill>
              </w:rPr>
            </w:pPr>
            <w:r>
              <w:rPr>
                <w:rFonts w:hint="eastAsia" w:ascii="宋体" w:hAnsi="宋体" w:eastAsia="宋体"/>
                <w:color w:val="000000" w:themeColor="text1"/>
                <w:sz w:val="21"/>
                <w:szCs w:val="21"/>
                <w:highlight w:val="none"/>
                <w:u w:val="none" w:color="auto"/>
                <w:shd w:val="clear" w:color="auto" w:fill="auto"/>
                <w:lang w:val="en-US" w:eastAsia="zh-CN"/>
                <w14:textFill>
                  <w14:solidFill>
                    <w14:schemeClr w14:val="tx1"/>
                  </w14:solidFill>
                </w14:textFill>
              </w:rPr>
              <w:t>5</w:t>
            </w:r>
            <w:r>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t>.内容严重匮乏、拼凑，或直接使用明显不相关的模板</w:t>
            </w:r>
            <w:r>
              <w:rPr>
                <w:rFonts w:hint="eastAsia" w:ascii="宋体" w:hAnsi="宋体" w:eastAsia="宋体"/>
                <w:color w:val="000000" w:themeColor="text1"/>
                <w:sz w:val="21"/>
                <w:szCs w:val="21"/>
                <w:highlight w:val="none"/>
                <w:u w:val="none" w:color="auto"/>
                <w:shd w:val="clear" w:color="auto" w:fill="auto"/>
                <w:lang w:eastAsia="zh-CN"/>
                <w14:textFill>
                  <w14:solidFill>
                    <w14:schemeClr w14:val="tx1"/>
                  </w14:solidFill>
                </w14:textFill>
              </w:rPr>
              <w:t>，</w:t>
            </w:r>
            <w:r>
              <w:rPr>
                <w:rFonts w:hint="eastAsia" w:ascii="宋体" w:hAnsi="宋体" w:eastAsia="宋体"/>
                <w:color w:val="000000" w:themeColor="text1"/>
                <w:sz w:val="21"/>
                <w:szCs w:val="21"/>
                <w:highlight w:val="none"/>
                <w:u w:val="none" w:color="auto"/>
                <w:shd w:val="clear" w:color="auto" w:fill="auto"/>
                <w14:textFill>
                  <w14:solidFill>
                    <w14:schemeClr w14:val="tx1"/>
                  </w14:solidFill>
                </w14:textFill>
              </w:rPr>
              <w:t>无法体现任何有效的服务管理思路，不具备可执行性</w:t>
            </w:r>
            <w:r>
              <w:rPr>
                <w:rFonts w:hint="eastAsia" w:ascii="宋体" w:hAnsi="宋体" w:eastAsia="宋体"/>
                <w:color w:val="000000" w:themeColor="text1"/>
                <w:sz w:val="21"/>
                <w:szCs w:val="21"/>
                <w:highlight w:val="none"/>
                <w:u w:val="none" w:color="auto"/>
                <w14:textFill>
                  <w14:solidFill>
                    <w14:schemeClr w14:val="tx1"/>
                  </w14:solidFill>
                </w14:textFill>
              </w:rPr>
              <w:t>的，得2分；</w:t>
            </w:r>
          </w:p>
          <w:p w14:paraId="1DEBBD59">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single" w:color="FFFFFF" w:themeColor="background1"/>
                <w14:textFill>
                  <w14:solidFill>
                    <w14:schemeClr w14:val="tx1"/>
                  </w14:solidFill>
                </w14:textFill>
              </w:rPr>
            </w:pP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6.</w:t>
            </w:r>
            <w:r>
              <w:rPr>
                <w:rFonts w:hint="eastAsia" w:ascii="宋体" w:hAnsi="宋体" w:eastAsia="宋体"/>
                <w:color w:val="000000" w:themeColor="text1"/>
                <w:sz w:val="21"/>
                <w:szCs w:val="21"/>
                <w:highlight w:val="none"/>
                <w:u w:val="none" w:color="auto"/>
                <w14:textFill>
                  <w14:solidFill>
                    <w14:schemeClr w14:val="tx1"/>
                  </w14:solidFill>
                </w14:textFill>
              </w:rPr>
              <w:t>未提供对应方案的</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w:t>
            </w:r>
            <w:r>
              <w:rPr>
                <w:rFonts w:hint="eastAsia" w:ascii="宋体" w:hAnsi="宋体" w:eastAsia="宋体"/>
                <w:color w:val="000000" w:themeColor="text1"/>
                <w:sz w:val="21"/>
                <w:szCs w:val="21"/>
                <w:highlight w:val="none"/>
                <w:u w:val="none" w:color="auto"/>
                <w14:textFill>
                  <w14:solidFill>
                    <w14:schemeClr w14:val="tx1"/>
                  </w14:solidFill>
                </w14:textFill>
              </w:rPr>
              <w:t>得</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0</w:t>
            </w:r>
            <w:r>
              <w:rPr>
                <w:rFonts w:hint="eastAsia" w:ascii="宋体" w:hAnsi="宋体" w:eastAsia="宋体"/>
                <w:color w:val="000000" w:themeColor="text1"/>
                <w:sz w:val="21"/>
                <w:szCs w:val="21"/>
                <w:highlight w:val="none"/>
                <w:u w:val="none" w:color="auto"/>
                <w14:textFill>
                  <w14:solidFill>
                    <w14:schemeClr w14:val="tx1"/>
                  </w14:solidFill>
                </w14:textFill>
              </w:rPr>
              <w:t>分。</w:t>
            </w:r>
          </w:p>
        </w:tc>
        <w:tc>
          <w:tcPr>
            <w:tcW w:w="732" w:type="dxa"/>
            <w:vAlign w:val="center"/>
          </w:tcPr>
          <w:p w14:paraId="5729E7F2">
            <w:pPr>
              <w:snapToGrid w:val="0"/>
              <w:spacing w:line="440" w:lineRule="exact"/>
              <w:jc w:val="center"/>
              <w:rPr>
                <w:rFonts w:ascii="宋体" w:hAnsi="宋体" w:eastAsia="宋体" w:cs="宋体"/>
                <w:sz w:val="21"/>
                <w:szCs w:val="21"/>
                <w:highlight w:val="none"/>
              </w:rPr>
            </w:pPr>
          </w:p>
        </w:tc>
      </w:tr>
      <w:tr w14:paraId="0630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54" w:type="dxa"/>
            <w:vMerge w:val="continue"/>
            <w:vAlign w:val="center"/>
          </w:tcPr>
          <w:p w14:paraId="5BE291CB">
            <w:pPr>
              <w:snapToGrid w:val="0"/>
              <w:spacing w:line="320" w:lineRule="exact"/>
              <w:jc w:val="center"/>
              <w:rPr>
                <w:rFonts w:ascii="宋体" w:hAnsi="宋体" w:eastAsia="宋体" w:cs="宋体"/>
                <w:sz w:val="21"/>
                <w:szCs w:val="21"/>
                <w:highlight w:val="none"/>
              </w:rPr>
            </w:pPr>
          </w:p>
        </w:tc>
        <w:tc>
          <w:tcPr>
            <w:tcW w:w="1086" w:type="dxa"/>
            <w:vAlign w:val="center"/>
          </w:tcPr>
          <w:p w14:paraId="7C0E93F1">
            <w:pPr>
              <w:snapToGrid w:val="0"/>
              <w:spacing w:line="320" w:lineRule="exact"/>
              <w:jc w:val="center"/>
              <w:rPr>
                <w:rFonts w:hint="eastAsia" w:ascii="宋体" w:hAnsi="宋体" w:eastAsia="宋体"/>
                <w:sz w:val="21"/>
                <w:szCs w:val="21"/>
                <w:highlight w:val="none"/>
                <w:u w:val="single" w:color="FFFFFF" w:themeColor="background1"/>
                <w:lang w:val="en-US" w:eastAsia="zh-CN"/>
              </w:rPr>
            </w:pPr>
            <w:r>
              <w:rPr>
                <w:rFonts w:hint="eastAsia" w:ascii="宋体" w:hAnsi="宋体" w:eastAsia="宋体"/>
                <w:sz w:val="21"/>
                <w:szCs w:val="21"/>
                <w:highlight w:val="none"/>
                <w:u w:val="none" w:color="auto"/>
              </w:rPr>
              <w:t>应急响应承诺与保障</w:t>
            </w:r>
            <w:r>
              <w:rPr>
                <w:rFonts w:hint="eastAsia" w:ascii="宋体" w:hAnsi="宋体" w:eastAsia="宋体"/>
                <w:sz w:val="21"/>
                <w:szCs w:val="21"/>
                <w:highlight w:val="none"/>
                <w:u w:val="none" w:color="auto"/>
                <w:lang w:val="en-US" w:eastAsia="zh-CN"/>
              </w:rPr>
              <w:t>措施</w:t>
            </w:r>
          </w:p>
        </w:tc>
        <w:tc>
          <w:tcPr>
            <w:tcW w:w="805" w:type="dxa"/>
            <w:vAlign w:val="center"/>
          </w:tcPr>
          <w:p w14:paraId="70E83744">
            <w:pPr>
              <w:snapToGrid w:val="0"/>
              <w:spacing w:line="320" w:lineRule="exact"/>
              <w:jc w:val="center"/>
              <w:rPr>
                <w:rFonts w:hint="default" w:ascii="宋体" w:hAnsi="宋体" w:eastAsia="宋体" w:cs="宋体"/>
                <w:sz w:val="21"/>
                <w:szCs w:val="21"/>
                <w:highlight w:val="none"/>
                <w:u w:val="single" w:color="FFFFFF" w:themeColor="background1"/>
                <w:lang w:val="en-US" w:eastAsia="zh-CN"/>
              </w:rPr>
            </w:pPr>
            <w:r>
              <w:rPr>
                <w:rFonts w:hint="eastAsia" w:ascii="宋体" w:hAnsi="宋体" w:eastAsia="宋体" w:cs="宋体"/>
                <w:sz w:val="21"/>
                <w:szCs w:val="21"/>
                <w:highlight w:val="none"/>
                <w:u w:val="none" w:color="auto"/>
                <w:lang w:val="en-US" w:eastAsia="zh-CN"/>
              </w:rPr>
              <w:t>10分</w:t>
            </w:r>
          </w:p>
        </w:tc>
        <w:tc>
          <w:tcPr>
            <w:tcW w:w="5171" w:type="dxa"/>
            <w:vAlign w:val="center"/>
          </w:tcPr>
          <w:p w14:paraId="541D7DA4">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当发生紧急情况时，根据响应人提供的应急响应时间和具体保障措施（如</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已在项目所在地（或距项目所在地≤X公里的范围内）配置了常驻服务团队</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或设立了</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服务网点、</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与</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项目所在地</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具有资质的服务商</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签订了可靠的协作协议</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或其他合理措施等）的承诺情况进行评审：</w:t>
            </w:r>
          </w:p>
          <w:p w14:paraId="42E3DFBA">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14:textFill>
                  <w14:solidFill>
                    <w14:schemeClr w14:val="tx1"/>
                  </w14:solidFill>
                </w14:textFill>
              </w:rPr>
            </w:pPr>
            <w:r>
              <w:rPr>
                <w:rFonts w:hint="eastAsia" w:ascii="宋体" w:hAnsi="宋体" w:eastAsia="宋体"/>
                <w:color w:val="000000" w:themeColor="text1"/>
                <w:sz w:val="21"/>
                <w:szCs w:val="21"/>
                <w:highlight w:val="none"/>
                <w:u w:val="none" w:color="auto"/>
                <w14:textFill>
                  <w14:solidFill>
                    <w14:schemeClr w14:val="tx1"/>
                  </w14:solidFill>
                </w14:textFill>
              </w:rPr>
              <w:t>1.供应商承诺在接到采购人通知后1小时内到达现场并立即开展应急服务</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，且在承诺函中明确</w:t>
            </w:r>
            <w:r>
              <w:rPr>
                <w:rFonts w:hint="default" w:ascii="宋体" w:hAnsi="宋体" w:eastAsia="宋体"/>
                <w:color w:val="000000" w:themeColor="text1"/>
                <w:sz w:val="21"/>
                <w:szCs w:val="21"/>
                <w:highlight w:val="none"/>
                <w:u w:val="none" w:color="auto"/>
                <w:lang w:val="en-US" w:eastAsia="zh-CN"/>
                <w14:textFill>
                  <w14:solidFill>
                    <w14:schemeClr w14:val="tx1"/>
                  </w14:solidFill>
                </w14:textFill>
              </w:rPr>
              <w:t>列明</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为保障此承诺的</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具体措施</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，能确保人员在承诺时间内抵达</w:t>
            </w:r>
            <w:r>
              <w:rPr>
                <w:rFonts w:hint="eastAsia" w:ascii="宋体" w:hAnsi="宋体" w:eastAsia="宋体"/>
                <w:color w:val="000000" w:themeColor="text1"/>
                <w:sz w:val="21"/>
                <w:szCs w:val="21"/>
                <w:highlight w:val="none"/>
                <w:u w:val="none" w:color="auto"/>
                <w14:textFill>
                  <w14:solidFill>
                    <w14:schemeClr w14:val="tx1"/>
                  </w14:solidFill>
                </w14:textFill>
              </w:rPr>
              <w:t>的</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w:t>
            </w:r>
            <w:r>
              <w:rPr>
                <w:rFonts w:hint="eastAsia" w:ascii="宋体" w:hAnsi="宋体" w:eastAsia="宋体"/>
                <w:color w:val="000000" w:themeColor="text1"/>
                <w:sz w:val="21"/>
                <w:szCs w:val="21"/>
                <w:highlight w:val="none"/>
                <w:u w:val="none" w:color="auto"/>
                <w14:textFill>
                  <w14:solidFill>
                    <w14:schemeClr w14:val="tx1"/>
                  </w14:solidFill>
                </w14:textFill>
              </w:rPr>
              <w:t>得</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10</w:t>
            </w:r>
            <w:r>
              <w:rPr>
                <w:rFonts w:hint="eastAsia" w:ascii="宋体" w:hAnsi="宋体" w:eastAsia="宋体"/>
                <w:color w:val="000000" w:themeColor="text1"/>
                <w:sz w:val="21"/>
                <w:szCs w:val="21"/>
                <w:highlight w:val="none"/>
                <w:u w:val="none" w:color="auto"/>
                <w14:textFill>
                  <w14:solidFill>
                    <w14:schemeClr w14:val="tx1"/>
                  </w14:solidFill>
                </w14:textFill>
              </w:rPr>
              <w:t>分；</w:t>
            </w:r>
          </w:p>
          <w:p w14:paraId="6DF52924">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14:textFill>
                  <w14:solidFill>
                    <w14:schemeClr w14:val="tx1"/>
                  </w14:solidFill>
                </w14:textFill>
              </w:rPr>
            </w:pPr>
            <w:r>
              <w:rPr>
                <w:rFonts w:hint="eastAsia" w:ascii="宋体" w:hAnsi="宋体" w:eastAsia="宋体"/>
                <w:color w:val="000000" w:themeColor="text1"/>
                <w:sz w:val="21"/>
                <w:szCs w:val="21"/>
                <w:highlight w:val="none"/>
                <w:u w:val="none" w:color="auto"/>
                <w14:textFill>
                  <w14:solidFill>
                    <w14:schemeClr w14:val="tx1"/>
                  </w14:solidFill>
                </w14:textFill>
              </w:rPr>
              <w:t>2.供应商承诺在接到采购人通知后</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2</w:t>
            </w:r>
            <w:r>
              <w:rPr>
                <w:rFonts w:hint="eastAsia" w:ascii="宋体" w:hAnsi="宋体" w:eastAsia="宋体"/>
                <w:color w:val="000000" w:themeColor="text1"/>
                <w:sz w:val="21"/>
                <w:szCs w:val="21"/>
                <w:highlight w:val="none"/>
                <w:u w:val="none" w:color="auto"/>
                <w14:textFill>
                  <w14:solidFill>
                    <w14:schemeClr w14:val="tx1"/>
                  </w14:solidFill>
                </w14:textFill>
              </w:rPr>
              <w:t>小时</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内</w:t>
            </w:r>
            <w:r>
              <w:rPr>
                <w:rFonts w:hint="eastAsia" w:ascii="宋体" w:hAnsi="宋体" w:eastAsia="宋体"/>
                <w:color w:val="000000" w:themeColor="text1"/>
                <w:sz w:val="21"/>
                <w:szCs w:val="21"/>
                <w:highlight w:val="none"/>
                <w:u w:val="none" w:color="auto"/>
                <w14:textFill>
                  <w14:solidFill>
                    <w14:schemeClr w14:val="tx1"/>
                  </w14:solidFill>
                </w14:textFill>
              </w:rPr>
              <w:t>到达现场并立即开展应急服务</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，且在承诺函中明确</w:t>
            </w:r>
            <w:r>
              <w:rPr>
                <w:rFonts w:hint="default" w:ascii="宋体" w:hAnsi="宋体" w:eastAsia="宋体"/>
                <w:color w:val="000000" w:themeColor="text1"/>
                <w:sz w:val="21"/>
                <w:szCs w:val="21"/>
                <w:highlight w:val="none"/>
                <w:u w:val="none" w:color="auto"/>
                <w:lang w:val="en-US" w:eastAsia="zh-CN"/>
                <w14:textFill>
                  <w14:solidFill>
                    <w14:schemeClr w14:val="tx1"/>
                  </w14:solidFill>
                </w14:textFill>
              </w:rPr>
              <w:t>列明</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为保障此承诺的</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具体措施</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，能确保人员在承诺时间内抵达</w:t>
            </w:r>
            <w:r>
              <w:rPr>
                <w:rFonts w:hint="eastAsia" w:ascii="宋体" w:hAnsi="宋体" w:eastAsia="宋体"/>
                <w:color w:val="000000" w:themeColor="text1"/>
                <w:sz w:val="21"/>
                <w:szCs w:val="21"/>
                <w:highlight w:val="none"/>
                <w:u w:val="none" w:color="auto"/>
                <w14:textFill>
                  <w14:solidFill>
                    <w14:schemeClr w14:val="tx1"/>
                  </w14:solidFill>
                </w14:textFill>
              </w:rPr>
              <w:t>的</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w:t>
            </w:r>
            <w:r>
              <w:rPr>
                <w:rFonts w:hint="eastAsia" w:ascii="宋体" w:hAnsi="宋体" w:eastAsia="宋体"/>
                <w:color w:val="000000" w:themeColor="text1"/>
                <w:sz w:val="21"/>
                <w:szCs w:val="21"/>
                <w:highlight w:val="none"/>
                <w:u w:val="none" w:color="auto"/>
                <w14:textFill>
                  <w14:solidFill>
                    <w14:schemeClr w14:val="tx1"/>
                  </w14:solidFill>
                </w14:textFill>
              </w:rPr>
              <w:t>得</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7</w:t>
            </w:r>
            <w:r>
              <w:rPr>
                <w:rFonts w:hint="eastAsia" w:ascii="宋体" w:hAnsi="宋体" w:eastAsia="宋体"/>
                <w:color w:val="000000" w:themeColor="text1"/>
                <w:sz w:val="21"/>
                <w:szCs w:val="21"/>
                <w:highlight w:val="none"/>
                <w:u w:val="none" w:color="auto"/>
                <w14:textFill>
                  <w14:solidFill>
                    <w14:schemeClr w14:val="tx1"/>
                  </w14:solidFill>
                </w14:textFill>
              </w:rPr>
              <w:t>分；</w:t>
            </w:r>
          </w:p>
          <w:p w14:paraId="33D9F767">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14:textFill>
                  <w14:solidFill>
                    <w14:schemeClr w14:val="tx1"/>
                  </w14:solidFill>
                </w14:textFill>
              </w:rPr>
            </w:pPr>
            <w:r>
              <w:rPr>
                <w:rFonts w:hint="eastAsia" w:ascii="宋体" w:hAnsi="宋体" w:eastAsia="宋体"/>
                <w:color w:val="000000" w:themeColor="text1"/>
                <w:sz w:val="21"/>
                <w:szCs w:val="21"/>
                <w:highlight w:val="none"/>
                <w:u w:val="none" w:color="auto"/>
                <w14:textFill>
                  <w14:solidFill>
                    <w14:schemeClr w14:val="tx1"/>
                  </w14:solidFill>
                </w14:textFill>
              </w:rPr>
              <w:t>2.供应商承诺在接到采购人通知后</w:t>
            </w:r>
            <w:r>
              <w:rPr>
                <w:rFonts w:hint="default" w:ascii="宋体" w:hAnsi="宋体" w:eastAsia="宋体"/>
                <w:color w:val="000000" w:themeColor="text1"/>
                <w:sz w:val="21"/>
                <w:szCs w:val="21"/>
                <w:highlight w:val="none"/>
                <w:u w:val="none" w:color="auto"/>
                <w:lang w:val="en-US"/>
                <w14:textFill>
                  <w14:solidFill>
                    <w14:schemeClr w14:val="tx1"/>
                  </w14:solidFill>
                </w14:textFill>
              </w:rPr>
              <w:t>4</w:t>
            </w:r>
            <w:r>
              <w:rPr>
                <w:rFonts w:hint="eastAsia" w:ascii="宋体" w:hAnsi="宋体" w:eastAsia="宋体"/>
                <w:color w:val="000000" w:themeColor="text1"/>
                <w:sz w:val="21"/>
                <w:szCs w:val="21"/>
                <w:highlight w:val="none"/>
                <w:u w:val="none" w:color="auto"/>
                <w14:textFill>
                  <w14:solidFill>
                    <w14:schemeClr w14:val="tx1"/>
                  </w14:solidFill>
                </w14:textFill>
              </w:rPr>
              <w:t>小时</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内</w:t>
            </w:r>
            <w:r>
              <w:rPr>
                <w:rFonts w:hint="eastAsia" w:ascii="宋体" w:hAnsi="宋体" w:eastAsia="宋体"/>
                <w:color w:val="000000" w:themeColor="text1"/>
                <w:sz w:val="21"/>
                <w:szCs w:val="21"/>
                <w:highlight w:val="none"/>
                <w:u w:val="none" w:color="auto"/>
                <w14:textFill>
                  <w14:solidFill>
                    <w14:schemeClr w14:val="tx1"/>
                  </w14:solidFill>
                </w14:textFill>
              </w:rPr>
              <w:t>到达现场并立即开展应急服务</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，且在承诺函中明确</w:t>
            </w:r>
            <w:r>
              <w:rPr>
                <w:rFonts w:hint="default" w:ascii="宋体" w:hAnsi="宋体" w:eastAsia="宋体"/>
                <w:color w:val="000000" w:themeColor="text1"/>
                <w:sz w:val="21"/>
                <w:szCs w:val="21"/>
                <w:highlight w:val="none"/>
                <w:u w:val="none" w:color="auto"/>
                <w:lang w:val="en-US" w:eastAsia="zh-CN"/>
                <w14:textFill>
                  <w14:solidFill>
                    <w14:schemeClr w14:val="tx1"/>
                  </w14:solidFill>
                </w14:textFill>
              </w:rPr>
              <w:t>列明</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为保障此承诺的</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具体措施</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，能确保人员在承诺时间内抵达</w:t>
            </w:r>
            <w:r>
              <w:rPr>
                <w:rFonts w:hint="eastAsia" w:ascii="宋体" w:hAnsi="宋体" w:eastAsia="宋体"/>
                <w:color w:val="000000" w:themeColor="text1"/>
                <w:sz w:val="21"/>
                <w:szCs w:val="21"/>
                <w:highlight w:val="none"/>
                <w:u w:val="none" w:color="auto"/>
                <w14:textFill>
                  <w14:solidFill>
                    <w14:schemeClr w14:val="tx1"/>
                  </w14:solidFill>
                </w14:textFill>
              </w:rPr>
              <w:t>的</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w:t>
            </w:r>
            <w:r>
              <w:rPr>
                <w:rFonts w:hint="eastAsia" w:ascii="宋体" w:hAnsi="宋体" w:eastAsia="宋体"/>
                <w:color w:val="000000" w:themeColor="text1"/>
                <w:sz w:val="21"/>
                <w:szCs w:val="21"/>
                <w:highlight w:val="none"/>
                <w:u w:val="none" w:color="auto"/>
                <w14:textFill>
                  <w14:solidFill>
                    <w14:schemeClr w14:val="tx1"/>
                  </w14:solidFill>
                </w14:textFill>
              </w:rPr>
              <w:t>得</w:t>
            </w: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4</w:t>
            </w:r>
            <w:r>
              <w:rPr>
                <w:rFonts w:hint="eastAsia" w:ascii="宋体" w:hAnsi="宋体" w:eastAsia="宋体"/>
                <w:color w:val="000000" w:themeColor="text1"/>
                <w:sz w:val="21"/>
                <w:szCs w:val="21"/>
                <w:highlight w:val="none"/>
                <w:u w:val="none" w:color="auto"/>
                <w14:textFill>
                  <w14:solidFill>
                    <w14:schemeClr w14:val="tx1"/>
                  </w14:solidFill>
                </w14:textFill>
              </w:rPr>
              <w:t>分；</w:t>
            </w:r>
          </w:p>
          <w:p w14:paraId="5637A188">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3.供应商承诺在接到采购人通知后4小时内到达现场并立即开展应急服务，但未提供任何具体保障措施说明，仅作原则性承诺，或保障措施不合理、无法确保人员在承诺时间抵达的，得1分；</w:t>
            </w:r>
          </w:p>
          <w:p w14:paraId="48680103">
            <w:pPr>
              <w:numPr>
                <w:ilvl w:val="-1"/>
                <w:numId w:val="0"/>
              </w:numPr>
              <w:snapToGrid w:val="0"/>
              <w:spacing w:line="240" w:lineRule="auto"/>
              <w:ind w:right="0" w:rightChars="0"/>
              <w:jc w:val="left"/>
              <w:rPr>
                <w:rFonts w:hint="default" w:ascii="宋体" w:hAnsi="宋体" w:eastAsia="宋体"/>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4.</w:t>
            </w:r>
            <w:r>
              <w:rPr>
                <w:rFonts w:hint="eastAsia" w:ascii="宋体" w:hAnsi="宋体" w:eastAsia="宋体"/>
                <w:color w:val="000000" w:themeColor="text1"/>
                <w:sz w:val="21"/>
                <w:szCs w:val="21"/>
                <w:highlight w:val="none"/>
                <w:u w:val="none" w:color="auto"/>
                <w14:textFill>
                  <w14:solidFill>
                    <w14:schemeClr w14:val="tx1"/>
                  </w14:solidFill>
                </w14:textFill>
              </w:rPr>
              <w:t>其他情况或没有提供的不得分。</w:t>
            </w:r>
          </w:p>
          <w:p w14:paraId="00F931B9">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14:textFill>
                  <w14:solidFill>
                    <w14:schemeClr w14:val="tx1"/>
                  </w14:solidFill>
                </w14:textFill>
              </w:rPr>
            </w:pPr>
            <w:r>
              <w:rPr>
                <w:rFonts w:hint="eastAsia" w:ascii="宋体" w:hAnsi="宋体" w:eastAsia="宋体"/>
                <w:color w:val="000000" w:themeColor="text1"/>
                <w:sz w:val="21"/>
                <w:szCs w:val="21"/>
                <w:highlight w:val="none"/>
                <w:u w:val="none" w:color="auto"/>
                <w14:textFill>
                  <w14:solidFill>
                    <w14:schemeClr w14:val="tx1"/>
                  </w14:solidFill>
                </w14:textFill>
              </w:rPr>
              <w:t>注：</w:t>
            </w:r>
          </w:p>
          <w:p w14:paraId="33B317F5">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14:textFill>
                  <w14:solidFill>
                    <w14:schemeClr w14:val="tx1"/>
                  </w14:solidFill>
                </w14:textFill>
              </w:rPr>
            </w:pP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①须</w:t>
            </w:r>
            <w:r>
              <w:rPr>
                <w:rFonts w:hint="eastAsia" w:ascii="宋体" w:hAnsi="宋体" w:eastAsia="宋体"/>
                <w:color w:val="000000" w:themeColor="text1"/>
                <w:sz w:val="21"/>
                <w:szCs w:val="21"/>
                <w:highlight w:val="none"/>
                <w:u w:val="none" w:color="auto"/>
                <w14:textFill>
                  <w14:solidFill>
                    <w14:schemeClr w14:val="tx1"/>
                  </w14:solidFill>
                </w14:textFill>
              </w:rPr>
              <w:t>提供相关承诺函</w:t>
            </w:r>
            <w:r>
              <w:rPr>
                <w:rFonts w:hint="eastAsia" w:ascii="宋体" w:hAnsi="宋体" w:eastAsia="宋体"/>
                <w:color w:val="000000" w:themeColor="text1"/>
                <w:sz w:val="21"/>
                <w:szCs w:val="21"/>
                <w:highlight w:val="none"/>
                <w:u w:val="none" w:color="auto"/>
                <w:lang w:eastAsia="zh-CN"/>
                <w14:textFill>
                  <w14:solidFill>
                    <w14:schemeClr w14:val="tx1"/>
                  </w14:solidFill>
                </w14:textFill>
              </w:rPr>
              <w:t>；</w:t>
            </w:r>
          </w:p>
          <w:p w14:paraId="20689CFA">
            <w:pPr>
              <w:numPr>
                <w:ilvl w:val="-1"/>
                <w:numId w:val="0"/>
              </w:numPr>
              <w:snapToGrid w:val="0"/>
              <w:spacing w:line="240" w:lineRule="auto"/>
              <w:ind w:right="0" w:rightChars="0"/>
              <w:jc w:val="left"/>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olor w:val="000000" w:themeColor="text1"/>
                <w:sz w:val="21"/>
                <w:szCs w:val="21"/>
                <w:highlight w:val="none"/>
                <w:u w:val="none" w:color="auto"/>
                <w:lang w:val="en-US" w:eastAsia="zh-CN"/>
                <w14:textFill>
                  <w14:solidFill>
                    <w14:schemeClr w14:val="tx1"/>
                  </w14:solidFill>
                </w14:textFill>
              </w:rPr>
              <w:t>②</w:t>
            </w:r>
            <w:r>
              <w:rPr>
                <w:rFonts w:hint="eastAsia" w:ascii="宋体" w:hAnsi="宋体" w:eastAsia="宋体"/>
                <w:color w:val="000000" w:themeColor="text1"/>
                <w:sz w:val="21"/>
                <w:szCs w:val="21"/>
                <w:highlight w:val="none"/>
                <w:u w:val="none" w:color="auto"/>
                <w14:textFill>
                  <w14:solidFill>
                    <w14:schemeClr w14:val="tx1"/>
                  </w14:solidFill>
                </w14:textFill>
              </w:rPr>
              <w:t>本项所称“到达现场”指服务人员抵达采购人指定的设备故障或服务需求发生地点。</w:t>
            </w:r>
          </w:p>
        </w:tc>
        <w:tc>
          <w:tcPr>
            <w:tcW w:w="732" w:type="dxa"/>
            <w:vAlign w:val="center"/>
          </w:tcPr>
          <w:p w14:paraId="061CE8AE">
            <w:pPr>
              <w:snapToGrid w:val="0"/>
              <w:spacing w:line="440" w:lineRule="exact"/>
              <w:jc w:val="center"/>
              <w:rPr>
                <w:rFonts w:ascii="宋体" w:hAnsi="宋体" w:eastAsia="宋体" w:cs="宋体"/>
                <w:sz w:val="21"/>
                <w:szCs w:val="21"/>
                <w:highlight w:val="none"/>
              </w:rPr>
            </w:pPr>
          </w:p>
        </w:tc>
      </w:tr>
      <w:tr w14:paraId="5E5E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54" w:type="dxa"/>
            <w:vAlign w:val="center"/>
          </w:tcPr>
          <w:p w14:paraId="79B119DF">
            <w:pPr>
              <w:snapToGrid w:val="0"/>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报价部分</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1086" w:type="dxa"/>
            <w:vAlign w:val="center"/>
          </w:tcPr>
          <w:p w14:paraId="56B8486A">
            <w:pPr>
              <w:snapToGrid w:val="0"/>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    总报价</w:t>
            </w:r>
          </w:p>
        </w:tc>
        <w:tc>
          <w:tcPr>
            <w:tcW w:w="805" w:type="dxa"/>
            <w:vAlign w:val="center"/>
          </w:tcPr>
          <w:p w14:paraId="788CCA4F">
            <w:pPr>
              <w:snapToGrid w:val="0"/>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5171" w:type="dxa"/>
            <w:vAlign w:val="center"/>
          </w:tcPr>
          <w:p w14:paraId="477973F7">
            <w:pPr>
              <w:snapToGrid w:val="0"/>
              <w:spacing w:line="240" w:lineRule="auto"/>
              <w:ind w:right="150" w:rightChars="50"/>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rPr>
              <w:t>响应报价最后得分＝P/T×</w:t>
            </w:r>
            <w:r>
              <w:rPr>
                <w:rFonts w:hint="eastAsia" w:ascii="宋体" w:hAnsi="宋体" w:eastAsia="宋体"/>
                <w:sz w:val="21"/>
                <w:szCs w:val="21"/>
                <w:highlight w:val="none"/>
                <w:lang w:val="en-US" w:eastAsia="zh-CN"/>
              </w:rPr>
              <w:t>30</w:t>
            </w:r>
          </w:p>
          <w:p w14:paraId="1F017E35">
            <w:pPr>
              <w:snapToGrid w:val="0"/>
              <w:spacing w:line="240" w:lineRule="auto"/>
              <w:ind w:right="150" w:rightChars="50"/>
              <w:jc w:val="left"/>
              <w:rPr>
                <w:rFonts w:ascii="宋体" w:hAnsi="宋体" w:eastAsia="宋体"/>
                <w:sz w:val="21"/>
                <w:szCs w:val="21"/>
                <w:highlight w:val="none"/>
              </w:rPr>
            </w:pPr>
            <w:r>
              <w:rPr>
                <w:rFonts w:hint="eastAsia" w:ascii="宋体" w:hAnsi="宋体" w:eastAsia="宋体"/>
                <w:sz w:val="21"/>
                <w:szCs w:val="21"/>
                <w:highlight w:val="none"/>
              </w:rPr>
              <w:t>其中P为有效响应人响应总报价的最低价，T为各响应人的响应文件总报价。</w:t>
            </w:r>
          </w:p>
        </w:tc>
        <w:tc>
          <w:tcPr>
            <w:tcW w:w="732" w:type="dxa"/>
            <w:vAlign w:val="center"/>
          </w:tcPr>
          <w:p w14:paraId="3120D069">
            <w:pPr>
              <w:snapToGrid w:val="0"/>
              <w:spacing w:line="440" w:lineRule="exact"/>
              <w:jc w:val="center"/>
              <w:rPr>
                <w:rFonts w:ascii="宋体" w:hAnsi="宋体" w:eastAsia="宋体" w:cs="宋体"/>
                <w:sz w:val="21"/>
                <w:szCs w:val="21"/>
                <w:highlight w:val="none"/>
              </w:rPr>
            </w:pPr>
          </w:p>
        </w:tc>
      </w:tr>
    </w:tbl>
    <w:p w14:paraId="03FF5A33">
      <w:pPr>
        <w:spacing w:line="320" w:lineRule="exact"/>
        <w:rPr>
          <w:rFonts w:hint="eastAsia" w:ascii="宋体" w:hAnsi="宋体" w:eastAsia="宋体" w:cs="宋体"/>
          <w:sz w:val="21"/>
          <w:szCs w:val="21"/>
          <w:highlight w:val="none"/>
          <w:lang w:val="zh-TW" w:eastAsia="zh-TW"/>
        </w:rPr>
      </w:pPr>
    </w:p>
    <w:p w14:paraId="61165EE4">
      <w:pPr>
        <w:spacing w:line="320" w:lineRule="exact"/>
        <w:rPr>
          <w:rFonts w:hint="eastAsia" w:ascii="宋体" w:hAnsi="宋体" w:eastAsia="宋体" w:cs="宋体"/>
          <w:sz w:val="21"/>
          <w:szCs w:val="21"/>
          <w:highlight w:val="none"/>
          <w:lang w:val="zh-TW"/>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5C90D1E8">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26F80657">
      <w:pPr>
        <w:tabs>
          <w:tab w:val="left" w:pos="1245"/>
        </w:tabs>
        <w:spacing w:line="360" w:lineRule="auto"/>
        <w:ind w:firstLine="422" w:firstLineChars="200"/>
        <w:outlineLvl w:val="2"/>
        <w:rPr>
          <w:rFonts w:eastAsia="宋体"/>
          <w:b/>
          <w:sz w:val="21"/>
          <w:szCs w:val="21"/>
          <w:highlight w:val="none"/>
          <w:lang w:eastAsia="zh-TW"/>
        </w:rPr>
      </w:pPr>
    </w:p>
    <w:p w14:paraId="57954EE2">
      <w:pPr>
        <w:pStyle w:val="23"/>
        <w:tabs>
          <w:tab w:val="left" w:pos="1365"/>
        </w:tabs>
        <w:spacing w:line="360" w:lineRule="auto"/>
        <w:outlineLvl w:val="1"/>
        <w:rPr>
          <w:rFonts w:ascii="Times New Roman" w:hAnsi="Times New Roman"/>
          <w:b/>
          <w:sz w:val="24"/>
          <w:szCs w:val="21"/>
          <w:highlight w:val="none"/>
        </w:rPr>
      </w:pPr>
      <w:bookmarkStart w:id="207"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07"/>
    </w:p>
    <w:p w14:paraId="2AF61666">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14:paraId="179437BE">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中标供应商。评审得分相等时，以响应报价得分高的优先；响应报价得分也相等时，由技术部分得分高的优先；技术部分得分也相等时，则在开平市中医院内审监察委会员人员的监督下，随机抽取一家。</w:t>
      </w:r>
      <w:r>
        <w:rPr>
          <w:sz w:val="36"/>
          <w:szCs w:val="28"/>
          <w:highlight w:val="none"/>
        </w:rPr>
        <w:br w:type="page"/>
      </w:r>
    </w:p>
    <w:p w14:paraId="46515477">
      <w:pPr>
        <w:pStyle w:val="2"/>
        <w:keepNext w:val="0"/>
        <w:keepLines w:val="0"/>
        <w:spacing w:before="0" w:after="0" w:line="360" w:lineRule="auto"/>
        <w:jc w:val="center"/>
        <w:rPr>
          <w:rFonts w:ascii="Times New Roman"/>
          <w:sz w:val="36"/>
          <w:szCs w:val="28"/>
          <w:highlight w:val="none"/>
        </w:rPr>
      </w:pPr>
      <w:bookmarkStart w:id="208" w:name="_Toc184723306"/>
      <w:r>
        <w:rPr>
          <w:rFonts w:ascii="Times New Roman"/>
          <w:sz w:val="36"/>
          <w:szCs w:val="28"/>
          <w:highlight w:val="none"/>
        </w:rPr>
        <w:t>第五部分</w:t>
      </w:r>
      <w:bookmarkEnd w:id="194"/>
      <w:bookmarkEnd w:id="195"/>
      <w:bookmarkEnd w:id="196"/>
      <w:bookmarkEnd w:id="197"/>
      <w:bookmarkEnd w:id="198"/>
      <w:bookmarkStart w:id="209" w:name="_Toc51939458"/>
      <w:bookmarkStart w:id="210" w:name="_Toc52021540"/>
      <w:bookmarkStart w:id="211" w:name="_Toc56353013"/>
      <w:bookmarkStart w:id="212" w:name="_Toc231028109"/>
      <w:bookmarkStart w:id="213" w:name="_Toc51756493"/>
      <w:bookmarkStart w:id="214" w:name="_Toc52027928"/>
      <w:r>
        <w:rPr>
          <w:rFonts w:hint="eastAsia" w:ascii="Times New Roman"/>
          <w:sz w:val="36"/>
          <w:szCs w:val="28"/>
          <w:highlight w:val="none"/>
        </w:rPr>
        <w:t xml:space="preserve"> 合同</w:t>
      </w:r>
      <w:r>
        <w:rPr>
          <w:rFonts w:ascii="Times New Roman"/>
          <w:sz w:val="36"/>
          <w:szCs w:val="28"/>
          <w:highlight w:val="none"/>
        </w:rPr>
        <w:t>书格式</w:t>
      </w:r>
      <w:bookmarkEnd w:id="208"/>
      <w:bookmarkEnd w:id="209"/>
      <w:bookmarkEnd w:id="210"/>
      <w:bookmarkEnd w:id="211"/>
      <w:bookmarkEnd w:id="212"/>
      <w:bookmarkEnd w:id="213"/>
      <w:bookmarkEnd w:id="214"/>
    </w:p>
    <w:p w14:paraId="40AB7A9F">
      <w:pPr>
        <w:spacing w:line="360" w:lineRule="auto"/>
        <w:jc w:val="center"/>
        <w:outlineLvl w:val="1"/>
        <w:rPr>
          <w:rFonts w:ascii="宋体" w:hAnsi="宋体" w:eastAsia="宋体"/>
          <w:sz w:val="36"/>
          <w:highlight w:val="none"/>
        </w:rPr>
      </w:pPr>
      <w:bookmarkStart w:id="215"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15"/>
    </w:p>
    <w:bookmarkEnd w:id="199"/>
    <w:bookmarkEnd w:id="200"/>
    <w:bookmarkEnd w:id="201"/>
    <w:bookmarkEnd w:id="202"/>
    <w:bookmarkEnd w:id="203"/>
    <w:bookmarkEnd w:id="204"/>
    <w:p w14:paraId="0CA573AF">
      <w:pPr>
        <w:jc w:val="center"/>
        <w:rPr>
          <w:b/>
          <w:bCs/>
          <w:sz w:val="44"/>
          <w:szCs w:val="44"/>
          <w:highlight w:val="none"/>
        </w:rPr>
      </w:pPr>
      <w:bookmarkStart w:id="216" w:name="_Toc130745579"/>
      <w:bookmarkStart w:id="217" w:name="_Toc463071379"/>
      <w:bookmarkStart w:id="218" w:name="_Toc130700696"/>
      <w:bookmarkStart w:id="219" w:name="_Toc463067548"/>
      <w:bookmarkStart w:id="220" w:name="_Toc465148449"/>
      <w:bookmarkStart w:id="221" w:name="_Toc179863374"/>
      <w:bookmarkStart w:id="222" w:name="_Toc68692538"/>
      <w:bookmarkStart w:id="223" w:name="_Toc206902161"/>
      <w:bookmarkStart w:id="224" w:name="_Toc525038118"/>
      <w:bookmarkStart w:id="225" w:name="_Toc463071832"/>
      <w:bookmarkStart w:id="226" w:name="_Toc56353015"/>
      <w:bookmarkStart w:id="227" w:name="_Toc51756507"/>
      <w:bookmarkStart w:id="228" w:name="_Toc52027930"/>
      <w:bookmarkStart w:id="229" w:name="_Toc51939472"/>
      <w:bookmarkStart w:id="230" w:name="_Toc52021542"/>
      <w:bookmarkStart w:id="231" w:name="_Toc467236767"/>
      <w:bookmarkStart w:id="232" w:name="_Toc454701404"/>
      <w:bookmarkStart w:id="233" w:name="_Toc486671571"/>
      <w:bookmarkStart w:id="234" w:name="_Toc476976199"/>
      <w:bookmarkStart w:id="235" w:name="_Toc458262637"/>
      <w:r>
        <w:rPr>
          <w:highlight w:val="none"/>
        </w:rPr>
        <w:br w:type="page"/>
      </w:r>
      <w:bookmarkStart w:id="236" w:name="OLE_LINK2"/>
      <w:bookmarkStart w:id="237" w:name="OLE_LINK3"/>
      <w:bookmarkStart w:id="238" w:name="_Toc78354640"/>
      <w:r>
        <w:rPr>
          <w:rFonts w:hint="eastAsia"/>
          <w:b/>
          <w:bCs/>
          <w:sz w:val="44"/>
          <w:szCs w:val="28"/>
          <w:highlight w:val="none"/>
        </w:rPr>
        <w:t>开平市中医院</w:t>
      </w:r>
      <w:r>
        <w:rPr>
          <w:rFonts w:hint="eastAsia"/>
          <w:b/>
          <w:bCs/>
          <w:sz w:val="44"/>
          <w:szCs w:val="28"/>
          <w:highlight w:val="none"/>
          <w:lang w:eastAsia="zh-CN"/>
        </w:rPr>
        <w:t>电子胃肠镜年度全保维修服务采购</w:t>
      </w:r>
      <w:r>
        <w:rPr>
          <w:rFonts w:hint="eastAsia"/>
          <w:b/>
          <w:bCs/>
          <w:sz w:val="44"/>
          <w:szCs w:val="28"/>
          <w:highlight w:val="none"/>
        </w:rPr>
        <w:t>项目</w:t>
      </w:r>
      <w:r>
        <w:rPr>
          <w:rFonts w:hint="eastAsia"/>
          <w:b/>
          <w:bCs/>
          <w:sz w:val="44"/>
          <w:szCs w:val="44"/>
          <w:highlight w:val="none"/>
          <w:lang w:val="en-US" w:eastAsia="zh-CN"/>
        </w:rPr>
        <w:t>服务</w:t>
      </w:r>
      <w:r>
        <w:rPr>
          <w:rFonts w:hint="eastAsia"/>
          <w:b/>
          <w:bCs/>
          <w:sz w:val="44"/>
          <w:szCs w:val="44"/>
          <w:highlight w:val="none"/>
        </w:rPr>
        <w:t>合同</w:t>
      </w:r>
    </w:p>
    <w:p w14:paraId="1FB1E119">
      <w:pPr>
        <w:pStyle w:val="17"/>
        <w:jc w:val="center"/>
        <w:rPr>
          <w:b/>
          <w:sz w:val="44"/>
          <w:szCs w:val="44"/>
          <w:highlight w:val="none"/>
        </w:rPr>
      </w:pPr>
      <w:r>
        <w:rPr>
          <w:rFonts w:hint="eastAsia"/>
          <w:b/>
          <w:sz w:val="44"/>
          <w:szCs w:val="44"/>
          <w:highlight w:val="none"/>
        </w:rPr>
        <w:t>（参考范本）</w:t>
      </w:r>
    </w:p>
    <w:p w14:paraId="596BB829">
      <w:pPr>
        <w:pStyle w:val="23"/>
        <w:spacing w:line="360" w:lineRule="auto"/>
        <w:outlineLvl w:val="1"/>
        <w:rPr>
          <w:rFonts w:hint="eastAsia" w:hAnsi="宋体"/>
          <w:sz w:val="24"/>
          <w:szCs w:val="24"/>
          <w:highlight w:val="none"/>
          <w:lang w:val="en-US" w:eastAsia="zh-CN"/>
        </w:rPr>
      </w:pPr>
      <w:bookmarkStart w:id="239" w:name="_Toc184723309"/>
      <w:r>
        <w:rPr>
          <w:rFonts w:hint="eastAsia" w:hAnsi="宋体"/>
          <w:sz w:val="24"/>
          <w:szCs w:val="24"/>
          <w:highlight w:val="none"/>
        </w:rPr>
        <w:t>合同编号：</w:t>
      </w:r>
      <w:r>
        <w:rPr>
          <w:rFonts w:hint="eastAsia" w:hAnsi="宋体"/>
          <w:sz w:val="24"/>
          <w:szCs w:val="24"/>
          <w:highlight w:val="none"/>
          <w:lang w:val="en-US" w:eastAsia="zh-CN"/>
        </w:rPr>
        <w:t xml:space="preserve">                  </w:t>
      </w:r>
    </w:p>
    <w:p w14:paraId="3DD096BE">
      <w:pPr>
        <w:pStyle w:val="23"/>
        <w:spacing w:line="360" w:lineRule="auto"/>
        <w:outlineLvl w:val="1"/>
        <w:rPr>
          <w:rFonts w:hint="eastAsia" w:hAnsi="宋体"/>
          <w:sz w:val="24"/>
          <w:szCs w:val="24"/>
          <w:highlight w:val="none"/>
        </w:rPr>
      </w:pPr>
    </w:p>
    <w:p w14:paraId="021C4BA7">
      <w:pPr>
        <w:pStyle w:val="23"/>
        <w:spacing w:line="360" w:lineRule="auto"/>
        <w:outlineLvl w:val="1"/>
        <w:rPr>
          <w:rFonts w:hint="eastAsia" w:hAnsi="宋体"/>
          <w:sz w:val="24"/>
          <w:szCs w:val="24"/>
          <w:highlight w:val="none"/>
          <w:lang w:val="en-US" w:eastAsia="zh-CN"/>
        </w:rPr>
      </w:pPr>
      <w:r>
        <w:rPr>
          <w:rFonts w:hint="eastAsia" w:hAnsi="宋体"/>
          <w:sz w:val="24"/>
          <w:szCs w:val="24"/>
          <w:highlight w:val="none"/>
        </w:rPr>
        <w:t>甲方：</w:t>
      </w:r>
      <w:r>
        <w:rPr>
          <w:rFonts w:hint="eastAsia" w:hAnsi="宋体"/>
          <w:sz w:val="24"/>
          <w:szCs w:val="24"/>
          <w:highlight w:val="none"/>
          <w:lang w:val="en-US" w:eastAsia="zh-CN"/>
        </w:rPr>
        <w:t xml:space="preserve">             </w:t>
      </w:r>
      <w:r>
        <w:rPr>
          <w:rFonts w:hint="eastAsia" w:hAnsi="宋体"/>
          <w:sz w:val="24"/>
          <w:szCs w:val="24"/>
          <w:highlight w:val="none"/>
        </w:rPr>
        <w:t xml:space="preserve">               统一社会信用代码：</w:t>
      </w:r>
      <w:r>
        <w:rPr>
          <w:rFonts w:hint="eastAsia" w:hAnsi="宋体"/>
          <w:sz w:val="24"/>
          <w:szCs w:val="24"/>
          <w:highlight w:val="none"/>
          <w:lang w:val="en-US" w:eastAsia="zh-CN"/>
        </w:rPr>
        <w:t xml:space="preserve">                  </w:t>
      </w:r>
    </w:p>
    <w:p w14:paraId="463272E2">
      <w:pPr>
        <w:pStyle w:val="23"/>
        <w:spacing w:line="360" w:lineRule="auto"/>
        <w:outlineLvl w:val="1"/>
        <w:rPr>
          <w:rFonts w:hint="eastAsia" w:hAnsi="宋体"/>
          <w:sz w:val="24"/>
          <w:szCs w:val="24"/>
          <w:highlight w:val="none"/>
          <w:lang w:val="en-US" w:eastAsia="zh-CN"/>
        </w:rPr>
      </w:pPr>
      <w:r>
        <w:rPr>
          <w:rFonts w:hint="eastAsia" w:hAnsi="宋体"/>
          <w:sz w:val="24"/>
          <w:szCs w:val="24"/>
          <w:highlight w:val="none"/>
        </w:rPr>
        <w:t>乙方：</w:t>
      </w:r>
      <w:r>
        <w:rPr>
          <w:rFonts w:hint="eastAsia" w:hAnsi="宋体"/>
          <w:sz w:val="24"/>
          <w:szCs w:val="24"/>
          <w:highlight w:val="none"/>
          <w:lang w:val="en-US" w:eastAsia="zh-CN"/>
        </w:rPr>
        <w:t xml:space="preserve">                           </w:t>
      </w:r>
      <w:r>
        <w:rPr>
          <w:rFonts w:hint="eastAsia" w:hAnsi="宋体"/>
          <w:sz w:val="24"/>
          <w:szCs w:val="24"/>
          <w:highlight w:val="none"/>
        </w:rPr>
        <w:t xml:space="preserve"> 统一社会信用代码：</w:t>
      </w:r>
      <w:r>
        <w:rPr>
          <w:rFonts w:hint="eastAsia" w:hAnsi="宋体"/>
          <w:sz w:val="24"/>
          <w:szCs w:val="24"/>
          <w:highlight w:val="none"/>
          <w:lang w:val="en-US" w:eastAsia="zh-CN"/>
        </w:rPr>
        <w:t xml:space="preserve">                  </w:t>
      </w:r>
    </w:p>
    <w:p w14:paraId="4D854BB9">
      <w:pPr>
        <w:pStyle w:val="23"/>
        <w:spacing w:line="360" w:lineRule="auto"/>
        <w:outlineLvl w:val="1"/>
        <w:rPr>
          <w:rFonts w:hint="eastAsia" w:hAnsi="宋体"/>
          <w:sz w:val="24"/>
          <w:szCs w:val="24"/>
          <w:highlight w:val="none"/>
        </w:rPr>
      </w:pPr>
    </w:p>
    <w:p w14:paraId="59E7A4B2">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根据《中华人民共和国政府采购法》及其实施条例和《中华人民共和国民法典》的规定，经双方自愿平等、协商一致，本着平等互利和诚实信用的原则，一致同意签订本合同如下：</w:t>
      </w:r>
    </w:p>
    <w:p w14:paraId="3E1C9A82">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一、合同金额</w:t>
      </w:r>
    </w:p>
    <w:p w14:paraId="643B5055">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 xml:space="preserve">合同金额为人民币 </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u w:val="single"/>
        </w:rPr>
        <w:t xml:space="preserve"> </w:t>
      </w:r>
      <w:r>
        <w:rPr>
          <w:rFonts w:hint="eastAsia" w:hAnsi="宋体"/>
          <w:sz w:val="24"/>
          <w:szCs w:val="24"/>
          <w:highlight w:val="none"/>
        </w:rPr>
        <w:t>元（人民币大写</w:t>
      </w:r>
      <w:r>
        <w:rPr>
          <w:rFonts w:hint="eastAsia" w:hAnsi="宋体"/>
          <w:sz w:val="24"/>
          <w:szCs w:val="24"/>
          <w:highlight w:val="none"/>
          <w:u w:val="single"/>
        </w:rPr>
        <w:t>：</w:t>
      </w:r>
      <w:r>
        <w:rPr>
          <w:rFonts w:hint="eastAsia" w:hAnsi="宋体"/>
          <w:sz w:val="24"/>
          <w:szCs w:val="24"/>
          <w:highlight w:val="none"/>
          <w:u w:val="single"/>
          <w:lang w:val="en-US" w:eastAsia="zh-CN"/>
        </w:rPr>
        <w:t xml:space="preserve">             </w:t>
      </w:r>
      <w:r>
        <w:rPr>
          <w:rFonts w:hint="eastAsia" w:hAnsi="宋体"/>
          <w:sz w:val="24"/>
          <w:szCs w:val="24"/>
          <w:highlight w:val="none"/>
          <w:u w:val="single"/>
        </w:rPr>
        <w:t xml:space="preserve">  </w:t>
      </w:r>
      <w:r>
        <w:rPr>
          <w:rFonts w:hint="eastAsia" w:hAnsi="宋体"/>
          <w:sz w:val="24"/>
          <w:szCs w:val="24"/>
          <w:highlight w:val="none"/>
        </w:rPr>
        <w:t>元整 ） ，该合同总金额是设备检查保养费及维修人员的工时费、更换配件费（仅包含主镜配件或备件，设备周边耗材不在本项目维保范围内）、差旅费、增值税普通发票税金。</w:t>
      </w:r>
    </w:p>
    <w:p w14:paraId="66499AF8">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二、服务范围</w:t>
      </w:r>
    </w:p>
    <w:p w14:paraId="7BBBC92D">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1、甲方聘请乙方提供以下内镜设备保修服务，如下内容：</w:t>
      </w:r>
    </w:p>
    <w:tbl>
      <w:tblPr>
        <w:tblStyle w:val="43"/>
        <w:tblW w:w="910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5"/>
        <w:gridCol w:w="1276"/>
        <w:gridCol w:w="1134"/>
        <w:gridCol w:w="1275"/>
        <w:gridCol w:w="1276"/>
        <w:gridCol w:w="1276"/>
        <w:gridCol w:w="2186"/>
      </w:tblGrid>
      <w:tr w14:paraId="63D825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jc w:val="center"/>
        </w:trPr>
        <w:tc>
          <w:tcPr>
            <w:tcW w:w="685" w:type="dxa"/>
            <w:vAlign w:val="center"/>
          </w:tcPr>
          <w:p w14:paraId="3D5B3600">
            <w:pPr>
              <w:pStyle w:val="23"/>
              <w:spacing w:line="360" w:lineRule="auto"/>
              <w:outlineLvl w:val="1"/>
              <w:rPr>
                <w:rFonts w:hint="eastAsia" w:hAnsi="宋体"/>
                <w:sz w:val="24"/>
                <w:szCs w:val="24"/>
                <w:highlight w:val="none"/>
              </w:rPr>
            </w:pPr>
            <w:r>
              <w:rPr>
                <w:rFonts w:hint="eastAsia" w:hAnsi="宋体"/>
                <w:sz w:val="24"/>
                <w:szCs w:val="24"/>
                <w:highlight w:val="none"/>
              </w:rPr>
              <w:t>序号</w:t>
            </w:r>
          </w:p>
        </w:tc>
        <w:tc>
          <w:tcPr>
            <w:tcW w:w="1276" w:type="dxa"/>
            <w:vAlign w:val="center"/>
          </w:tcPr>
          <w:p w14:paraId="12CF6FB0">
            <w:pPr>
              <w:pStyle w:val="23"/>
              <w:spacing w:line="360" w:lineRule="auto"/>
              <w:outlineLvl w:val="1"/>
              <w:rPr>
                <w:rFonts w:hint="eastAsia" w:hAnsi="宋体"/>
                <w:sz w:val="24"/>
                <w:szCs w:val="24"/>
                <w:highlight w:val="none"/>
              </w:rPr>
            </w:pPr>
            <w:r>
              <w:rPr>
                <w:rFonts w:hint="eastAsia" w:hAnsi="宋体"/>
                <w:sz w:val="24"/>
                <w:szCs w:val="24"/>
                <w:highlight w:val="none"/>
              </w:rPr>
              <w:t>设备名称</w:t>
            </w:r>
          </w:p>
        </w:tc>
        <w:tc>
          <w:tcPr>
            <w:tcW w:w="1134" w:type="dxa"/>
            <w:vAlign w:val="center"/>
          </w:tcPr>
          <w:p w14:paraId="741FC5B6">
            <w:pPr>
              <w:pStyle w:val="23"/>
              <w:spacing w:line="360" w:lineRule="auto"/>
              <w:outlineLvl w:val="1"/>
              <w:rPr>
                <w:rFonts w:hint="eastAsia" w:hAnsi="宋体"/>
                <w:sz w:val="24"/>
                <w:szCs w:val="24"/>
                <w:highlight w:val="none"/>
              </w:rPr>
            </w:pPr>
            <w:r>
              <w:rPr>
                <w:rFonts w:hint="eastAsia" w:hAnsi="宋体"/>
                <w:sz w:val="24"/>
                <w:szCs w:val="24"/>
                <w:highlight w:val="none"/>
              </w:rPr>
              <w:t>品牌</w:t>
            </w:r>
          </w:p>
        </w:tc>
        <w:tc>
          <w:tcPr>
            <w:tcW w:w="1275" w:type="dxa"/>
            <w:vAlign w:val="center"/>
          </w:tcPr>
          <w:p w14:paraId="297B4B33">
            <w:pPr>
              <w:pStyle w:val="23"/>
              <w:spacing w:line="360" w:lineRule="auto"/>
              <w:outlineLvl w:val="1"/>
              <w:rPr>
                <w:rFonts w:hint="eastAsia" w:hAnsi="宋体"/>
                <w:sz w:val="24"/>
                <w:szCs w:val="24"/>
                <w:highlight w:val="none"/>
              </w:rPr>
            </w:pPr>
            <w:r>
              <w:rPr>
                <w:rFonts w:hint="eastAsia" w:hAnsi="宋体"/>
                <w:sz w:val="24"/>
                <w:szCs w:val="24"/>
                <w:highlight w:val="none"/>
              </w:rPr>
              <w:t>型号</w:t>
            </w:r>
          </w:p>
        </w:tc>
        <w:tc>
          <w:tcPr>
            <w:tcW w:w="1276" w:type="dxa"/>
            <w:vAlign w:val="center"/>
          </w:tcPr>
          <w:p w14:paraId="760A6091">
            <w:pPr>
              <w:pStyle w:val="23"/>
              <w:spacing w:line="360" w:lineRule="auto"/>
              <w:outlineLvl w:val="1"/>
              <w:rPr>
                <w:rFonts w:hint="eastAsia" w:hAnsi="宋体"/>
                <w:sz w:val="24"/>
                <w:szCs w:val="24"/>
                <w:highlight w:val="none"/>
              </w:rPr>
            </w:pPr>
            <w:r>
              <w:rPr>
                <w:rFonts w:hint="eastAsia" w:hAnsi="宋体"/>
                <w:sz w:val="24"/>
                <w:szCs w:val="24"/>
                <w:highlight w:val="none"/>
              </w:rPr>
              <w:t>序列号</w:t>
            </w:r>
          </w:p>
        </w:tc>
        <w:tc>
          <w:tcPr>
            <w:tcW w:w="1276" w:type="dxa"/>
            <w:vAlign w:val="center"/>
          </w:tcPr>
          <w:p w14:paraId="08680117">
            <w:pPr>
              <w:pStyle w:val="23"/>
              <w:spacing w:line="360" w:lineRule="auto"/>
              <w:outlineLvl w:val="1"/>
              <w:rPr>
                <w:rFonts w:hint="eastAsia" w:hAnsi="宋体"/>
                <w:sz w:val="24"/>
                <w:szCs w:val="24"/>
                <w:highlight w:val="none"/>
              </w:rPr>
            </w:pPr>
            <w:r>
              <w:rPr>
                <w:rFonts w:hint="eastAsia" w:hAnsi="宋体"/>
                <w:sz w:val="24"/>
                <w:szCs w:val="24"/>
                <w:highlight w:val="none"/>
              </w:rPr>
              <w:t>全保时限</w:t>
            </w:r>
          </w:p>
        </w:tc>
        <w:tc>
          <w:tcPr>
            <w:tcW w:w="2186" w:type="dxa"/>
            <w:vAlign w:val="center"/>
          </w:tcPr>
          <w:p w14:paraId="4603B3B9">
            <w:pPr>
              <w:pStyle w:val="23"/>
              <w:spacing w:line="360" w:lineRule="auto"/>
              <w:outlineLvl w:val="1"/>
              <w:rPr>
                <w:rFonts w:hint="eastAsia" w:hAnsi="宋体"/>
                <w:sz w:val="24"/>
                <w:szCs w:val="24"/>
                <w:highlight w:val="none"/>
              </w:rPr>
            </w:pPr>
            <w:r>
              <w:rPr>
                <w:rFonts w:hint="eastAsia" w:hAnsi="宋体"/>
                <w:sz w:val="24"/>
                <w:szCs w:val="24"/>
                <w:highlight w:val="none"/>
              </w:rPr>
              <w:t>维保时间</w:t>
            </w:r>
          </w:p>
        </w:tc>
      </w:tr>
      <w:tr w14:paraId="7D9BE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2" w:hRule="atLeast"/>
          <w:jc w:val="center"/>
        </w:trPr>
        <w:tc>
          <w:tcPr>
            <w:tcW w:w="685" w:type="dxa"/>
            <w:vAlign w:val="center"/>
          </w:tcPr>
          <w:p w14:paraId="0C7A70B9">
            <w:pPr>
              <w:pStyle w:val="23"/>
              <w:spacing w:line="360" w:lineRule="auto"/>
              <w:outlineLvl w:val="1"/>
              <w:rPr>
                <w:rFonts w:hint="eastAsia" w:hAnsi="宋体"/>
                <w:sz w:val="24"/>
                <w:szCs w:val="24"/>
                <w:highlight w:val="none"/>
              </w:rPr>
            </w:pPr>
            <w:r>
              <w:rPr>
                <w:rFonts w:hint="eastAsia" w:hAnsi="宋体"/>
                <w:sz w:val="24"/>
                <w:szCs w:val="24"/>
                <w:highlight w:val="none"/>
              </w:rPr>
              <w:t>1</w:t>
            </w:r>
          </w:p>
        </w:tc>
        <w:tc>
          <w:tcPr>
            <w:tcW w:w="1276" w:type="dxa"/>
            <w:vAlign w:val="center"/>
          </w:tcPr>
          <w:p w14:paraId="503FB178">
            <w:pPr>
              <w:pStyle w:val="23"/>
              <w:spacing w:line="360" w:lineRule="auto"/>
              <w:outlineLvl w:val="1"/>
              <w:rPr>
                <w:rFonts w:hint="eastAsia" w:hAnsi="宋体"/>
                <w:sz w:val="24"/>
                <w:szCs w:val="24"/>
                <w:highlight w:val="none"/>
              </w:rPr>
            </w:pPr>
            <w:r>
              <w:rPr>
                <w:rFonts w:hint="eastAsia" w:hAnsi="宋体"/>
                <w:sz w:val="24"/>
                <w:szCs w:val="24"/>
                <w:highlight w:val="none"/>
              </w:rPr>
              <w:t>电子胃镜</w:t>
            </w:r>
          </w:p>
        </w:tc>
        <w:tc>
          <w:tcPr>
            <w:tcW w:w="1134" w:type="dxa"/>
            <w:vAlign w:val="center"/>
          </w:tcPr>
          <w:p w14:paraId="47C7A18D">
            <w:pPr>
              <w:pStyle w:val="23"/>
              <w:spacing w:line="360" w:lineRule="auto"/>
              <w:outlineLvl w:val="1"/>
              <w:rPr>
                <w:rFonts w:hint="eastAsia" w:hAnsi="宋体"/>
                <w:sz w:val="24"/>
                <w:szCs w:val="24"/>
                <w:highlight w:val="none"/>
              </w:rPr>
            </w:pPr>
            <w:r>
              <w:rPr>
                <w:rFonts w:hint="eastAsia" w:hAnsi="宋体"/>
                <w:sz w:val="24"/>
                <w:szCs w:val="24"/>
                <w:highlight w:val="none"/>
              </w:rPr>
              <w:t>宾得</w:t>
            </w:r>
          </w:p>
        </w:tc>
        <w:tc>
          <w:tcPr>
            <w:tcW w:w="1275" w:type="dxa"/>
            <w:vAlign w:val="center"/>
          </w:tcPr>
          <w:p w14:paraId="00636CE7">
            <w:pPr>
              <w:pStyle w:val="23"/>
              <w:spacing w:line="360" w:lineRule="auto"/>
              <w:outlineLvl w:val="1"/>
              <w:rPr>
                <w:rFonts w:hint="eastAsia" w:hAnsi="宋体"/>
                <w:sz w:val="24"/>
                <w:szCs w:val="24"/>
                <w:highlight w:val="none"/>
              </w:rPr>
            </w:pPr>
            <w:r>
              <w:rPr>
                <w:rFonts w:hint="eastAsia" w:hAnsi="宋体"/>
                <w:sz w:val="24"/>
                <w:szCs w:val="24"/>
                <w:highlight w:val="none"/>
              </w:rPr>
              <w:t>EG-2990i</w:t>
            </w:r>
          </w:p>
        </w:tc>
        <w:tc>
          <w:tcPr>
            <w:tcW w:w="1276" w:type="dxa"/>
            <w:vAlign w:val="center"/>
          </w:tcPr>
          <w:p w14:paraId="171C8AC0">
            <w:pPr>
              <w:pStyle w:val="23"/>
              <w:spacing w:line="360" w:lineRule="auto"/>
              <w:outlineLvl w:val="1"/>
              <w:rPr>
                <w:rFonts w:hint="eastAsia" w:hAnsi="宋体"/>
                <w:sz w:val="24"/>
                <w:szCs w:val="24"/>
                <w:highlight w:val="none"/>
              </w:rPr>
            </w:pPr>
            <w:r>
              <w:rPr>
                <w:rFonts w:hint="eastAsia" w:hAnsi="宋体"/>
                <w:sz w:val="24"/>
                <w:szCs w:val="24"/>
                <w:highlight w:val="none"/>
              </w:rPr>
              <w:t>B160248</w:t>
            </w:r>
          </w:p>
        </w:tc>
        <w:tc>
          <w:tcPr>
            <w:tcW w:w="1276" w:type="dxa"/>
            <w:vAlign w:val="center"/>
          </w:tcPr>
          <w:p w14:paraId="08DFF08C">
            <w:pPr>
              <w:pStyle w:val="23"/>
              <w:spacing w:line="360" w:lineRule="auto"/>
              <w:jc w:val="center"/>
              <w:outlineLvl w:val="1"/>
              <w:rPr>
                <w:rFonts w:hint="eastAsia" w:hAnsi="宋体"/>
                <w:sz w:val="24"/>
                <w:szCs w:val="24"/>
                <w:highlight w:val="none"/>
              </w:rPr>
            </w:pPr>
            <w:r>
              <w:rPr>
                <w:rFonts w:hint="eastAsia" w:hAnsi="宋体"/>
                <w:sz w:val="24"/>
                <w:szCs w:val="24"/>
                <w:highlight w:val="none"/>
              </w:rPr>
              <w:t>贰年</w:t>
            </w:r>
          </w:p>
        </w:tc>
        <w:tc>
          <w:tcPr>
            <w:tcW w:w="2186" w:type="dxa"/>
            <w:vAlign w:val="center"/>
          </w:tcPr>
          <w:p w14:paraId="02CF849A">
            <w:pPr>
              <w:pStyle w:val="23"/>
              <w:spacing w:line="360" w:lineRule="auto"/>
              <w:ind w:left="720" w:hanging="720" w:hangingChars="300"/>
              <w:outlineLvl w:val="1"/>
              <w:rPr>
                <w:rFonts w:hint="eastAsia" w:hAnsi="宋体"/>
                <w:sz w:val="24"/>
                <w:szCs w:val="24"/>
                <w:highlight w:val="none"/>
              </w:rPr>
            </w:pP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p>
        </w:tc>
      </w:tr>
      <w:tr w14:paraId="12330C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685" w:type="dxa"/>
            <w:vAlign w:val="center"/>
          </w:tcPr>
          <w:p w14:paraId="486FA981">
            <w:pPr>
              <w:pStyle w:val="23"/>
              <w:spacing w:line="360" w:lineRule="auto"/>
              <w:outlineLvl w:val="1"/>
              <w:rPr>
                <w:rFonts w:hint="eastAsia" w:hAnsi="宋体"/>
                <w:sz w:val="24"/>
                <w:szCs w:val="24"/>
                <w:highlight w:val="none"/>
              </w:rPr>
            </w:pPr>
            <w:r>
              <w:rPr>
                <w:rFonts w:hint="eastAsia" w:hAnsi="宋体"/>
                <w:sz w:val="24"/>
                <w:szCs w:val="24"/>
                <w:highlight w:val="none"/>
              </w:rPr>
              <w:t>2</w:t>
            </w:r>
          </w:p>
        </w:tc>
        <w:tc>
          <w:tcPr>
            <w:tcW w:w="1276" w:type="dxa"/>
            <w:vAlign w:val="center"/>
          </w:tcPr>
          <w:p w14:paraId="5CCD293D">
            <w:pPr>
              <w:pStyle w:val="23"/>
              <w:spacing w:line="360" w:lineRule="auto"/>
              <w:outlineLvl w:val="1"/>
              <w:rPr>
                <w:rFonts w:hint="eastAsia" w:hAnsi="宋体"/>
                <w:sz w:val="24"/>
                <w:szCs w:val="24"/>
                <w:highlight w:val="none"/>
              </w:rPr>
            </w:pPr>
            <w:r>
              <w:rPr>
                <w:rFonts w:hint="eastAsia" w:hAnsi="宋体"/>
                <w:sz w:val="24"/>
                <w:szCs w:val="24"/>
                <w:highlight w:val="none"/>
              </w:rPr>
              <w:t>电子肠镜</w:t>
            </w:r>
          </w:p>
        </w:tc>
        <w:tc>
          <w:tcPr>
            <w:tcW w:w="1134" w:type="dxa"/>
            <w:vAlign w:val="center"/>
          </w:tcPr>
          <w:p w14:paraId="1A5BEB51">
            <w:pPr>
              <w:pStyle w:val="23"/>
              <w:spacing w:line="360" w:lineRule="auto"/>
              <w:outlineLvl w:val="1"/>
              <w:rPr>
                <w:rFonts w:hint="eastAsia" w:hAnsi="宋体"/>
                <w:sz w:val="24"/>
                <w:szCs w:val="24"/>
                <w:highlight w:val="none"/>
              </w:rPr>
            </w:pPr>
            <w:r>
              <w:rPr>
                <w:rFonts w:hint="eastAsia" w:hAnsi="宋体"/>
                <w:sz w:val="24"/>
                <w:szCs w:val="24"/>
                <w:highlight w:val="none"/>
              </w:rPr>
              <w:t>宾得</w:t>
            </w:r>
          </w:p>
        </w:tc>
        <w:tc>
          <w:tcPr>
            <w:tcW w:w="1275" w:type="dxa"/>
            <w:vAlign w:val="center"/>
          </w:tcPr>
          <w:p w14:paraId="750ACBEC">
            <w:pPr>
              <w:pStyle w:val="23"/>
              <w:spacing w:line="360" w:lineRule="auto"/>
              <w:outlineLvl w:val="1"/>
              <w:rPr>
                <w:rFonts w:hint="eastAsia" w:hAnsi="宋体"/>
                <w:sz w:val="24"/>
                <w:szCs w:val="24"/>
                <w:highlight w:val="none"/>
              </w:rPr>
            </w:pPr>
            <w:r>
              <w:rPr>
                <w:rFonts w:hint="eastAsia" w:hAnsi="宋体"/>
                <w:sz w:val="24"/>
                <w:szCs w:val="24"/>
                <w:highlight w:val="none"/>
              </w:rPr>
              <w:t>EC-3890Fi</w:t>
            </w:r>
          </w:p>
        </w:tc>
        <w:tc>
          <w:tcPr>
            <w:tcW w:w="1276" w:type="dxa"/>
            <w:vAlign w:val="center"/>
          </w:tcPr>
          <w:p w14:paraId="6375EED5">
            <w:pPr>
              <w:pStyle w:val="23"/>
              <w:spacing w:line="360" w:lineRule="auto"/>
              <w:outlineLvl w:val="1"/>
              <w:rPr>
                <w:rFonts w:hint="eastAsia" w:hAnsi="宋体"/>
                <w:sz w:val="24"/>
                <w:szCs w:val="24"/>
                <w:highlight w:val="none"/>
              </w:rPr>
            </w:pPr>
            <w:r>
              <w:rPr>
                <w:rFonts w:hint="eastAsia" w:hAnsi="宋体"/>
                <w:sz w:val="24"/>
                <w:szCs w:val="24"/>
                <w:highlight w:val="none"/>
              </w:rPr>
              <w:t>B160201</w:t>
            </w:r>
          </w:p>
        </w:tc>
        <w:tc>
          <w:tcPr>
            <w:tcW w:w="1276" w:type="dxa"/>
            <w:vAlign w:val="center"/>
          </w:tcPr>
          <w:p w14:paraId="6F97DFA0">
            <w:pPr>
              <w:pStyle w:val="23"/>
              <w:spacing w:line="360" w:lineRule="auto"/>
              <w:jc w:val="center"/>
              <w:outlineLvl w:val="1"/>
              <w:rPr>
                <w:rFonts w:hint="eastAsia" w:hAnsi="宋体"/>
                <w:sz w:val="24"/>
                <w:szCs w:val="24"/>
                <w:highlight w:val="none"/>
              </w:rPr>
            </w:pPr>
            <w:r>
              <w:rPr>
                <w:rFonts w:hint="eastAsia" w:hAnsi="宋体"/>
                <w:sz w:val="24"/>
                <w:szCs w:val="24"/>
                <w:highlight w:val="none"/>
              </w:rPr>
              <w:t>贰年</w:t>
            </w:r>
          </w:p>
        </w:tc>
        <w:tc>
          <w:tcPr>
            <w:tcW w:w="2186" w:type="dxa"/>
            <w:vAlign w:val="center"/>
          </w:tcPr>
          <w:p w14:paraId="06CDF8CB">
            <w:pPr>
              <w:pStyle w:val="23"/>
              <w:spacing w:line="360" w:lineRule="auto"/>
              <w:ind w:left="720" w:leftChars="0" w:hanging="720" w:hangingChars="300"/>
              <w:outlineLvl w:val="1"/>
              <w:rPr>
                <w:rFonts w:hint="eastAsia" w:hAnsi="宋体"/>
                <w:sz w:val="24"/>
                <w:szCs w:val="24"/>
                <w:highlight w:val="none"/>
              </w:rPr>
            </w:pP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p>
        </w:tc>
      </w:tr>
      <w:tr w14:paraId="0B688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685" w:type="dxa"/>
            <w:vAlign w:val="center"/>
          </w:tcPr>
          <w:p w14:paraId="77218B80">
            <w:pPr>
              <w:pStyle w:val="23"/>
              <w:spacing w:line="360" w:lineRule="auto"/>
              <w:outlineLvl w:val="1"/>
              <w:rPr>
                <w:rFonts w:hint="eastAsia" w:hAnsi="宋体"/>
                <w:sz w:val="24"/>
                <w:szCs w:val="24"/>
                <w:highlight w:val="none"/>
              </w:rPr>
            </w:pPr>
            <w:r>
              <w:rPr>
                <w:rFonts w:hint="eastAsia" w:hAnsi="宋体"/>
                <w:sz w:val="24"/>
                <w:szCs w:val="24"/>
                <w:highlight w:val="none"/>
              </w:rPr>
              <w:t>3</w:t>
            </w:r>
          </w:p>
        </w:tc>
        <w:tc>
          <w:tcPr>
            <w:tcW w:w="1276" w:type="dxa"/>
            <w:vAlign w:val="center"/>
          </w:tcPr>
          <w:p w14:paraId="06E2CEAD">
            <w:pPr>
              <w:pStyle w:val="23"/>
              <w:spacing w:line="360" w:lineRule="auto"/>
              <w:outlineLvl w:val="1"/>
              <w:rPr>
                <w:rFonts w:hint="eastAsia" w:hAnsi="宋体"/>
                <w:sz w:val="24"/>
                <w:szCs w:val="24"/>
                <w:highlight w:val="none"/>
              </w:rPr>
            </w:pPr>
            <w:r>
              <w:rPr>
                <w:rFonts w:hint="eastAsia" w:hAnsi="宋体"/>
                <w:sz w:val="24"/>
                <w:szCs w:val="24"/>
                <w:highlight w:val="none"/>
              </w:rPr>
              <w:t>电子胃镜</w:t>
            </w:r>
          </w:p>
        </w:tc>
        <w:tc>
          <w:tcPr>
            <w:tcW w:w="1134" w:type="dxa"/>
            <w:vAlign w:val="center"/>
          </w:tcPr>
          <w:p w14:paraId="3144B67F">
            <w:pPr>
              <w:pStyle w:val="23"/>
              <w:spacing w:line="360" w:lineRule="auto"/>
              <w:outlineLvl w:val="1"/>
              <w:rPr>
                <w:rFonts w:hint="eastAsia" w:hAnsi="宋体"/>
                <w:sz w:val="24"/>
                <w:szCs w:val="24"/>
                <w:highlight w:val="none"/>
              </w:rPr>
            </w:pPr>
            <w:r>
              <w:rPr>
                <w:rFonts w:hint="eastAsia" w:hAnsi="宋体"/>
                <w:sz w:val="24"/>
                <w:szCs w:val="24"/>
                <w:highlight w:val="none"/>
              </w:rPr>
              <w:t>奥林巴斯</w:t>
            </w:r>
          </w:p>
        </w:tc>
        <w:tc>
          <w:tcPr>
            <w:tcW w:w="1275" w:type="dxa"/>
            <w:vAlign w:val="center"/>
          </w:tcPr>
          <w:p w14:paraId="01A7E17F">
            <w:pPr>
              <w:pStyle w:val="23"/>
              <w:spacing w:line="360" w:lineRule="auto"/>
              <w:outlineLvl w:val="1"/>
              <w:rPr>
                <w:rFonts w:hint="eastAsia" w:hAnsi="宋体"/>
                <w:sz w:val="24"/>
                <w:szCs w:val="24"/>
                <w:highlight w:val="none"/>
              </w:rPr>
            </w:pPr>
            <w:r>
              <w:rPr>
                <w:rFonts w:hint="eastAsia" w:hAnsi="宋体"/>
                <w:sz w:val="24"/>
                <w:szCs w:val="24"/>
                <w:highlight w:val="none"/>
              </w:rPr>
              <w:t>GIF-HQ290</w:t>
            </w:r>
          </w:p>
        </w:tc>
        <w:tc>
          <w:tcPr>
            <w:tcW w:w="1276" w:type="dxa"/>
            <w:vAlign w:val="center"/>
          </w:tcPr>
          <w:p w14:paraId="3A8BE861">
            <w:pPr>
              <w:pStyle w:val="23"/>
              <w:spacing w:line="360" w:lineRule="auto"/>
              <w:outlineLvl w:val="1"/>
              <w:rPr>
                <w:rFonts w:hint="eastAsia" w:hAnsi="宋体"/>
                <w:sz w:val="24"/>
                <w:szCs w:val="24"/>
                <w:highlight w:val="none"/>
              </w:rPr>
            </w:pPr>
            <w:r>
              <w:rPr>
                <w:rFonts w:hint="eastAsia" w:hAnsi="宋体"/>
                <w:sz w:val="24"/>
                <w:szCs w:val="24"/>
                <w:highlight w:val="none"/>
              </w:rPr>
              <w:t>2959127</w:t>
            </w:r>
          </w:p>
        </w:tc>
        <w:tc>
          <w:tcPr>
            <w:tcW w:w="1276" w:type="dxa"/>
            <w:vAlign w:val="center"/>
          </w:tcPr>
          <w:p w14:paraId="5E2B1980">
            <w:pPr>
              <w:pStyle w:val="23"/>
              <w:spacing w:line="360" w:lineRule="auto"/>
              <w:jc w:val="center"/>
              <w:outlineLvl w:val="1"/>
              <w:rPr>
                <w:rFonts w:hint="eastAsia" w:hAnsi="宋体"/>
                <w:sz w:val="24"/>
                <w:szCs w:val="24"/>
                <w:highlight w:val="none"/>
              </w:rPr>
            </w:pPr>
            <w:r>
              <w:rPr>
                <w:rFonts w:hint="eastAsia" w:hAnsi="宋体"/>
                <w:sz w:val="24"/>
                <w:szCs w:val="24"/>
                <w:highlight w:val="none"/>
              </w:rPr>
              <w:t>贰年</w:t>
            </w:r>
          </w:p>
        </w:tc>
        <w:tc>
          <w:tcPr>
            <w:tcW w:w="2186" w:type="dxa"/>
            <w:vAlign w:val="center"/>
          </w:tcPr>
          <w:p w14:paraId="3656FAB5">
            <w:pPr>
              <w:pStyle w:val="23"/>
              <w:spacing w:line="360" w:lineRule="auto"/>
              <w:ind w:left="720" w:leftChars="0" w:hanging="720" w:hangingChars="300"/>
              <w:outlineLvl w:val="1"/>
              <w:rPr>
                <w:rFonts w:hint="eastAsia" w:hAnsi="宋体"/>
                <w:sz w:val="24"/>
                <w:szCs w:val="24"/>
                <w:highlight w:val="none"/>
              </w:rPr>
            </w:pP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p>
        </w:tc>
      </w:tr>
      <w:tr w14:paraId="4E3DFB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685" w:type="dxa"/>
            <w:vAlign w:val="center"/>
          </w:tcPr>
          <w:p w14:paraId="20CC6217">
            <w:pPr>
              <w:pStyle w:val="23"/>
              <w:spacing w:line="360" w:lineRule="auto"/>
              <w:outlineLvl w:val="1"/>
              <w:rPr>
                <w:rFonts w:hint="eastAsia" w:hAnsi="宋体"/>
                <w:sz w:val="24"/>
                <w:szCs w:val="24"/>
                <w:highlight w:val="none"/>
              </w:rPr>
            </w:pPr>
            <w:r>
              <w:rPr>
                <w:rFonts w:hint="eastAsia" w:hAnsi="宋体"/>
                <w:sz w:val="24"/>
                <w:szCs w:val="24"/>
                <w:highlight w:val="none"/>
              </w:rPr>
              <w:t>4</w:t>
            </w:r>
          </w:p>
        </w:tc>
        <w:tc>
          <w:tcPr>
            <w:tcW w:w="1276" w:type="dxa"/>
            <w:vAlign w:val="center"/>
          </w:tcPr>
          <w:p w14:paraId="2AB3A501">
            <w:pPr>
              <w:pStyle w:val="23"/>
              <w:spacing w:line="360" w:lineRule="auto"/>
              <w:outlineLvl w:val="1"/>
              <w:rPr>
                <w:rFonts w:hint="eastAsia" w:hAnsi="宋体"/>
                <w:sz w:val="24"/>
                <w:szCs w:val="24"/>
                <w:highlight w:val="none"/>
              </w:rPr>
            </w:pPr>
            <w:r>
              <w:rPr>
                <w:rFonts w:hint="eastAsia" w:hAnsi="宋体"/>
                <w:sz w:val="24"/>
                <w:szCs w:val="24"/>
                <w:highlight w:val="none"/>
              </w:rPr>
              <w:t>电子肠镜</w:t>
            </w:r>
          </w:p>
        </w:tc>
        <w:tc>
          <w:tcPr>
            <w:tcW w:w="1134" w:type="dxa"/>
            <w:vAlign w:val="center"/>
          </w:tcPr>
          <w:p w14:paraId="025890FA">
            <w:pPr>
              <w:pStyle w:val="23"/>
              <w:spacing w:line="360" w:lineRule="auto"/>
              <w:outlineLvl w:val="1"/>
              <w:rPr>
                <w:rFonts w:hint="eastAsia" w:hAnsi="宋体"/>
                <w:sz w:val="24"/>
                <w:szCs w:val="24"/>
                <w:highlight w:val="none"/>
              </w:rPr>
            </w:pPr>
            <w:r>
              <w:rPr>
                <w:rFonts w:hint="eastAsia" w:hAnsi="宋体"/>
                <w:sz w:val="24"/>
                <w:szCs w:val="24"/>
                <w:highlight w:val="none"/>
              </w:rPr>
              <w:t>奥林巴斯</w:t>
            </w:r>
          </w:p>
        </w:tc>
        <w:tc>
          <w:tcPr>
            <w:tcW w:w="1275" w:type="dxa"/>
            <w:vAlign w:val="center"/>
          </w:tcPr>
          <w:p w14:paraId="1714CA0D">
            <w:pPr>
              <w:pStyle w:val="23"/>
              <w:spacing w:line="360" w:lineRule="auto"/>
              <w:outlineLvl w:val="1"/>
              <w:rPr>
                <w:rFonts w:hint="eastAsia" w:hAnsi="宋体"/>
                <w:sz w:val="24"/>
                <w:szCs w:val="24"/>
                <w:highlight w:val="none"/>
              </w:rPr>
            </w:pPr>
            <w:r>
              <w:rPr>
                <w:rFonts w:hint="eastAsia" w:hAnsi="宋体"/>
                <w:sz w:val="24"/>
                <w:szCs w:val="24"/>
                <w:highlight w:val="none"/>
              </w:rPr>
              <w:t>CF-HQ290I</w:t>
            </w:r>
          </w:p>
        </w:tc>
        <w:tc>
          <w:tcPr>
            <w:tcW w:w="1276" w:type="dxa"/>
            <w:vAlign w:val="center"/>
          </w:tcPr>
          <w:p w14:paraId="6F3B8800">
            <w:pPr>
              <w:pStyle w:val="23"/>
              <w:spacing w:line="360" w:lineRule="auto"/>
              <w:outlineLvl w:val="1"/>
              <w:rPr>
                <w:rFonts w:hint="eastAsia" w:hAnsi="宋体"/>
                <w:sz w:val="24"/>
                <w:szCs w:val="24"/>
                <w:highlight w:val="none"/>
              </w:rPr>
            </w:pPr>
            <w:r>
              <w:rPr>
                <w:rFonts w:hint="eastAsia" w:hAnsi="宋体"/>
                <w:sz w:val="24"/>
                <w:szCs w:val="24"/>
                <w:highlight w:val="none"/>
              </w:rPr>
              <w:t>2954866</w:t>
            </w:r>
          </w:p>
        </w:tc>
        <w:tc>
          <w:tcPr>
            <w:tcW w:w="1276" w:type="dxa"/>
            <w:vAlign w:val="center"/>
          </w:tcPr>
          <w:p w14:paraId="10365A14">
            <w:pPr>
              <w:pStyle w:val="23"/>
              <w:spacing w:line="360" w:lineRule="auto"/>
              <w:jc w:val="center"/>
              <w:outlineLvl w:val="1"/>
              <w:rPr>
                <w:rFonts w:hint="eastAsia" w:hAnsi="宋体"/>
                <w:sz w:val="24"/>
                <w:szCs w:val="24"/>
                <w:highlight w:val="none"/>
              </w:rPr>
            </w:pPr>
            <w:r>
              <w:rPr>
                <w:rFonts w:hint="eastAsia" w:hAnsi="宋体"/>
                <w:sz w:val="24"/>
                <w:szCs w:val="24"/>
                <w:highlight w:val="none"/>
              </w:rPr>
              <w:t>贰年</w:t>
            </w:r>
          </w:p>
        </w:tc>
        <w:tc>
          <w:tcPr>
            <w:tcW w:w="2186" w:type="dxa"/>
            <w:shd w:val="clear" w:color="auto" w:fill="auto"/>
            <w:vAlign w:val="center"/>
          </w:tcPr>
          <w:p w14:paraId="4FF6AC3D">
            <w:pPr>
              <w:pStyle w:val="23"/>
              <w:spacing w:line="360" w:lineRule="auto"/>
              <w:ind w:left="720" w:leftChars="0" w:hanging="720" w:hangingChars="300"/>
              <w:outlineLvl w:val="1"/>
              <w:rPr>
                <w:rFonts w:hint="eastAsia" w:ascii="宋体" w:hAnsi="宋体" w:eastAsia="宋体" w:cs="Times New Roman"/>
                <w:kern w:val="2"/>
                <w:sz w:val="24"/>
                <w:szCs w:val="24"/>
                <w:highlight w:val="none"/>
                <w:lang w:val="en-US" w:eastAsia="zh-CN" w:bidi="ar-SA"/>
              </w:rPr>
            </w:pP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p>
        </w:tc>
      </w:tr>
      <w:tr w14:paraId="563637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685" w:type="dxa"/>
            <w:vAlign w:val="center"/>
          </w:tcPr>
          <w:p w14:paraId="17E23615">
            <w:pPr>
              <w:pStyle w:val="23"/>
              <w:spacing w:line="360" w:lineRule="auto"/>
              <w:outlineLvl w:val="1"/>
              <w:rPr>
                <w:rFonts w:hint="eastAsia" w:hAnsi="宋体"/>
                <w:sz w:val="24"/>
                <w:szCs w:val="24"/>
                <w:highlight w:val="none"/>
              </w:rPr>
            </w:pPr>
            <w:r>
              <w:rPr>
                <w:rFonts w:hint="eastAsia" w:hAnsi="宋体"/>
                <w:sz w:val="24"/>
                <w:szCs w:val="24"/>
                <w:highlight w:val="none"/>
              </w:rPr>
              <w:t>5</w:t>
            </w:r>
          </w:p>
        </w:tc>
        <w:tc>
          <w:tcPr>
            <w:tcW w:w="1276" w:type="dxa"/>
            <w:vAlign w:val="center"/>
          </w:tcPr>
          <w:p w14:paraId="3AAD0ED7">
            <w:pPr>
              <w:pStyle w:val="23"/>
              <w:spacing w:line="360" w:lineRule="auto"/>
              <w:outlineLvl w:val="1"/>
              <w:rPr>
                <w:rFonts w:hint="eastAsia" w:hAnsi="宋体"/>
                <w:sz w:val="24"/>
                <w:szCs w:val="24"/>
                <w:highlight w:val="none"/>
              </w:rPr>
            </w:pPr>
            <w:r>
              <w:rPr>
                <w:rFonts w:hint="eastAsia" w:hAnsi="宋体"/>
                <w:sz w:val="24"/>
                <w:szCs w:val="24"/>
                <w:highlight w:val="none"/>
              </w:rPr>
              <w:t>可视软性喉镜</w:t>
            </w:r>
          </w:p>
        </w:tc>
        <w:tc>
          <w:tcPr>
            <w:tcW w:w="1134" w:type="dxa"/>
            <w:vAlign w:val="center"/>
          </w:tcPr>
          <w:p w14:paraId="7653B491">
            <w:pPr>
              <w:pStyle w:val="23"/>
              <w:spacing w:line="360" w:lineRule="auto"/>
              <w:outlineLvl w:val="1"/>
              <w:rPr>
                <w:rFonts w:hint="eastAsia" w:hAnsi="宋体"/>
                <w:sz w:val="24"/>
                <w:szCs w:val="24"/>
                <w:highlight w:val="none"/>
              </w:rPr>
            </w:pPr>
            <w:r>
              <w:rPr>
                <w:rFonts w:hint="eastAsia" w:hAnsi="宋体"/>
                <w:sz w:val="24"/>
                <w:szCs w:val="24"/>
                <w:highlight w:val="none"/>
              </w:rPr>
              <w:t>优亿</w:t>
            </w:r>
          </w:p>
        </w:tc>
        <w:tc>
          <w:tcPr>
            <w:tcW w:w="1275" w:type="dxa"/>
            <w:vAlign w:val="center"/>
          </w:tcPr>
          <w:p w14:paraId="1574B43F">
            <w:pPr>
              <w:pStyle w:val="23"/>
              <w:spacing w:line="360" w:lineRule="auto"/>
              <w:outlineLvl w:val="1"/>
              <w:rPr>
                <w:rFonts w:hint="eastAsia" w:hAnsi="宋体"/>
                <w:sz w:val="24"/>
                <w:szCs w:val="24"/>
                <w:highlight w:val="none"/>
              </w:rPr>
            </w:pPr>
            <w:r>
              <w:rPr>
                <w:rFonts w:hint="eastAsia" w:hAnsi="宋体"/>
                <w:sz w:val="24"/>
                <w:szCs w:val="24"/>
                <w:highlight w:val="none"/>
              </w:rPr>
              <w:t>TIC-I4</w:t>
            </w:r>
          </w:p>
        </w:tc>
        <w:tc>
          <w:tcPr>
            <w:tcW w:w="1276" w:type="dxa"/>
            <w:vAlign w:val="center"/>
          </w:tcPr>
          <w:p w14:paraId="50054D22">
            <w:pPr>
              <w:pStyle w:val="23"/>
              <w:spacing w:line="360" w:lineRule="auto"/>
              <w:outlineLvl w:val="1"/>
              <w:rPr>
                <w:rFonts w:hint="eastAsia" w:hAnsi="宋体"/>
                <w:sz w:val="24"/>
                <w:szCs w:val="24"/>
                <w:highlight w:val="none"/>
              </w:rPr>
            </w:pPr>
            <w:r>
              <w:rPr>
                <w:rFonts w:hint="eastAsia" w:hAnsi="宋体"/>
                <w:sz w:val="24"/>
                <w:szCs w:val="24"/>
                <w:highlight w:val="none"/>
              </w:rPr>
              <w:t>UE1004126</w:t>
            </w:r>
          </w:p>
        </w:tc>
        <w:tc>
          <w:tcPr>
            <w:tcW w:w="1276" w:type="dxa"/>
            <w:vAlign w:val="center"/>
          </w:tcPr>
          <w:p w14:paraId="753C0042">
            <w:pPr>
              <w:pStyle w:val="23"/>
              <w:spacing w:line="360" w:lineRule="auto"/>
              <w:jc w:val="center"/>
              <w:outlineLvl w:val="1"/>
              <w:rPr>
                <w:rFonts w:hint="eastAsia" w:hAnsi="宋体"/>
                <w:sz w:val="24"/>
                <w:szCs w:val="24"/>
                <w:highlight w:val="none"/>
              </w:rPr>
            </w:pPr>
            <w:r>
              <w:rPr>
                <w:rFonts w:hint="eastAsia" w:hAnsi="宋体"/>
                <w:sz w:val="24"/>
                <w:szCs w:val="24"/>
                <w:highlight w:val="none"/>
              </w:rPr>
              <w:t>贰年</w:t>
            </w:r>
          </w:p>
        </w:tc>
        <w:tc>
          <w:tcPr>
            <w:tcW w:w="2186" w:type="dxa"/>
            <w:vAlign w:val="center"/>
          </w:tcPr>
          <w:p w14:paraId="27BAE4F5">
            <w:pPr>
              <w:pStyle w:val="23"/>
              <w:spacing w:line="360" w:lineRule="auto"/>
              <w:ind w:left="720" w:leftChars="0" w:hanging="720" w:hangingChars="300"/>
              <w:outlineLvl w:val="1"/>
              <w:rPr>
                <w:rFonts w:hint="eastAsia" w:hAnsi="宋体"/>
                <w:sz w:val="24"/>
                <w:szCs w:val="24"/>
                <w:highlight w:val="none"/>
              </w:rPr>
            </w:pP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p>
        </w:tc>
      </w:tr>
      <w:tr w14:paraId="15E55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685" w:type="dxa"/>
            <w:vAlign w:val="center"/>
          </w:tcPr>
          <w:p w14:paraId="02C0566F">
            <w:pPr>
              <w:pStyle w:val="23"/>
              <w:spacing w:line="360" w:lineRule="auto"/>
              <w:outlineLvl w:val="1"/>
              <w:rPr>
                <w:rFonts w:hint="eastAsia" w:hAnsi="宋体"/>
                <w:sz w:val="24"/>
                <w:szCs w:val="24"/>
                <w:highlight w:val="none"/>
              </w:rPr>
            </w:pPr>
            <w:r>
              <w:rPr>
                <w:rFonts w:hint="eastAsia" w:hAnsi="宋体"/>
                <w:sz w:val="24"/>
                <w:szCs w:val="24"/>
                <w:highlight w:val="none"/>
              </w:rPr>
              <w:t>6</w:t>
            </w:r>
          </w:p>
        </w:tc>
        <w:tc>
          <w:tcPr>
            <w:tcW w:w="1276" w:type="dxa"/>
            <w:vAlign w:val="center"/>
          </w:tcPr>
          <w:p w14:paraId="79FCC3B3">
            <w:pPr>
              <w:pStyle w:val="23"/>
              <w:spacing w:line="360" w:lineRule="auto"/>
              <w:outlineLvl w:val="1"/>
              <w:rPr>
                <w:rFonts w:hint="eastAsia" w:hAnsi="宋体"/>
                <w:sz w:val="24"/>
                <w:szCs w:val="24"/>
                <w:highlight w:val="none"/>
              </w:rPr>
            </w:pPr>
            <w:r>
              <w:rPr>
                <w:rFonts w:hint="eastAsia" w:hAnsi="宋体"/>
                <w:sz w:val="24"/>
                <w:szCs w:val="24"/>
                <w:highlight w:val="none"/>
              </w:rPr>
              <w:t>可视软性喉镜</w:t>
            </w:r>
          </w:p>
        </w:tc>
        <w:tc>
          <w:tcPr>
            <w:tcW w:w="1134" w:type="dxa"/>
            <w:vAlign w:val="center"/>
          </w:tcPr>
          <w:p w14:paraId="7CC9B68E">
            <w:pPr>
              <w:pStyle w:val="23"/>
              <w:spacing w:line="360" w:lineRule="auto"/>
              <w:outlineLvl w:val="1"/>
              <w:rPr>
                <w:rFonts w:hint="eastAsia" w:hAnsi="宋体"/>
                <w:sz w:val="24"/>
                <w:szCs w:val="24"/>
                <w:highlight w:val="none"/>
              </w:rPr>
            </w:pPr>
            <w:r>
              <w:rPr>
                <w:rFonts w:hint="eastAsia" w:hAnsi="宋体"/>
                <w:sz w:val="24"/>
                <w:szCs w:val="24"/>
                <w:highlight w:val="none"/>
              </w:rPr>
              <w:t>优亿</w:t>
            </w:r>
          </w:p>
        </w:tc>
        <w:tc>
          <w:tcPr>
            <w:tcW w:w="1275" w:type="dxa"/>
            <w:vAlign w:val="center"/>
          </w:tcPr>
          <w:p w14:paraId="73BC6EAB">
            <w:pPr>
              <w:pStyle w:val="23"/>
              <w:spacing w:line="360" w:lineRule="auto"/>
              <w:outlineLvl w:val="1"/>
              <w:rPr>
                <w:rFonts w:hint="eastAsia" w:hAnsi="宋体"/>
                <w:sz w:val="24"/>
                <w:szCs w:val="24"/>
                <w:highlight w:val="none"/>
              </w:rPr>
            </w:pPr>
            <w:r>
              <w:rPr>
                <w:rFonts w:hint="eastAsia" w:hAnsi="宋体"/>
                <w:sz w:val="24"/>
                <w:szCs w:val="24"/>
                <w:highlight w:val="none"/>
              </w:rPr>
              <w:t>TIC-I4</w:t>
            </w:r>
          </w:p>
        </w:tc>
        <w:tc>
          <w:tcPr>
            <w:tcW w:w="1276" w:type="dxa"/>
            <w:vAlign w:val="center"/>
          </w:tcPr>
          <w:p w14:paraId="1DBEE41E">
            <w:pPr>
              <w:pStyle w:val="23"/>
              <w:spacing w:line="360" w:lineRule="auto"/>
              <w:outlineLvl w:val="1"/>
              <w:rPr>
                <w:rFonts w:hint="eastAsia" w:hAnsi="宋体"/>
                <w:sz w:val="24"/>
                <w:szCs w:val="24"/>
                <w:highlight w:val="none"/>
              </w:rPr>
            </w:pPr>
            <w:r>
              <w:rPr>
                <w:rFonts w:hint="eastAsia" w:hAnsi="宋体"/>
                <w:sz w:val="24"/>
                <w:szCs w:val="24"/>
                <w:highlight w:val="none"/>
              </w:rPr>
              <w:t>UEA06B09</w:t>
            </w:r>
          </w:p>
        </w:tc>
        <w:tc>
          <w:tcPr>
            <w:tcW w:w="1276" w:type="dxa"/>
            <w:vAlign w:val="center"/>
          </w:tcPr>
          <w:p w14:paraId="150A45A4">
            <w:pPr>
              <w:pStyle w:val="23"/>
              <w:spacing w:line="360" w:lineRule="auto"/>
              <w:jc w:val="center"/>
              <w:outlineLvl w:val="1"/>
              <w:rPr>
                <w:rFonts w:hint="eastAsia" w:hAnsi="宋体"/>
                <w:sz w:val="24"/>
                <w:szCs w:val="24"/>
                <w:highlight w:val="none"/>
              </w:rPr>
            </w:pPr>
            <w:r>
              <w:rPr>
                <w:rFonts w:hint="eastAsia" w:hAnsi="宋体"/>
                <w:sz w:val="24"/>
                <w:szCs w:val="24"/>
                <w:highlight w:val="none"/>
              </w:rPr>
              <w:t>贰年</w:t>
            </w:r>
          </w:p>
        </w:tc>
        <w:tc>
          <w:tcPr>
            <w:tcW w:w="2186" w:type="dxa"/>
            <w:vAlign w:val="center"/>
          </w:tcPr>
          <w:p w14:paraId="69BDBA04">
            <w:pPr>
              <w:pStyle w:val="23"/>
              <w:spacing w:line="360" w:lineRule="auto"/>
              <w:ind w:left="720" w:leftChars="0" w:hanging="720" w:hangingChars="300"/>
              <w:outlineLvl w:val="1"/>
              <w:rPr>
                <w:rFonts w:hint="eastAsia" w:hAnsi="宋体"/>
                <w:sz w:val="24"/>
                <w:szCs w:val="24"/>
                <w:highlight w:val="none"/>
              </w:rPr>
            </w:pP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p>
        </w:tc>
      </w:tr>
      <w:tr w14:paraId="7504AE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685" w:type="dxa"/>
            <w:vAlign w:val="center"/>
          </w:tcPr>
          <w:p w14:paraId="72ED2D9C">
            <w:pPr>
              <w:pStyle w:val="23"/>
              <w:spacing w:line="360" w:lineRule="auto"/>
              <w:outlineLvl w:val="1"/>
              <w:rPr>
                <w:rFonts w:hint="eastAsia" w:hAnsi="宋体" w:eastAsia="宋体"/>
                <w:sz w:val="24"/>
                <w:szCs w:val="24"/>
                <w:highlight w:val="none"/>
                <w:lang w:val="en-US" w:eastAsia="zh-CN"/>
              </w:rPr>
            </w:pPr>
            <w:r>
              <w:rPr>
                <w:rFonts w:hint="eastAsia" w:hAnsi="宋体"/>
                <w:sz w:val="24"/>
                <w:szCs w:val="24"/>
                <w:highlight w:val="none"/>
                <w:lang w:val="en-US" w:eastAsia="zh-CN"/>
              </w:rPr>
              <w:t>7</w:t>
            </w:r>
          </w:p>
        </w:tc>
        <w:tc>
          <w:tcPr>
            <w:tcW w:w="1276" w:type="dxa"/>
            <w:vAlign w:val="center"/>
          </w:tcPr>
          <w:p w14:paraId="63C32E4A">
            <w:pPr>
              <w:pStyle w:val="23"/>
              <w:spacing w:line="360" w:lineRule="auto"/>
              <w:outlineLvl w:val="1"/>
              <w:rPr>
                <w:rFonts w:hint="default" w:hAnsi="宋体" w:eastAsia="宋体"/>
                <w:sz w:val="24"/>
                <w:szCs w:val="24"/>
                <w:highlight w:val="none"/>
                <w:lang w:val="en-US" w:eastAsia="zh-CN"/>
              </w:rPr>
            </w:pPr>
            <w:r>
              <w:rPr>
                <w:rFonts w:hint="eastAsia" w:hAnsi="宋体"/>
                <w:sz w:val="24"/>
                <w:szCs w:val="24"/>
                <w:highlight w:val="none"/>
                <w:lang w:val="en-US" w:eastAsia="zh-CN"/>
              </w:rPr>
              <w:t>支气管纤维镜</w:t>
            </w:r>
          </w:p>
        </w:tc>
        <w:tc>
          <w:tcPr>
            <w:tcW w:w="1134" w:type="dxa"/>
            <w:vAlign w:val="center"/>
          </w:tcPr>
          <w:p w14:paraId="1515E0EC">
            <w:pPr>
              <w:pStyle w:val="23"/>
              <w:spacing w:line="360" w:lineRule="auto"/>
              <w:outlineLvl w:val="1"/>
              <w:rPr>
                <w:rFonts w:hint="eastAsia" w:hAnsi="宋体"/>
                <w:sz w:val="24"/>
                <w:szCs w:val="24"/>
                <w:highlight w:val="none"/>
              </w:rPr>
            </w:pPr>
            <w:r>
              <w:rPr>
                <w:rFonts w:hint="eastAsia" w:hAnsi="宋体"/>
                <w:sz w:val="24"/>
                <w:szCs w:val="24"/>
                <w:highlight w:val="none"/>
              </w:rPr>
              <w:t>宾得</w:t>
            </w:r>
          </w:p>
        </w:tc>
        <w:tc>
          <w:tcPr>
            <w:tcW w:w="1275" w:type="dxa"/>
            <w:vAlign w:val="center"/>
          </w:tcPr>
          <w:p w14:paraId="37024676">
            <w:pPr>
              <w:pStyle w:val="23"/>
              <w:spacing w:line="360" w:lineRule="auto"/>
              <w:outlineLvl w:val="1"/>
              <w:rPr>
                <w:rFonts w:hint="eastAsia" w:hAnsi="宋体" w:eastAsia="宋体"/>
                <w:sz w:val="24"/>
                <w:szCs w:val="24"/>
                <w:highlight w:val="none"/>
                <w:lang w:val="en-US" w:eastAsia="zh-CN"/>
              </w:rPr>
            </w:pPr>
            <w:r>
              <w:rPr>
                <w:rFonts w:hint="eastAsia" w:hAnsi="宋体"/>
                <w:sz w:val="24"/>
                <w:szCs w:val="24"/>
                <w:highlight w:val="none"/>
                <w:lang w:val="en-US" w:eastAsia="zh-CN"/>
              </w:rPr>
              <w:t>FI-16RBS</w:t>
            </w:r>
          </w:p>
        </w:tc>
        <w:tc>
          <w:tcPr>
            <w:tcW w:w="1276" w:type="dxa"/>
            <w:vAlign w:val="center"/>
          </w:tcPr>
          <w:p w14:paraId="7608D8B2">
            <w:pPr>
              <w:pStyle w:val="23"/>
              <w:spacing w:line="360" w:lineRule="auto"/>
              <w:outlineLvl w:val="1"/>
              <w:rPr>
                <w:rFonts w:hint="eastAsia" w:hAnsi="宋体" w:eastAsia="宋体"/>
                <w:sz w:val="24"/>
                <w:szCs w:val="24"/>
                <w:highlight w:val="none"/>
                <w:lang w:val="en-US" w:eastAsia="zh-CN"/>
              </w:rPr>
            </w:pPr>
            <w:r>
              <w:rPr>
                <w:rFonts w:hint="eastAsia" w:hAnsi="宋体"/>
                <w:sz w:val="24"/>
                <w:szCs w:val="24"/>
                <w:highlight w:val="none"/>
                <w:lang w:val="en-US" w:eastAsia="zh-CN"/>
              </w:rPr>
              <w:t>H111746</w:t>
            </w:r>
          </w:p>
        </w:tc>
        <w:tc>
          <w:tcPr>
            <w:tcW w:w="1276" w:type="dxa"/>
            <w:shd w:val="clear" w:color="auto" w:fill="auto"/>
            <w:vAlign w:val="center"/>
          </w:tcPr>
          <w:p w14:paraId="45E20BC7">
            <w:pPr>
              <w:pStyle w:val="23"/>
              <w:spacing w:line="360" w:lineRule="auto"/>
              <w:jc w:val="center"/>
              <w:outlineLvl w:val="1"/>
              <w:rPr>
                <w:rFonts w:hint="eastAsia" w:ascii="宋体" w:hAnsi="宋体" w:eastAsia="宋体" w:cs="Times New Roman"/>
                <w:kern w:val="2"/>
                <w:sz w:val="24"/>
                <w:szCs w:val="24"/>
                <w:highlight w:val="none"/>
                <w:lang w:val="en-US" w:eastAsia="zh-CN" w:bidi="ar-SA"/>
              </w:rPr>
            </w:pPr>
            <w:r>
              <w:rPr>
                <w:rFonts w:hint="eastAsia" w:hAnsi="宋体"/>
                <w:sz w:val="24"/>
                <w:szCs w:val="24"/>
                <w:highlight w:val="none"/>
              </w:rPr>
              <w:t>贰年</w:t>
            </w:r>
          </w:p>
        </w:tc>
        <w:tc>
          <w:tcPr>
            <w:tcW w:w="2186" w:type="dxa"/>
            <w:vAlign w:val="center"/>
          </w:tcPr>
          <w:p w14:paraId="7A5BDC4C">
            <w:pPr>
              <w:pStyle w:val="23"/>
              <w:spacing w:line="360" w:lineRule="auto"/>
              <w:ind w:left="720" w:leftChars="0" w:hanging="720" w:hangingChars="300"/>
              <w:outlineLvl w:val="1"/>
              <w:rPr>
                <w:rFonts w:hint="eastAsia" w:hAnsi="宋体"/>
                <w:sz w:val="24"/>
                <w:szCs w:val="24"/>
                <w:highlight w:val="none"/>
              </w:rPr>
            </w:pP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p>
        </w:tc>
      </w:tr>
      <w:tr w14:paraId="7208A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9108" w:type="dxa"/>
            <w:gridSpan w:val="7"/>
            <w:vAlign w:val="center"/>
          </w:tcPr>
          <w:p w14:paraId="68023774">
            <w:pPr>
              <w:pStyle w:val="23"/>
              <w:spacing w:line="360" w:lineRule="auto"/>
              <w:outlineLvl w:val="1"/>
              <w:rPr>
                <w:rFonts w:hint="eastAsia" w:hAnsi="宋体"/>
                <w:sz w:val="24"/>
                <w:szCs w:val="24"/>
                <w:highlight w:val="none"/>
              </w:rPr>
            </w:pPr>
            <w:r>
              <w:rPr>
                <w:rFonts w:hint="eastAsia" w:hAnsi="宋体"/>
                <w:sz w:val="24"/>
                <w:szCs w:val="24"/>
                <w:highlight w:val="none"/>
              </w:rPr>
              <w:t xml:space="preserve">总保费金额（大写）： </w:t>
            </w:r>
            <w:r>
              <w:rPr>
                <w:rFonts w:hint="eastAsia" w:hAnsi="宋体"/>
                <w:sz w:val="24"/>
                <w:szCs w:val="24"/>
                <w:highlight w:val="none"/>
                <w:lang w:val="en-US" w:eastAsia="zh-CN"/>
              </w:rPr>
              <w:t xml:space="preserve">                </w:t>
            </w:r>
            <w:r>
              <w:rPr>
                <w:rFonts w:hint="eastAsia" w:hAnsi="宋体"/>
                <w:sz w:val="24"/>
                <w:szCs w:val="24"/>
                <w:highlight w:val="none"/>
              </w:rPr>
              <w:t xml:space="preserve"> 元整</w:t>
            </w:r>
          </w:p>
        </w:tc>
      </w:tr>
    </w:tbl>
    <w:p w14:paraId="16A59C73">
      <w:pPr>
        <w:pStyle w:val="23"/>
        <w:spacing w:line="360" w:lineRule="auto"/>
        <w:ind w:firstLine="480" w:firstLineChars="200"/>
        <w:outlineLvl w:val="1"/>
        <w:rPr>
          <w:rFonts w:hint="eastAsia" w:hAnsi="宋体"/>
          <w:sz w:val="24"/>
          <w:szCs w:val="24"/>
          <w:highlight w:val="none"/>
        </w:rPr>
      </w:pPr>
      <w:bookmarkStart w:id="240" w:name="_Toc435540760"/>
      <w:r>
        <w:rPr>
          <w:rFonts w:hint="eastAsia" w:hAnsi="宋体"/>
          <w:sz w:val="24"/>
          <w:szCs w:val="24"/>
          <w:highlight w:val="none"/>
        </w:rPr>
        <w:t>2、乙方对以上列明的设备予以保修（全保）。</w:t>
      </w:r>
    </w:p>
    <w:p w14:paraId="66CDD172">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3、周边耗材（活检钳，吸引按钮，水气按钮，防水帽，清洗刷等附件）不在本项目维保范围内。</w:t>
      </w:r>
    </w:p>
    <w:p w14:paraId="0367C4DC">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三、服务内容及要求</w:t>
      </w:r>
    </w:p>
    <w:p w14:paraId="4B7D488E">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 xml:space="preserve">（1）对维修保养的设备内容包括：整个维修保养执行期限内对设备维修保养发生的所有费用包括设备检查保养费及维修人员的工时费、工具费、更换主镜配件费、差旅费及增值税普通发票税金等全保费用； </w:t>
      </w:r>
    </w:p>
    <w:p w14:paraId="00455821">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（2）免费提供维保设备技术操作指导及内镜清洗指导；</w:t>
      </w:r>
    </w:p>
    <w:p w14:paraId="5F964D6D">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3）乙方在接到内镜出现故障通知，电话响应时间不超过三十分钟，乙方必须保证小修7个工作日；中修15个工作日；大修20个工作日内完成维修，并提供同品牌同型号备用机（包括节假日）以供甲方使用。维修更换的配件需提供宾得或奥林巴斯或优亿原厂配件来源证明。</w:t>
      </w:r>
    </w:p>
    <w:p w14:paraId="143F64D1">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（4）乙方在保修期内需对内镜进行定期维护和保养，年度定期预防性维护保养次数不少于4次，每次出具一份维修保养记录。</w:t>
      </w:r>
    </w:p>
    <w:p w14:paraId="6B00B37B">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（5）乙方为甲方提供两年8次电子胃肠镜周边仪器免费除尘清洁服务，并做保养记录。</w:t>
      </w:r>
    </w:p>
    <w:p w14:paraId="7FAD81BE">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（6）免费提供设备水汽及吸引按钮O形圈。</w:t>
      </w:r>
    </w:p>
    <w:p w14:paraId="5EA056CD">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四、维修保养要求</w:t>
      </w:r>
    </w:p>
    <w:p w14:paraId="7E439CC2">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（1）安全检查：乙方按照厂家设备标准规定执行、制定检查计划：机械安全检查、电气安全检查、操作性能检查、设备外观及易损件检查与更换，记录检查结果。</w:t>
      </w:r>
    </w:p>
    <w:p w14:paraId="3CC356E8">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①记录并安排保养时间，按照保养计划检测并更换易损耗部件。</w:t>
      </w:r>
    </w:p>
    <w:p w14:paraId="50C34EBF">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②按照厂家标准进行调校，确认各项技术指标及性能，并记录设备状况，并提交季度维保报告给甲方。</w:t>
      </w:r>
    </w:p>
    <w:p w14:paraId="4BED7E08">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（2）预防性保养损耗品：预防性保养中需更换的损耗品由服务商免费提供。</w:t>
      </w:r>
    </w:p>
    <w:p w14:paraId="05FFA191">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（3）对于有透水等现象的大修设备必须对其整体进行彻底消毒以避免因镜子引起的医源性交叉感染，必须有相关证明记录。</w:t>
      </w:r>
    </w:p>
    <w:p w14:paraId="45C904D2">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（4）由甲方决定需要更换备件的范围，从设备上更换下来的备件归甲方所有。</w:t>
      </w:r>
    </w:p>
    <w:bookmarkEnd w:id="240"/>
    <w:p w14:paraId="403F71EE">
      <w:pPr>
        <w:pStyle w:val="23"/>
        <w:spacing w:line="360" w:lineRule="auto"/>
        <w:ind w:firstLine="480" w:firstLineChars="200"/>
        <w:outlineLvl w:val="1"/>
        <w:rPr>
          <w:rFonts w:hint="eastAsia" w:hAnsi="宋体"/>
          <w:sz w:val="24"/>
          <w:szCs w:val="24"/>
          <w:highlight w:val="none"/>
        </w:rPr>
      </w:pPr>
      <w:bookmarkStart w:id="241" w:name="_Toc435540761"/>
      <w:r>
        <w:rPr>
          <w:rFonts w:hint="eastAsia" w:hAnsi="宋体"/>
          <w:sz w:val="24"/>
          <w:szCs w:val="24"/>
          <w:highlight w:val="none"/>
        </w:rPr>
        <w:t>三、甲方、乙方的权利和义务</w:t>
      </w:r>
      <w:bookmarkEnd w:id="241"/>
    </w:p>
    <w:p w14:paraId="5B130BD2">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（一）、甲方的权利和义务</w:t>
      </w:r>
    </w:p>
    <w:p w14:paraId="64640144">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1、甲方应按机器使用手册的要求进行操作，并保证机器所需电源、水源的正常供应及开启和关闭以及环境温湿度的要求。由于以上原因造成的机器故障，不属于乙方免费服务范围。</w:t>
      </w:r>
    </w:p>
    <w:p w14:paraId="6B7552F3">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2、甲方应保证设备不受破坏，不被盗窃。</w:t>
      </w:r>
    </w:p>
    <w:p w14:paraId="7636E66E">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3、对于乙方在提供服务期间所提供的信息，甲方应该保密。乙方对该信息拥有所有权，未经乙方书面同意，甲方不得擅自使用和泄露。</w:t>
      </w:r>
    </w:p>
    <w:p w14:paraId="5D4D3712">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4、甲方应按合同约定的方式向乙方支付维修保养费用。</w:t>
      </w:r>
    </w:p>
    <w:p w14:paraId="45EB0520">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5、甲方享有优先派工，节假日加班免费等服务。</w:t>
      </w:r>
    </w:p>
    <w:p w14:paraId="2151D00F">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（二）、乙方的权利和义务</w:t>
      </w:r>
    </w:p>
    <w:p w14:paraId="1658E847">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1、应严格（并在甲方监督下）执行本合同项目下的服务内容及乙方承担的义务和责任。若有违约， 应承担违约责任。</w:t>
      </w:r>
    </w:p>
    <w:p w14:paraId="306748C7">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2、应保证及时对甲方设备进行维护及维修服务。</w:t>
      </w:r>
    </w:p>
    <w:p w14:paraId="5E9E2936">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3、合同期内保证该设备达到95%以上的使用率（含95%，按日历计算）。必要时提供备用设备，保证临床正常工作。若我院所保内镜未达到以上开机率保证，中标方给予我院双倍补偿，即停机每超出一个日历日，维修服务合同期限，自动延长两个日历日。</w:t>
      </w:r>
    </w:p>
    <w:p w14:paraId="0A30770B">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4、若因乙方工程技术人员在甲方现场的维修或维护过程中由于维修保养不到位使得甲方的设备造成损失，乙方应赔偿甲方损坏设备的所有维修费用，直至修复为止。</w:t>
      </w:r>
    </w:p>
    <w:p w14:paraId="35DCE3B5">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5、乙方应对甲方人员进行操作指导，及时解答甲方的有关设备问题咨询、处理甲方的维修申告。</w:t>
      </w:r>
    </w:p>
    <w:p w14:paraId="3C84801E">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、每次维修必须有维修单，并报使用科室签字确认；合同外产生费用的维修项目需在维修前经甲方同意并在维修后经甲方工作人员签字确认。</w:t>
      </w:r>
    </w:p>
    <w:p w14:paraId="0E80E6F0">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lang w:val="en-US" w:eastAsia="zh-CN"/>
        </w:rPr>
        <w:t>7</w:t>
      </w:r>
      <w:r>
        <w:rPr>
          <w:rFonts w:hint="eastAsia" w:hAnsi="宋体"/>
          <w:sz w:val="24"/>
          <w:szCs w:val="24"/>
          <w:highlight w:val="none"/>
        </w:rPr>
        <w:t>、乙方派遣的工程师需参加过原厂组织的培训并获得结业证书，且必须做好其派出的工作人员所需要的安全教育及安全措施，保证工作人员的安全，乙方工作人员在甲方工作范围内发生的所有事故一切责任由乙方负责。</w:t>
      </w:r>
    </w:p>
    <w:p w14:paraId="4B80C5A8">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lang w:val="en-US" w:eastAsia="zh-CN"/>
        </w:rPr>
        <w:t>8</w:t>
      </w:r>
      <w:r>
        <w:rPr>
          <w:rFonts w:hint="eastAsia" w:hAnsi="宋体"/>
          <w:sz w:val="24"/>
          <w:szCs w:val="24"/>
          <w:highlight w:val="none"/>
        </w:rPr>
        <w:t>、乙方须提供周一至周日全天24小时服务。</w:t>
      </w:r>
    </w:p>
    <w:p w14:paraId="207C377D">
      <w:pPr>
        <w:pStyle w:val="23"/>
        <w:spacing w:line="360" w:lineRule="auto"/>
        <w:ind w:firstLine="480" w:firstLineChars="200"/>
        <w:outlineLvl w:val="1"/>
        <w:rPr>
          <w:rFonts w:hint="eastAsia" w:hAnsi="宋体"/>
          <w:sz w:val="24"/>
          <w:szCs w:val="24"/>
          <w:highlight w:val="none"/>
        </w:rPr>
      </w:pPr>
      <w:bookmarkStart w:id="242" w:name="_Toc435540763"/>
      <w:r>
        <w:rPr>
          <w:rFonts w:hint="eastAsia" w:hAnsi="宋体"/>
          <w:sz w:val="24"/>
          <w:szCs w:val="24"/>
          <w:highlight w:val="none"/>
        </w:rPr>
        <w:t>四、付款时间、方式</w:t>
      </w:r>
      <w:bookmarkEnd w:id="242"/>
    </w:p>
    <w:p w14:paraId="77BC94D0">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1、服务费共分8期支付，合同签订后每三个月结束后支付一期，每期支付合同总额的12.5%，即￥</w:t>
      </w:r>
      <w:r>
        <w:rPr>
          <w:rFonts w:hint="eastAsia" w:hAnsi="宋体"/>
          <w:sz w:val="24"/>
          <w:szCs w:val="24"/>
          <w:highlight w:val="none"/>
          <w:lang w:val="en-US" w:eastAsia="zh-CN"/>
        </w:rPr>
        <w:t xml:space="preserve">            </w:t>
      </w:r>
      <w:r>
        <w:rPr>
          <w:rFonts w:hint="eastAsia" w:hAnsi="宋体"/>
          <w:sz w:val="24"/>
          <w:szCs w:val="24"/>
          <w:highlight w:val="none"/>
        </w:rPr>
        <w:t xml:space="preserve">（大写：人民币 </w:t>
      </w:r>
      <w:r>
        <w:rPr>
          <w:rFonts w:hint="eastAsia" w:hAnsi="宋体"/>
          <w:sz w:val="24"/>
          <w:szCs w:val="24"/>
          <w:highlight w:val="none"/>
          <w:lang w:val="en-US" w:eastAsia="zh-CN"/>
        </w:rPr>
        <w:t xml:space="preserve">             </w:t>
      </w:r>
      <w:r>
        <w:rPr>
          <w:rFonts w:hint="eastAsia" w:hAnsi="宋体"/>
          <w:sz w:val="24"/>
          <w:szCs w:val="24"/>
          <w:highlight w:val="none"/>
        </w:rPr>
        <w:t xml:space="preserve"> 元整）；</w:t>
      </w:r>
    </w:p>
    <w:p w14:paraId="756166DC">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2、甲方应在每三个月结束后，收到乙方季度维保报告及发票之日起30个日历日内，将当期款项汇入乙方账户；</w:t>
      </w:r>
    </w:p>
    <w:p w14:paraId="0B19717D">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3、乙方收款信息：</w:t>
      </w:r>
    </w:p>
    <w:p w14:paraId="66B14A87">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公司名称：</w:t>
      </w:r>
    </w:p>
    <w:p w14:paraId="7CE27D7C">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开 户 行：</w:t>
      </w:r>
    </w:p>
    <w:p w14:paraId="5209246E">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帐    号：</w:t>
      </w:r>
    </w:p>
    <w:p w14:paraId="398185AF">
      <w:pPr>
        <w:pStyle w:val="23"/>
        <w:spacing w:line="360" w:lineRule="auto"/>
        <w:ind w:firstLine="480" w:firstLineChars="200"/>
        <w:outlineLvl w:val="1"/>
        <w:rPr>
          <w:rFonts w:hint="eastAsia" w:hAnsi="宋体"/>
          <w:sz w:val="24"/>
          <w:szCs w:val="24"/>
          <w:highlight w:val="none"/>
        </w:rPr>
      </w:pPr>
      <w:bookmarkStart w:id="243" w:name="_Toc435540765"/>
      <w:r>
        <w:rPr>
          <w:rFonts w:hint="eastAsia" w:hAnsi="宋体"/>
          <w:sz w:val="24"/>
          <w:szCs w:val="24"/>
          <w:highlight w:val="none"/>
        </w:rPr>
        <w:t>五、保密</w:t>
      </w:r>
      <w:bookmarkEnd w:id="243"/>
    </w:p>
    <w:p w14:paraId="08EFBB9B">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1、在本合同维护保修过程中至乙方正式向甲方交付设备时止，乙方必须采取措施对维护保修过程中的数据、源代码、技术文档等资料保密，否则，由于乙方过错导致的上述资料泄密的，乙方必须承担一切责任。服务期满后，甲、乙双方均有责任对本合同维护保修的技术保密承担责任。</w:t>
      </w:r>
    </w:p>
    <w:p w14:paraId="46E576D5">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2、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7A14BD7E">
      <w:pPr>
        <w:pStyle w:val="23"/>
        <w:spacing w:line="360" w:lineRule="auto"/>
        <w:ind w:firstLine="480" w:firstLineChars="200"/>
        <w:outlineLvl w:val="1"/>
        <w:rPr>
          <w:rFonts w:hint="eastAsia" w:hAnsi="宋体"/>
          <w:sz w:val="24"/>
          <w:szCs w:val="24"/>
          <w:highlight w:val="none"/>
        </w:rPr>
      </w:pPr>
      <w:bookmarkStart w:id="244" w:name="_Toc435540766"/>
      <w:r>
        <w:rPr>
          <w:rFonts w:hint="eastAsia" w:hAnsi="宋体"/>
          <w:sz w:val="24"/>
          <w:szCs w:val="24"/>
          <w:highlight w:val="none"/>
        </w:rPr>
        <w:t>六、违约责任与赔偿损失</w:t>
      </w:r>
      <w:bookmarkEnd w:id="244"/>
    </w:p>
    <w:p w14:paraId="4167D13D">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1、由于公认的不可抗力事件造成的损坏（如自然灾害、爆炸、房屋倒塌、暴乱、坠机及蓄意破坏、缺乏燃料或水电、劳资纠纷、罢工等），乙方根据实际情况部分或全部免除责任，但应及时通知甲方。</w:t>
      </w:r>
    </w:p>
    <w:p w14:paraId="434B33B4">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2、因为乙方不履行合同或履行合同不符合约定给甲方造成损失的，乙方负责赔偿直接损失，该损失赔偿额以合同价款为限。因不可抗力或乙方不可能控制的因素导致的情形除外。</w:t>
      </w:r>
    </w:p>
    <w:p w14:paraId="77304224">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3、如甲方逾期未支付维修费用的，需向乙方承担逾期未支付金额每日千分之二的违约金。</w:t>
      </w:r>
    </w:p>
    <w:p w14:paraId="1E3CD695">
      <w:pPr>
        <w:pStyle w:val="23"/>
        <w:spacing w:line="360" w:lineRule="auto"/>
        <w:ind w:firstLine="480" w:firstLineChars="200"/>
        <w:outlineLvl w:val="1"/>
        <w:rPr>
          <w:rFonts w:hint="eastAsia" w:hAnsi="宋体"/>
          <w:sz w:val="24"/>
          <w:szCs w:val="24"/>
          <w:highlight w:val="none"/>
        </w:rPr>
      </w:pPr>
      <w:bookmarkStart w:id="245" w:name="_Toc435540767"/>
      <w:r>
        <w:rPr>
          <w:rFonts w:hint="eastAsia" w:hAnsi="宋体"/>
          <w:sz w:val="24"/>
          <w:szCs w:val="24"/>
          <w:highlight w:val="none"/>
        </w:rPr>
        <w:t>七、争议的解决</w:t>
      </w:r>
      <w:bookmarkEnd w:id="245"/>
    </w:p>
    <w:p w14:paraId="0C01C507">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合同执行过程中发生的任何争议，如双方不能通过友好协商解决，甲、乙双方</w:t>
      </w:r>
      <w:r>
        <w:rPr>
          <w:rFonts w:hint="eastAsia" w:hAnsi="宋体"/>
          <w:sz w:val="24"/>
          <w:szCs w:val="24"/>
          <w:highlight w:val="none"/>
          <w:lang w:val="en-US" w:eastAsia="zh-CN"/>
        </w:rPr>
        <w:t>可</w:t>
      </w:r>
      <w:r>
        <w:rPr>
          <w:rFonts w:hint="eastAsia" w:hAnsi="宋体"/>
          <w:sz w:val="24"/>
          <w:szCs w:val="24"/>
          <w:highlight w:val="none"/>
        </w:rPr>
        <w:t>向</w:t>
      </w:r>
      <w:r>
        <w:rPr>
          <w:rFonts w:hint="eastAsia" w:hAnsi="宋体"/>
          <w:sz w:val="24"/>
          <w:szCs w:val="24"/>
          <w:highlight w:val="none"/>
          <w:lang w:val="en-US" w:eastAsia="zh-CN"/>
        </w:rPr>
        <w:t>甲</w:t>
      </w:r>
      <w:r>
        <w:rPr>
          <w:rFonts w:hint="eastAsia" w:hAnsi="宋体"/>
          <w:sz w:val="24"/>
          <w:szCs w:val="24"/>
          <w:highlight w:val="none"/>
        </w:rPr>
        <w:t>方所在地人民法院提起诉讼。</w:t>
      </w:r>
    </w:p>
    <w:p w14:paraId="2C6B8971">
      <w:pPr>
        <w:pStyle w:val="23"/>
        <w:spacing w:line="360" w:lineRule="auto"/>
        <w:ind w:firstLine="480" w:firstLineChars="200"/>
        <w:outlineLvl w:val="1"/>
        <w:rPr>
          <w:rFonts w:hint="eastAsia" w:hAnsi="宋体"/>
          <w:sz w:val="24"/>
          <w:szCs w:val="24"/>
          <w:highlight w:val="none"/>
        </w:rPr>
      </w:pPr>
      <w:bookmarkStart w:id="246" w:name="_Toc435540768"/>
      <w:r>
        <w:rPr>
          <w:rFonts w:hint="eastAsia" w:hAnsi="宋体"/>
          <w:sz w:val="24"/>
          <w:szCs w:val="24"/>
          <w:highlight w:val="none"/>
        </w:rPr>
        <w:t>八、不可抗力</w:t>
      </w:r>
      <w:bookmarkEnd w:id="246"/>
    </w:p>
    <w:p w14:paraId="1FF5E1AC">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1、由于市政停水、停电、雷电、地震、火灾、洪水、战争等不可抗力因素和人为破坏因素引起的设备故障损坏，乙方不承担责任与费用，但乙方要积极帮助甲方修理，恢复设备的正常工作，相关维修费用由甲方另外向乙方支付。</w:t>
      </w:r>
    </w:p>
    <w:p w14:paraId="5516EE6F">
      <w:pPr>
        <w:pStyle w:val="23"/>
        <w:spacing w:line="360" w:lineRule="auto"/>
        <w:ind w:firstLine="480" w:firstLineChars="200"/>
        <w:outlineLvl w:val="1"/>
        <w:rPr>
          <w:rFonts w:hint="eastAsia" w:hAnsi="宋体"/>
          <w:sz w:val="24"/>
          <w:szCs w:val="24"/>
          <w:highlight w:val="none"/>
        </w:rPr>
      </w:pPr>
      <w:bookmarkStart w:id="247" w:name="_Toc435540771"/>
      <w:r>
        <w:rPr>
          <w:rFonts w:hint="eastAsia" w:hAnsi="宋体"/>
          <w:sz w:val="24"/>
          <w:szCs w:val="24"/>
          <w:highlight w:val="none"/>
        </w:rPr>
        <w:t>九、合同生效</w:t>
      </w:r>
      <w:bookmarkEnd w:id="247"/>
    </w:p>
    <w:p w14:paraId="6065A64A">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1、合同自甲、乙双方法人代表或其授权代表签字或公司盖章之日起生效。</w:t>
      </w:r>
    </w:p>
    <w:p w14:paraId="3363AE86">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2、本合同共二份，甲、乙双方各执一份，均具有同等法律效力。</w:t>
      </w:r>
    </w:p>
    <w:p w14:paraId="7A7D3A2F">
      <w:pPr>
        <w:pStyle w:val="23"/>
        <w:spacing w:line="360" w:lineRule="auto"/>
        <w:ind w:firstLine="480" w:firstLineChars="200"/>
        <w:outlineLvl w:val="1"/>
        <w:rPr>
          <w:rFonts w:hint="eastAsia" w:hAnsi="宋体"/>
          <w:sz w:val="24"/>
          <w:szCs w:val="24"/>
          <w:highlight w:val="none"/>
        </w:rPr>
      </w:pPr>
      <w:r>
        <w:rPr>
          <w:rFonts w:hint="eastAsia" w:hAnsi="宋体"/>
          <w:sz w:val="24"/>
          <w:szCs w:val="24"/>
          <w:highlight w:val="none"/>
        </w:rPr>
        <w:t>（以下无正文）</w:t>
      </w:r>
    </w:p>
    <w:p w14:paraId="7E03C101">
      <w:pPr>
        <w:pStyle w:val="23"/>
        <w:spacing w:line="360" w:lineRule="auto"/>
        <w:outlineLvl w:val="1"/>
        <w:rPr>
          <w:rFonts w:hint="eastAsia" w:hAnsi="宋体"/>
          <w:sz w:val="24"/>
          <w:szCs w:val="24"/>
          <w:highlight w:val="none"/>
        </w:rPr>
      </w:pPr>
    </w:p>
    <w:p w14:paraId="2294538E">
      <w:pPr>
        <w:pStyle w:val="23"/>
        <w:spacing w:line="360" w:lineRule="auto"/>
        <w:outlineLvl w:val="1"/>
        <w:rPr>
          <w:rFonts w:hint="eastAsia" w:hAnsi="宋体"/>
          <w:sz w:val="24"/>
          <w:szCs w:val="24"/>
          <w:highlight w:val="none"/>
        </w:rPr>
      </w:pPr>
    </w:p>
    <w:p w14:paraId="753E57DB">
      <w:pPr>
        <w:pStyle w:val="23"/>
        <w:spacing w:line="360" w:lineRule="auto"/>
        <w:outlineLvl w:val="1"/>
        <w:rPr>
          <w:rFonts w:hint="eastAsia" w:hAnsi="宋体"/>
          <w:sz w:val="24"/>
          <w:szCs w:val="24"/>
          <w:highlight w:val="none"/>
        </w:rPr>
      </w:pPr>
      <w:r>
        <w:rPr>
          <w:rFonts w:hint="eastAsia" w:hAnsi="宋体"/>
          <w:sz w:val="24"/>
          <w:szCs w:val="24"/>
          <w:highlight w:val="none"/>
        </w:rPr>
        <w:t>甲方：                            乙方:</w:t>
      </w:r>
    </w:p>
    <w:p w14:paraId="6D75FB60">
      <w:pPr>
        <w:pStyle w:val="23"/>
        <w:spacing w:line="360" w:lineRule="auto"/>
        <w:outlineLvl w:val="1"/>
        <w:rPr>
          <w:rFonts w:hint="eastAsia" w:hAnsi="宋体"/>
          <w:sz w:val="24"/>
          <w:szCs w:val="24"/>
          <w:highlight w:val="none"/>
        </w:rPr>
      </w:pPr>
    </w:p>
    <w:p w14:paraId="7895BF4C">
      <w:pPr>
        <w:pStyle w:val="23"/>
        <w:spacing w:line="360" w:lineRule="auto"/>
        <w:outlineLvl w:val="1"/>
        <w:rPr>
          <w:rFonts w:hint="eastAsia" w:hAnsi="宋体"/>
          <w:sz w:val="24"/>
          <w:szCs w:val="24"/>
          <w:highlight w:val="none"/>
        </w:rPr>
      </w:pPr>
      <w:r>
        <w:rPr>
          <w:rFonts w:hint="eastAsia" w:hAnsi="宋体"/>
          <w:sz w:val="24"/>
          <w:szCs w:val="24"/>
          <w:highlight w:val="none"/>
        </w:rPr>
        <w:t>委托代理人：                      委托代理人：</w:t>
      </w:r>
    </w:p>
    <w:p w14:paraId="4478CA75">
      <w:pPr>
        <w:pStyle w:val="23"/>
        <w:spacing w:line="360" w:lineRule="auto"/>
        <w:outlineLvl w:val="1"/>
        <w:rPr>
          <w:rFonts w:hint="eastAsia" w:hAnsi="宋体"/>
          <w:sz w:val="24"/>
          <w:szCs w:val="24"/>
          <w:highlight w:val="none"/>
        </w:rPr>
      </w:pPr>
    </w:p>
    <w:p w14:paraId="742A4992">
      <w:pPr>
        <w:pStyle w:val="23"/>
        <w:spacing w:line="360" w:lineRule="auto"/>
        <w:outlineLvl w:val="1"/>
        <w:rPr>
          <w:rFonts w:hint="eastAsia" w:hAnsi="宋体"/>
          <w:sz w:val="24"/>
          <w:szCs w:val="24"/>
          <w:highlight w:val="none"/>
        </w:rPr>
      </w:pPr>
      <w:r>
        <w:rPr>
          <w:rFonts w:hint="eastAsia" w:hAnsi="宋体"/>
          <w:sz w:val="24"/>
          <w:szCs w:val="24"/>
          <w:highlight w:val="none"/>
        </w:rPr>
        <w:t>签订日期：     年   月   日       签订日期：     年   月   日</w:t>
      </w:r>
    </w:p>
    <w:p w14:paraId="770FD3FE">
      <w:pPr>
        <w:pStyle w:val="23"/>
        <w:spacing w:line="360" w:lineRule="auto"/>
        <w:outlineLvl w:val="1"/>
        <w:rPr>
          <w:rFonts w:hint="eastAsia" w:hAnsi="宋体"/>
          <w:sz w:val="24"/>
          <w:szCs w:val="24"/>
          <w:highlight w:val="none"/>
        </w:rPr>
      </w:pPr>
    </w:p>
    <w:bookmarkEnd w:id="236"/>
    <w:bookmarkEnd w:id="237"/>
    <w:bookmarkEnd w:id="239"/>
    <w:p w14:paraId="55EA94E7">
      <w:pPr>
        <w:pStyle w:val="23"/>
        <w:spacing w:line="360" w:lineRule="auto"/>
        <w:ind w:firstLine="482"/>
        <w:outlineLvl w:val="1"/>
        <w:rPr>
          <w:rFonts w:hAnsi="宋体"/>
          <w:sz w:val="24"/>
          <w:szCs w:val="24"/>
          <w:highlight w:val="none"/>
        </w:rPr>
      </w:pPr>
    </w:p>
    <w:p w14:paraId="2CD84374">
      <w:pPr>
        <w:pStyle w:val="23"/>
        <w:spacing w:line="360" w:lineRule="auto"/>
        <w:ind w:firstLine="482"/>
        <w:outlineLvl w:val="1"/>
        <w:rPr>
          <w:rFonts w:hAnsi="宋体"/>
          <w:sz w:val="24"/>
          <w:szCs w:val="24"/>
          <w:highlight w:val="none"/>
        </w:rPr>
      </w:pPr>
    </w:p>
    <w:p w14:paraId="79E0D7E9">
      <w:pPr>
        <w:pStyle w:val="23"/>
        <w:spacing w:line="360" w:lineRule="auto"/>
        <w:ind w:firstLine="482"/>
        <w:outlineLvl w:val="1"/>
        <w:rPr>
          <w:rFonts w:hAnsi="宋体"/>
          <w:sz w:val="24"/>
          <w:szCs w:val="24"/>
          <w:highlight w:val="none"/>
        </w:rPr>
      </w:pPr>
    </w:p>
    <w:p w14:paraId="361D1887">
      <w:pPr>
        <w:pStyle w:val="23"/>
        <w:spacing w:line="360" w:lineRule="auto"/>
        <w:ind w:firstLine="482"/>
        <w:outlineLvl w:val="1"/>
        <w:rPr>
          <w:rFonts w:hAnsi="宋体"/>
          <w:sz w:val="24"/>
          <w:szCs w:val="24"/>
          <w:highlight w:val="none"/>
        </w:rPr>
      </w:pPr>
    </w:p>
    <w:p w14:paraId="4DF6F2FF">
      <w:pPr>
        <w:pStyle w:val="23"/>
        <w:spacing w:line="360" w:lineRule="auto"/>
        <w:ind w:firstLine="482"/>
        <w:outlineLvl w:val="1"/>
        <w:rPr>
          <w:rFonts w:hAnsi="宋体"/>
          <w:sz w:val="24"/>
          <w:szCs w:val="24"/>
          <w:highlight w:val="none"/>
        </w:rPr>
      </w:pPr>
    </w:p>
    <w:p w14:paraId="6A57276F">
      <w:pPr>
        <w:pStyle w:val="23"/>
        <w:spacing w:line="360" w:lineRule="auto"/>
        <w:ind w:firstLine="482"/>
        <w:outlineLvl w:val="1"/>
        <w:rPr>
          <w:rFonts w:hAnsi="宋体"/>
          <w:sz w:val="24"/>
          <w:szCs w:val="24"/>
          <w:highlight w:val="none"/>
        </w:rPr>
      </w:pPr>
    </w:p>
    <w:p w14:paraId="52A080B8">
      <w:pPr>
        <w:pStyle w:val="23"/>
        <w:spacing w:line="360" w:lineRule="auto"/>
        <w:ind w:firstLine="482"/>
        <w:outlineLvl w:val="1"/>
        <w:rPr>
          <w:rFonts w:hAnsi="宋体"/>
          <w:sz w:val="24"/>
          <w:szCs w:val="24"/>
          <w:highlight w:val="none"/>
        </w:rPr>
      </w:pPr>
    </w:p>
    <w:p w14:paraId="2A2B59CD">
      <w:pPr>
        <w:pStyle w:val="23"/>
        <w:spacing w:line="360" w:lineRule="auto"/>
        <w:ind w:firstLine="482"/>
        <w:outlineLvl w:val="1"/>
        <w:rPr>
          <w:rFonts w:hAnsi="宋体"/>
          <w:sz w:val="24"/>
          <w:szCs w:val="24"/>
          <w:highlight w:val="none"/>
        </w:rPr>
      </w:pPr>
    </w:p>
    <w:p w14:paraId="292FBE96">
      <w:pPr>
        <w:pStyle w:val="23"/>
        <w:spacing w:line="360" w:lineRule="auto"/>
        <w:ind w:firstLine="0"/>
        <w:outlineLvl w:val="1"/>
        <w:rPr>
          <w:rFonts w:hAnsi="宋体"/>
          <w:sz w:val="24"/>
          <w:szCs w:val="24"/>
          <w:highlight w:val="none"/>
        </w:rPr>
      </w:pPr>
    </w:p>
    <w:bookmarkEnd w:id="216"/>
    <w:bookmarkEnd w:id="217"/>
    <w:bookmarkEnd w:id="218"/>
    <w:bookmarkEnd w:id="219"/>
    <w:bookmarkEnd w:id="220"/>
    <w:bookmarkEnd w:id="221"/>
    <w:bookmarkEnd w:id="222"/>
    <w:bookmarkEnd w:id="223"/>
    <w:bookmarkEnd w:id="224"/>
    <w:bookmarkEnd w:id="225"/>
    <w:bookmarkEnd w:id="238"/>
    <w:p w14:paraId="7C9F9BDF">
      <w:pPr>
        <w:pStyle w:val="40"/>
        <w:spacing w:line="360" w:lineRule="auto"/>
        <w:rPr>
          <w:sz w:val="36"/>
          <w:highlight w:val="none"/>
        </w:rPr>
      </w:pPr>
      <w:bookmarkStart w:id="248" w:name="_Toc184723378"/>
      <w:r>
        <w:rPr>
          <w:sz w:val="36"/>
          <w:highlight w:val="none"/>
        </w:rPr>
        <w:t>第六部分</w:t>
      </w:r>
      <w:bookmarkEnd w:id="226"/>
      <w:bookmarkEnd w:id="227"/>
      <w:bookmarkEnd w:id="228"/>
      <w:bookmarkEnd w:id="229"/>
      <w:bookmarkEnd w:id="230"/>
      <w:r>
        <w:rPr>
          <w:sz w:val="36"/>
          <w:highlight w:val="none"/>
        </w:rPr>
        <w:t xml:space="preserve"> 遴选响应文件格式</w:t>
      </w:r>
      <w:bookmarkEnd w:id="231"/>
      <w:bookmarkEnd w:id="232"/>
      <w:bookmarkEnd w:id="233"/>
      <w:bookmarkEnd w:id="234"/>
      <w:bookmarkEnd w:id="235"/>
      <w:bookmarkEnd w:id="248"/>
    </w:p>
    <w:p w14:paraId="18AE2FC3">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FE72">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1F54">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4F641D2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453F">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CB90">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3769">
    <w:pPr>
      <w:pStyle w:val="28"/>
      <w:tabs>
        <w:tab w:val="left" w:pos="9027"/>
      </w:tabs>
      <w:ind w:right="-18"/>
      <w:rPr>
        <w:rStyle w:val="46"/>
        <w:szCs w:val="21"/>
      </w:rPr>
    </w:pPr>
  </w:p>
  <w:p w14:paraId="137E7AD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3BBFC852">
    <w:pPr>
      <w:rPr>
        <w:rStyle w:val="46"/>
        <w:szCs w:val="21"/>
      </w:rPr>
    </w:pPr>
  </w:p>
  <w:p w14:paraId="7B9EC13B">
    <w:pPr>
      <w:rPr>
        <w:rStyle w:val="46"/>
        <w:szCs w:val="21"/>
      </w:rPr>
    </w:pPr>
  </w:p>
  <w:p w14:paraId="3FF9540F">
    <w:pPr>
      <w:rPr>
        <w:rStyle w:val="46"/>
        <w:szCs w:val="21"/>
      </w:rPr>
    </w:pPr>
  </w:p>
  <w:p w14:paraId="6A9E6C5C">
    <w:pPr>
      <w:rPr>
        <w:rStyle w:val="46"/>
        <w:szCs w:val="21"/>
      </w:rPr>
    </w:pPr>
  </w:p>
  <w:p w14:paraId="2F4A6C45">
    <w:pPr>
      <w:rPr>
        <w:rStyle w:val="46"/>
        <w:szCs w:val="21"/>
      </w:rPr>
    </w:pPr>
  </w:p>
  <w:p w14:paraId="1DA2E7B5">
    <w:pPr>
      <w:rPr>
        <w:rStyle w:val="46"/>
        <w:szCs w:val="21"/>
      </w:rPr>
    </w:pPr>
  </w:p>
  <w:p w14:paraId="3CC7A8D9">
    <w:pPr>
      <w:rPr>
        <w:rStyle w:val="46"/>
        <w:szCs w:val="21"/>
      </w:rPr>
    </w:pPr>
  </w:p>
  <w:p w14:paraId="1896358F">
    <w:pPr>
      <w:rPr>
        <w:rStyle w:val="46"/>
        <w:szCs w:val="21"/>
      </w:rPr>
    </w:pPr>
  </w:p>
  <w:p w14:paraId="3AD035D5">
    <w:pPr>
      <w:rPr>
        <w:rStyle w:val="46"/>
        <w:szCs w:val="21"/>
      </w:rPr>
    </w:pPr>
  </w:p>
  <w:p w14:paraId="25166180"/>
  <w:p w14:paraId="710539EA"/>
  <w:p w14:paraId="154B0995"/>
  <w:p w14:paraId="61F2B6DE"/>
  <w:p w14:paraId="55C7275C"/>
  <w:p w14:paraId="7600A38E"/>
  <w:p w14:paraId="5404CEEC"/>
  <w:p w14:paraId="5592099B"/>
  <w:p w14:paraId="2A01E368"/>
  <w:p w14:paraId="5E01BB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A2BA">
    <w:pPr>
      <w:jc w:val="left"/>
      <w:rPr>
        <w:rFonts w:ascii="宋体" w:hAnsi="宋体" w:eastAsia="宋体"/>
        <w:sz w:val="18"/>
        <w:szCs w:val="18"/>
      </w:rPr>
    </w:pPr>
    <w:r>
      <w:rPr>
        <w:rFonts w:hint="eastAsia" w:ascii="宋体" w:hAnsi="宋体" w:eastAsia="宋体"/>
        <w:sz w:val="18"/>
        <w:szCs w:val="18"/>
      </w:rPr>
      <w:t>项目名称：开平市中医院</w:t>
    </w:r>
    <w:r>
      <w:rPr>
        <w:rFonts w:hint="eastAsia" w:ascii="宋体" w:hAnsi="宋体" w:eastAsia="宋体"/>
        <w:sz w:val="18"/>
        <w:szCs w:val="18"/>
        <w:lang w:eastAsia="zh-CN"/>
      </w:rPr>
      <w:t>电子镜</w:t>
    </w:r>
    <w:r>
      <w:rPr>
        <w:rFonts w:hint="eastAsia" w:ascii="宋体" w:hAnsi="宋体" w:eastAsia="宋体"/>
        <w:sz w:val="18"/>
        <w:szCs w:val="18"/>
        <w:lang w:val="en-US" w:eastAsia="zh-CN"/>
      </w:rPr>
      <w:t>设备</w:t>
    </w:r>
    <w:r>
      <w:rPr>
        <w:rFonts w:hint="eastAsia" w:ascii="宋体" w:hAnsi="宋体" w:eastAsia="宋体"/>
        <w:sz w:val="18"/>
        <w:szCs w:val="18"/>
        <w:lang w:eastAsia="zh-CN"/>
      </w:rPr>
      <w:t>年度维</w:t>
    </w:r>
    <w:r>
      <w:rPr>
        <w:rFonts w:hint="eastAsia" w:ascii="宋体" w:hAnsi="宋体" w:eastAsia="宋体"/>
        <w:sz w:val="18"/>
        <w:szCs w:val="18"/>
        <w:lang w:val="en-US" w:eastAsia="zh-CN"/>
      </w:rPr>
      <w:t>保</w:t>
    </w:r>
    <w:r>
      <w:rPr>
        <w:rFonts w:hint="eastAsia" w:ascii="宋体" w:hAnsi="宋体" w:eastAsia="宋体"/>
        <w:sz w:val="18"/>
        <w:szCs w:val="18"/>
        <w:lang w:eastAsia="zh-CN"/>
      </w:rPr>
      <w:t>服务采购</w:t>
    </w:r>
    <w:r>
      <w:rPr>
        <w:rFonts w:hint="eastAsia" w:ascii="宋体" w:hAnsi="宋体" w:eastAsia="宋体"/>
        <w:sz w:val="18"/>
        <w:szCs w:val="18"/>
      </w:rPr>
      <w:t>项目遴选文件</w:t>
    </w:r>
  </w:p>
  <w:p w14:paraId="3D73F65B">
    <w:pPr>
      <w:ind w:left="7560" w:hanging="7560" w:hangingChars="4200"/>
      <w:jc w:val="left"/>
      <w:rPr>
        <w:rFonts w:hint="eastAsia" w:ascii="宋体" w:hAnsi="宋体" w:eastAsia="宋体"/>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AE4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1E7D">
    <w:pPr>
      <w:pStyle w:val="29"/>
      <w:pBdr>
        <w:bottom w:val="single" w:color="auto"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097A">
    <w:pPr>
      <w:pStyle w:val="29"/>
    </w:pPr>
    <w:r>
      <w:rPr>
        <w:rFonts w:hint="eastAsia" w:hAnsi="宋体"/>
        <w:szCs w:val="21"/>
      </w:rPr>
      <w:t>采购编号：KPCG2019-000 赤坎新区技术审查与开发咨询服务                     竞争性遴选文件</w:t>
    </w:r>
  </w:p>
  <w:p w14:paraId="40AC0A08"/>
  <w:p w14:paraId="2195BF52"/>
  <w:p w14:paraId="7DFC5D40"/>
  <w:p w14:paraId="0614293A"/>
  <w:p w14:paraId="7C8FD7AC"/>
  <w:p w14:paraId="2139E398"/>
  <w:p w14:paraId="1EDE19C9"/>
  <w:p w14:paraId="03124BE9"/>
  <w:p w14:paraId="4BD0DBE9"/>
  <w:p w14:paraId="04C80DA1"/>
  <w:p w14:paraId="0C61F9D0"/>
  <w:p w14:paraId="06048E50"/>
  <w:p w14:paraId="5F1080AB"/>
  <w:p w14:paraId="10E093C0"/>
  <w:p w14:paraId="070EFDFE"/>
  <w:p w14:paraId="3D41A000"/>
  <w:p w14:paraId="1D59DBC3"/>
  <w:p w14:paraId="1154DF9A"/>
  <w:p w14:paraId="39E58C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DE370C"/>
    <w:rsid w:val="04676B12"/>
    <w:rsid w:val="05210084"/>
    <w:rsid w:val="058F7B77"/>
    <w:rsid w:val="05D4309B"/>
    <w:rsid w:val="07456CFC"/>
    <w:rsid w:val="07685361"/>
    <w:rsid w:val="07D70581"/>
    <w:rsid w:val="08181F45"/>
    <w:rsid w:val="083A3F7E"/>
    <w:rsid w:val="090A1857"/>
    <w:rsid w:val="09354491"/>
    <w:rsid w:val="0B2E5519"/>
    <w:rsid w:val="0B431120"/>
    <w:rsid w:val="0BBE7E63"/>
    <w:rsid w:val="0BC82C71"/>
    <w:rsid w:val="0BE81E53"/>
    <w:rsid w:val="0C651FA7"/>
    <w:rsid w:val="0D3D1EAE"/>
    <w:rsid w:val="0DC171F9"/>
    <w:rsid w:val="0F720C87"/>
    <w:rsid w:val="0F7D59F6"/>
    <w:rsid w:val="0FE4089C"/>
    <w:rsid w:val="10B10FD7"/>
    <w:rsid w:val="13252204"/>
    <w:rsid w:val="13B95037"/>
    <w:rsid w:val="145C6DB5"/>
    <w:rsid w:val="15093B0A"/>
    <w:rsid w:val="154811A8"/>
    <w:rsid w:val="15FB1C74"/>
    <w:rsid w:val="179E57D5"/>
    <w:rsid w:val="182E391B"/>
    <w:rsid w:val="18540B58"/>
    <w:rsid w:val="19120228"/>
    <w:rsid w:val="191D51C7"/>
    <w:rsid w:val="194D51B6"/>
    <w:rsid w:val="197424E9"/>
    <w:rsid w:val="1A1A7F48"/>
    <w:rsid w:val="1B3C1DD8"/>
    <w:rsid w:val="1CB462B7"/>
    <w:rsid w:val="1CC70D37"/>
    <w:rsid w:val="1D0154E2"/>
    <w:rsid w:val="1D2C53A3"/>
    <w:rsid w:val="1D8614B0"/>
    <w:rsid w:val="1E177425"/>
    <w:rsid w:val="1E9901E8"/>
    <w:rsid w:val="1ED92BBE"/>
    <w:rsid w:val="1EDB44A5"/>
    <w:rsid w:val="1F870A91"/>
    <w:rsid w:val="204563CC"/>
    <w:rsid w:val="20474C5B"/>
    <w:rsid w:val="21892A0C"/>
    <w:rsid w:val="21B90060"/>
    <w:rsid w:val="221D7FB2"/>
    <w:rsid w:val="22775610"/>
    <w:rsid w:val="239E1A70"/>
    <w:rsid w:val="23C95568"/>
    <w:rsid w:val="23FB7914"/>
    <w:rsid w:val="2459377B"/>
    <w:rsid w:val="24C7574A"/>
    <w:rsid w:val="24CA0A5A"/>
    <w:rsid w:val="268D51D4"/>
    <w:rsid w:val="27E42422"/>
    <w:rsid w:val="28074CD0"/>
    <w:rsid w:val="289363DE"/>
    <w:rsid w:val="28EA443D"/>
    <w:rsid w:val="29042D2C"/>
    <w:rsid w:val="2AE46658"/>
    <w:rsid w:val="2AEC10A3"/>
    <w:rsid w:val="2B65068C"/>
    <w:rsid w:val="2B671526"/>
    <w:rsid w:val="2BCF782F"/>
    <w:rsid w:val="2BE97B66"/>
    <w:rsid w:val="2C915AD5"/>
    <w:rsid w:val="2CC74842"/>
    <w:rsid w:val="2DD6049D"/>
    <w:rsid w:val="2E5A3C96"/>
    <w:rsid w:val="2F124775"/>
    <w:rsid w:val="2F8C7F5C"/>
    <w:rsid w:val="2F9E3E41"/>
    <w:rsid w:val="2FB2501E"/>
    <w:rsid w:val="3099173A"/>
    <w:rsid w:val="30D1308B"/>
    <w:rsid w:val="32147DC4"/>
    <w:rsid w:val="324F320B"/>
    <w:rsid w:val="325B46A3"/>
    <w:rsid w:val="32607569"/>
    <w:rsid w:val="34C374AD"/>
    <w:rsid w:val="352C2AB5"/>
    <w:rsid w:val="353C45ED"/>
    <w:rsid w:val="35616529"/>
    <w:rsid w:val="35C828C9"/>
    <w:rsid w:val="35FD12B2"/>
    <w:rsid w:val="36870A2A"/>
    <w:rsid w:val="36A50DF2"/>
    <w:rsid w:val="370C56F3"/>
    <w:rsid w:val="373874DE"/>
    <w:rsid w:val="37904D56"/>
    <w:rsid w:val="389C3213"/>
    <w:rsid w:val="397C6156"/>
    <w:rsid w:val="39F723CF"/>
    <w:rsid w:val="3A77093E"/>
    <w:rsid w:val="3C21710D"/>
    <w:rsid w:val="3C5D22E3"/>
    <w:rsid w:val="3C71648C"/>
    <w:rsid w:val="3CC41F84"/>
    <w:rsid w:val="3CDA3397"/>
    <w:rsid w:val="3D2F4655"/>
    <w:rsid w:val="3D400BA9"/>
    <w:rsid w:val="3D64032A"/>
    <w:rsid w:val="3DF95A66"/>
    <w:rsid w:val="3E4B6A9B"/>
    <w:rsid w:val="3EAD739F"/>
    <w:rsid w:val="3EB428B0"/>
    <w:rsid w:val="4007090C"/>
    <w:rsid w:val="40546F2B"/>
    <w:rsid w:val="40AD2461"/>
    <w:rsid w:val="410A18D8"/>
    <w:rsid w:val="418D7D70"/>
    <w:rsid w:val="42C20B10"/>
    <w:rsid w:val="42EA0B36"/>
    <w:rsid w:val="433F5D44"/>
    <w:rsid w:val="437347A6"/>
    <w:rsid w:val="43E550B8"/>
    <w:rsid w:val="44B553BD"/>
    <w:rsid w:val="45374B08"/>
    <w:rsid w:val="45E432AE"/>
    <w:rsid w:val="45EB1BE1"/>
    <w:rsid w:val="467A7452"/>
    <w:rsid w:val="46C738F4"/>
    <w:rsid w:val="478F24E3"/>
    <w:rsid w:val="48C8585F"/>
    <w:rsid w:val="49940732"/>
    <w:rsid w:val="49EE03A8"/>
    <w:rsid w:val="4A646777"/>
    <w:rsid w:val="4A880DD3"/>
    <w:rsid w:val="4E055E8C"/>
    <w:rsid w:val="4EBF6FC0"/>
    <w:rsid w:val="4F3F76F2"/>
    <w:rsid w:val="4F641F62"/>
    <w:rsid w:val="4FED1003"/>
    <w:rsid w:val="510B13F4"/>
    <w:rsid w:val="51105A99"/>
    <w:rsid w:val="518728DF"/>
    <w:rsid w:val="52310E93"/>
    <w:rsid w:val="527C2613"/>
    <w:rsid w:val="53397A0C"/>
    <w:rsid w:val="53D129E2"/>
    <w:rsid w:val="53E92AEF"/>
    <w:rsid w:val="54B6568B"/>
    <w:rsid w:val="54E27F0B"/>
    <w:rsid w:val="55552A23"/>
    <w:rsid w:val="5598344D"/>
    <w:rsid w:val="56AE0C92"/>
    <w:rsid w:val="572162ED"/>
    <w:rsid w:val="57B32A9F"/>
    <w:rsid w:val="57BD0D5E"/>
    <w:rsid w:val="58047FBD"/>
    <w:rsid w:val="58122592"/>
    <w:rsid w:val="584879D7"/>
    <w:rsid w:val="58925DB9"/>
    <w:rsid w:val="5A982114"/>
    <w:rsid w:val="5AEB2255"/>
    <w:rsid w:val="5AF00933"/>
    <w:rsid w:val="5B5317F3"/>
    <w:rsid w:val="5C9F2C03"/>
    <w:rsid w:val="5D494803"/>
    <w:rsid w:val="5D4C4B05"/>
    <w:rsid w:val="5DE315AE"/>
    <w:rsid w:val="5E593512"/>
    <w:rsid w:val="5F00399C"/>
    <w:rsid w:val="5F1832FB"/>
    <w:rsid w:val="5FF97134"/>
    <w:rsid w:val="5FFF5ED8"/>
    <w:rsid w:val="617B794E"/>
    <w:rsid w:val="61951029"/>
    <w:rsid w:val="623013EA"/>
    <w:rsid w:val="624D58C1"/>
    <w:rsid w:val="62FC1833"/>
    <w:rsid w:val="6360028A"/>
    <w:rsid w:val="63A66574"/>
    <w:rsid w:val="64A55D99"/>
    <w:rsid w:val="64AD4CC6"/>
    <w:rsid w:val="65374138"/>
    <w:rsid w:val="6609118D"/>
    <w:rsid w:val="66C828BC"/>
    <w:rsid w:val="67026F67"/>
    <w:rsid w:val="676E3E01"/>
    <w:rsid w:val="682C661B"/>
    <w:rsid w:val="68D035BC"/>
    <w:rsid w:val="69505257"/>
    <w:rsid w:val="69724A89"/>
    <w:rsid w:val="69B30239"/>
    <w:rsid w:val="69F06C95"/>
    <w:rsid w:val="6AA20B62"/>
    <w:rsid w:val="6B2E10CC"/>
    <w:rsid w:val="6B573147"/>
    <w:rsid w:val="6C1F6348"/>
    <w:rsid w:val="6C26686A"/>
    <w:rsid w:val="6D0506ED"/>
    <w:rsid w:val="6D0B1506"/>
    <w:rsid w:val="6DCC4ED9"/>
    <w:rsid w:val="70C2647F"/>
    <w:rsid w:val="73D94D40"/>
    <w:rsid w:val="74EE5E20"/>
    <w:rsid w:val="76C66107"/>
    <w:rsid w:val="77BA4BDE"/>
    <w:rsid w:val="78847233"/>
    <w:rsid w:val="78DE0BFA"/>
    <w:rsid w:val="79444163"/>
    <w:rsid w:val="7A470084"/>
    <w:rsid w:val="7BB67F74"/>
    <w:rsid w:val="7C974B11"/>
    <w:rsid w:val="7E0C25A3"/>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27</Pages>
  <Words>7478</Words>
  <Characters>7830</Characters>
  <Lines>111</Lines>
  <Paragraphs>31</Paragraphs>
  <TotalTime>97</TotalTime>
  <ScaleCrop>false</ScaleCrop>
  <LinksUpToDate>false</LinksUpToDate>
  <CharactersWithSpaces>7901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明</cp:lastModifiedBy>
  <cp:lastPrinted>2024-12-16T02:23:00Z</cp:lastPrinted>
  <dcterms:modified xsi:type="dcterms:W3CDTF">2026-01-09T06:56:53Z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C663E85232474BC5BB0230DCA9667662_13</vt:lpwstr>
  </property>
  <property fmtid="{D5CDD505-2E9C-101B-9397-08002B2CF9AE}" pid="4" name="KSOTemplateDocerSaveRecord">
    <vt:lpwstr>eyJoZGlkIjoiOTljZGI0NWJjZTI2YjVhMjMyMTBmOWJiNWI4MjM5MjkiLCJ1c2VySWQiOiIzODcyMDQxMzgifQ==</vt:lpwstr>
  </property>
</Properties>
</file>