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76" w:rsidRDefault="00984676">
      <w:pPr>
        <w:pStyle w:val="1"/>
        <w:keepNext w:val="0"/>
        <w:keepLines w:val="0"/>
        <w:kinsoku w:val="0"/>
        <w:adjustRightInd w:val="0"/>
        <w:snapToGrid w:val="0"/>
        <w:spacing w:line="640" w:lineRule="exact"/>
        <w:ind w:firstLineChars="200" w:firstLine="640"/>
        <w:contextualSpacing/>
        <w:jc w:val="center"/>
        <w:rPr>
          <w:rFonts w:ascii="仿宋_GB2312" w:eastAsia="仿宋_GB2312"/>
          <w:b w:val="0"/>
          <w:sz w:val="32"/>
          <w:szCs w:val="32"/>
        </w:rPr>
      </w:pPr>
      <w:bookmarkStart w:id="0" w:name="_GoBack"/>
      <w:bookmarkEnd w:id="0"/>
    </w:p>
    <w:p w:rsidR="00984676" w:rsidRDefault="00984676">
      <w:pPr>
        <w:pStyle w:val="1"/>
        <w:keepNext w:val="0"/>
        <w:keepLines w:val="0"/>
        <w:kinsoku w:val="0"/>
        <w:adjustRightInd w:val="0"/>
        <w:snapToGrid w:val="0"/>
        <w:spacing w:line="640" w:lineRule="exact"/>
        <w:ind w:firstLineChars="200" w:firstLine="640"/>
        <w:contextualSpacing/>
        <w:jc w:val="center"/>
        <w:rPr>
          <w:rFonts w:ascii="仿宋_GB2312" w:eastAsia="仿宋_GB2312"/>
          <w:b w:val="0"/>
          <w:sz w:val="32"/>
          <w:szCs w:val="32"/>
        </w:rPr>
      </w:pPr>
    </w:p>
    <w:p w:rsidR="00984676" w:rsidRDefault="00A72DF9">
      <w:pPr>
        <w:pStyle w:val="1"/>
        <w:keepNext w:val="0"/>
        <w:keepLines w:val="0"/>
        <w:kinsoku w:val="0"/>
        <w:adjustRightInd w:val="0"/>
        <w:snapToGrid w:val="0"/>
        <w:spacing w:line="640" w:lineRule="exact"/>
        <w:ind w:firstLineChars="200" w:firstLine="880"/>
        <w:contextualSpacing/>
        <w:jc w:val="center"/>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商业秘密定密分级及解密管理办法</w:t>
      </w:r>
    </w:p>
    <w:p w:rsidR="00984676" w:rsidRDefault="00A72DF9">
      <w:pPr>
        <w:widowControl/>
        <w:snapToGrid w:val="0"/>
        <w:spacing w:line="560" w:lineRule="exact"/>
        <w:ind w:firstLineChars="200" w:firstLine="480"/>
        <w:rPr>
          <w:rFonts w:ascii="Times New Roman" w:hAnsi="Times New Roman" w:cs="Times New Roman"/>
          <w:sz w:val="32"/>
          <w:szCs w:val="32"/>
        </w:rPr>
      </w:pPr>
      <w:r>
        <w:rPr>
          <w:rFonts w:ascii="方正小标宋简体" w:eastAsia="方正小标宋简体" w:hAnsi="方正小标宋简体" w:cs="方正小标宋简体" w:hint="eastAsia"/>
        </w:rPr>
        <w:t xml:space="preserve">                             </w:t>
      </w:r>
      <w:r>
        <w:rPr>
          <w:rFonts w:ascii="Times New Roman" w:hAnsi="Times New Roman" w:cs="Times New Roman" w:hint="eastAsia"/>
          <w:sz w:val="32"/>
          <w:szCs w:val="32"/>
        </w:rPr>
        <w:t>（参考模板）</w:t>
      </w:r>
    </w:p>
    <w:p w:rsidR="00984676" w:rsidRDefault="00A72DF9">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目标</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int="eastAsia"/>
          <w:sz w:val="32"/>
          <w:szCs w:val="32"/>
        </w:rPr>
        <w:t>本办法旨在通过科学系统的方法对公司商业秘密信息进行识别，并合理评估分级，以利于公司商业秘密保护措施的实施。</w:t>
      </w:r>
    </w:p>
    <w:p w:rsidR="00984676" w:rsidRDefault="00A72DF9">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适用范围</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本手册适用于</w:t>
      </w:r>
      <w:r>
        <w:rPr>
          <w:rFonts w:ascii="仿宋_GB2312" w:eastAsia="仿宋_GB2312" w:hAnsi="宋体"/>
          <w:sz w:val="32"/>
          <w:szCs w:val="32"/>
        </w:rPr>
        <w:t>**</w:t>
      </w:r>
      <w:r>
        <w:rPr>
          <w:rFonts w:ascii="仿宋_GB2312" w:eastAsia="仿宋_GB2312" w:hAnsi="宋体" w:hint="eastAsia"/>
          <w:sz w:val="32"/>
          <w:szCs w:val="32"/>
        </w:rPr>
        <w:t>公司及其子公司的商业秘密定密分级及解密管理。</w:t>
      </w:r>
    </w:p>
    <w:p w:rsidR="00984676" w:rsidRDefault="00A72DF9">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分级原则</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公司商业秘密定密分级的原则是“涉密范围最大化”“核心秘密最小化”和“知密范围最小化”。</w:t>
      </w:r>
    </w:p>
    <w:p w:rsidR="00984676" w:rsidRDefault="00A72DF9">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1.</w:t>
      </w:r>
      <w:r>
        <w:rPr>
          <w:rFonts w:ascii="楷体_GB2312" w:eastAsia="楷体_GB2312" w:hAnsi="宋体"/>
          <w:sz w:val="32"/>
          <w:szCs w:val="32"/>
        </w:rPr>
        <w:t>“</w:t>
      </w:r>
      <w:r>
        <w:rPr>
          <w:rFonts w:ascii="楷体_GB2312" w:eastAsia="楷体_GB2312" w:hAnsi="宋体" w:hint="eastAsia"/>
          <w:sz w:val="32"/>
          <w:szCs w:val="32"/>
        </w:rPr>
        <w:t>涉密</w:t>
      </w:r>
      <w:r>
        <w:rPr>
          <w:rFonts w:ascii="楷体_GB2312" w:eastAsia="楷体_GB2312" w:hAnsi="宋体"/>
          <w:sz w:val="32"/>
          <w:szCs w:val="32"/>
        </w:rPr>
        <w:t>范围最大化</w:t>
      </w:r>
      <w:r>
        <w:rPr>
          <w:rFonts w:ascii="楷体_GB2312" w:eastAsia="楷体_GB2312" w:hAnsi="宋体" w:hint="eastAsia"/>
          <w:sz w:val="32"/>
          <w:szCs w:val="32"/>
        </w:rPr>
        <w:t>”</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涉密范围”是指广义上的商业秘密范围，即指公司内部所含全部商业秘密事项的范围。公司确立商业秘密范围即确立自有商业秘密的权利，为公司后续从法律层面采取相关保护措施打下基础。但确定商业秘密范围必须建立在符合商业秘密法定构成要件的基础之上，即“不为公众所知悉”“</w:t>
      </w:r>
      <w:r>
        <w:rPr>
          <w:rFonts w:ascii="仿宋_GB2312" w:eastAsia="仿宋_GB2312" w:hAnsi="宋体" w:hint="eastAsia"/>
          <w:sz w:val="32"/>
          <w:szCs w:val="32"/>
        </w:rPr>
        <w:lastRenderedPageBreak/>
        <w:t>具有商业价值”和“采取了保密措施”，不得将企业涉密事项内容和范围扩大化，造成公司保密成本的上升。</w:t>
      </w:r>
    </w:p>
    <w:p w:rsidR="00984676" w:rsidRDefault="00A72DF9">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2.</w:t>
      </w:r>
      <w:r>
        <w:rPr>
          <w:rFonts w:ascii="楷体_GB2312" w:eastAsia="楷体_GB2312" w:hAnsi="宋体"/>
          <w:sz w:val="32"/>
          <w:szCs w:val="32"/>
        </w:rPr>
        <w:t>“</w:t>
      </w:r>
      <w:r>
        <w:rPr>
          <w:rFonts w:ascii="楷体_GB2312" w:eastAsia="楷体_GB2312" w:hAnsi="宋体" w:hint="eastAsia"/>
          <w:sz w:val="32"/>
          <w:szCs w:val="32"/>
        </w:rPr>
        <w:t>核心秘密最小化”</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“核心秘密”即指公司通过商业秘密事项的识别与划分等级，梳理出的对公司核心竞争力影响最大的几类商业秘密，这类商业秘密在划定保密等级时处于</w:t>
      </w:r>
      <w:r>
        <w:rPr>
          <w:rFonts w:ascii="仿宋_GB2312" w:eastAsia="仿宋_GB2312" w:hAnsi="宋体" w:hint="eastAsia"/>
          <w:sz w:val="32"/>
          <w:szCs w:val="32"/>
        </w:rPr>
        <w:t>最高等级。公司在确定自身商业秘密保护等级时，应尽可能以“保核心、保要害”为基本准绳，将那些一旦泄露，便可能对公司造成特别严重损失，甚至于毁灭性打击的商业秘密信息，确定为核心级别的商业秘密。</w:t>
      </w:r>
    </w:p>
    <w:p w:rsidR="00984676" w:rsidRDefault="00A72DF9">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3.</w:t>
      </w:r>
      <w:r>
        <w:rPr>
          <w:rFonts w:ascii="楷体_GB2312" w:eastAsia="楷体_GB2312" w:hAnsi="宋体" w:hint="eastAsia"/>
          <w:sz w:val="32"/>
          <w:szCs w:val="32"/>
        </w:rPr>
        <w:t>“知秘范围最小化”</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知密范围”即指公司商业秘密具体内容的知悉人员范围。公司开展商业秘密定密分级过程中，需要明确每一项商业秘密事项的知悉人员范围，这个过程也是涉密信息阅知权限的划分过程。在这个过程中，应当针对每项商业秘密信息，通过调研与客观分析，削减不必要知晓具体涉密信息的人员范围，以最大限度地限制涉密信息的流转范围</w:t>
      </w:r>
      <w:r>
        <w:rPr>
          <w:rFonts w:ascii="仿宋_GB2312" w:eastAsia="仿宋_GB2312" w:hAnsi="宋体" w:hint="eastAsia"/>
          <w:sz w:val="32"/>
          <w:szCs w:val="32"/>
        </w:rPr>
        <w:t>，尽可能降低泄密风险。</w:t>
      </w:r>
    </w:p>
    <w:p w:rsidR="00984676" w:rsidRDefault="00A72DF9">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操作流程</w:t>
      </w:r>
    </w:p>
    <w:p w:rsidR="00984676" w:rsidRDefault="00A72DF9">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1.</w:t>
      </w:r>
      <w:r>
        <w:rPr>
          <w:rFonts w:ascii="楷体_GB2312" w:eastAsia="楷体_GB2312" w:hAnsi="宋体" w:hint="eastAsia"/>
          <w:sz w:val="32"/>
          <w:szCs w:val="32"/>
        </w:rPr>
        <w:t>确定企业商业秘密事项范围、知悉部门范围和各涉密事项对应的定密责任人</w:t>
      </w:r>
    </w:p>
    <w:p w:rsidR="00984676" w:rsidRDefault="00A72DF9">
      <w:pPr>
        <w:kinsoku w:val="0"/>
        <w:adjustRightInd w:val="0"/>
        <w:snapToGrid w:val="0"/>
        <w:spacing w:line="640" w:lineRule="exact"/>
        <w:ind w:firstLineChars="200" w:firstLine="643"/>
        <w:contextualSpacing/>
        <w:rPr>
          <w:rFonts w:ascii="仿宋_GB2312" w:eastAsia="仿宋_GB2312" w:hAnsi="宋体"/>
          <w:b/>
          <w:bCs/>
          <w:sz w:val="32"/>
          <w:szCs w:val="32"/>
        </w:rPr>
      </w:pPr>
      <w:r>
        <w:rPr>
          <w:rFonts w:ascii="仿宋_GB2312" w:eastAsia="仿宋_GB2312" w:hAnsi="宋体" w:hint="eastAsia"/>
          <w:b/>
          <w:bCs/>
          <w:sz w:val="32"/>
          <w:szCs w:val="32"/>
        </w:rPr>
        <w:lastRenderedPageBreak/>
        <w:t>（</w:t>
      </w:r>
      <w:r>
        <w:rPr>
          <w:rFonts w:ascii="仿宋_GB2312" w:eastAsia="仿宋_GB2312" w:hAnsi="宋体"/>
          <w:b/>
          <w:bCs/>
          <w:sz w:val="32"/>
          <w:szCs w:val="32"/>
        </w:rPr>
        <w:t>1</w:t>
      </w:r>
      <w:r>
        <w:rPr>
          <w:rFonts w:ascii="仿宋_GB2312" w:eastAsia="仿宋_GB2312" w:hAnsi="宋体" w:hint="eastAsia"/>
          <w:b/>
          <w:bCs/>
          <w:sz w:val="32"/>
          <w:szCs w:val="32"/>
        </w:rPr>
        <w:t>）确定商业秘密事项范围</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各部门定密责任人对照《商业秘密信息参考表》（见附录）中所列企业重要涉密信息，结合商业秘密法定要件（非公知性、具有商业价值、采取了保密措施），逐一分析，梳理出本部门作为源头部门产生的所有商业秘密具体事项。</w:t>
      </w:r>
    </w:p>
    <w:p w:rsidR="00984676" w:rsidRDefault="00A72DF9">
      <w:pPr>
        <w:kinsoku w:val="0"/>
        <w:adjustRightInd w:val="0"/>
        <w:snapToGrid w:val="0"/>
        <w:spacing w:line="640" w:lineRule="exact"/>
        <w:ind w:firstLineChars="200" w:firstLine="643"/>
        <w:contextualSpacing/>
        <w:rPr>
          <w:rFonts w:ascii="仿宋_GB2312" w:eastAsia="仿宋_GB2312" w:hAnsi="宋体"/>
          <w:b/>
          <w:bCs/>
          <w:sz w:val="32"/>
          <w:szCs w:val="32"/>
        </w:rPr>
      </w:pPr>
      <w:r>
        <w:rPr>
          <w:rFonts w:ascii="仿宋_GB2312" w:eastAsia="仿宋_GB2312" w:hAnsi="宋体" w:hint="eastAsia"/>
          <w:b/>
          <w:bCs/>
          <w:sz w:val="32"/>
          <w:szCs w:val="32"/>
        </w:rPr>
        <w:t>（</w:t>
      </w:r>
      <w:r>
        <w:rPr>
          <w:rFonts w:ascii="仿宋_GB2312" w:eastAsia="仿宋_GB2312" w:hAnsi="宋体"/>
          <w:b/>
          <w:bCs/>
          <w:sz w:val="32"/>
          <w:szCs w:val="32"/>
        </w:rPr>
        <w:t>2</w:t>
      </w:r>
      <w:r>
        <w:rPr>
          <w:rFonts w:ascii="仿宋_GB2312" w:eastAsia="仿宋_GB2312" w:hAnsi="宋体" w:hint="eastAsia"/>
          <w:b/>
          <w:bCs/>
          <w:sz w:val="32"/>
          <w:szCs w:val="32"/>
        </w:rPr>
        <w:t>）识别商业秘密事项的知悉部门范围</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根据具体商业秘密事项涵盖的信息，从产生、流传、储存到最终销毁或者信息公开过程中，框定所有必须接触此类信息的部门范围。</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识别商业秘密事项的知悉部门范围时，应注意这里所指的“部门范围”不是指具体商业秘密事项的实际接触部门范围，而是指此项商业秘密信息“应知”部门的范围，即客观上无可避免需要接触知晓的部门范围。</w:t>
      </w:r>
    </w:p>
    <w:p w:rsidR="00984676" w:rsidRDefault="00A72DF9">
      <w:pPr>
        <w:kinsoku w:val="0"/>
        <w:adjustRightInd w:val="0"/>
        <w:snapToGrid w:val="0"/>
        <w:spacing w:line="640" w:lineRule="exact"/>
        <w:ind w:firstLineChars="200" w:firstLine="643"/>
        <w:contextualSpacing/>
        <w:rPr>
          <w:rFonts w:ascii="仿宋_GB2312" w:eastAsia="仿宋_GB2312" w:hAnsi="宋体"/>
          <w:b/>
          <w:bCs/>
          <w:sz w:val="32"/>
          <w:szCs w:val="32"/>
        </w:rPr>
      </w:pPr>
      <w:r>
        <w:rPr>
          <w:rFonts w:ascii="仿宋_GB2312" w:eastAsia="仿宋_GB2312" w:hAnsi="宋体" w:hint="eastAsia"/>
          <w:b/>
          <w:bCs/>
          <w:sz w:val="32"/>
          <w:szCs w:val="32"/>
        </w:rPr>
        <w:t>（</w:t>
      </w:r>
      <w:r>
        <w:rPr>
          <w:rFonts w:ascii="仿宋_GB2312" w:eastAsia="仿宋_GB2312" w:hAnsi="宋体"/>
          <w:b/>
          <w:bCs/>
          <w:sz w:val="32"/>
          <w:szCs w:val="32"/>
        </w:rPr>
        <w:t>3</w:t>
      </w:r>
      <w:r>
        <w:rPr>
          <w:rFonts w:ascii="仿宋_GB2312" w:eastAsia="仿宋_GB2312" w:hAnsi="宋体" w:hint="eastAsia"/>
          <w:b/>
          <w:bCs/>
          <w:sz w:val="32"/>
          <w:szCs w:val="32"/>
        </w:rPr>
        <w:t>）确定商业秘密事项的定密责任人</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各部门定密责任人由各部门主要负责人担当。定密责任人可在其定密权限范围内，指定专人作为定密承办人，负责具体工作的承办。但在此情况下，定密责任人仍须对承办人承办的具体工作进行审核把关，且负有直接责任。</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公司商业秘密事项定密责任人的职责包括以下几个方面：</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①审核申报本部门产生的商业秘密名称、保密等级、保</w:t>
      </w:r>
      <w:r>
        <w:rPr>
          <w:rFonts w:ascii="仿宋_GB2312" w:eastAsia="仿宋_GB2312" w:hAnsi="宋体" w:hint="eastAsia"/>
          <w:sz w:val="32"/>
          <w:szCs w:val="32"/>
        </w:rPr>
        <w:lastRenderedPageBreak/>
        <w:t>密期限和知悉人员范围；</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②及时纠正本部门确定商业秘密名称、保密等级、保密期限和知悉人员范围过程中的错漏行为；</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③审核申报本部门现有商业秘密的变更、解密事项；</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④及时将本部门在定密、变更、解密等工作中存在的疑难问题上报知识产权部处理。</w:t>
      </w:r>
    </w:p>
    <w:p w:rsidR="00984676" w:rsidRDefault="00A72DF9">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2.</w:t>
      </w:r>
      <w:r>
        <w:rPr>
          <w:rFonts w:ascii="楷体_GB2312" w:eastAsia="楷体_GB2312" w:hAnsi="宋体" w:hint="eastAsia"/>
          <w:sz w:val="32"/>
          <w:szCs w:val="32"/>
        </w:rPr>
        <w:t>划分商业秘密事项保密等级、确定商业秘密事项信息的保密期限</w:t>
      </w:r>
    </w:p>
    <w:p w:rsidR="00984676" w:rsidRDefault="00A72DF9">
      <w:pPr>
        <w:kinsoku w:val="0"/>
        <w:adjustRightInd w:val="0"/>
        <w:snapToGrid w:val="0"/>
        <w:spacing w:line="640" w:lineRule="exact"/>
        <w:ind w:firstLineChars="200" w:firstLine="643"/>
        <w:contextualSpacing/>
        <w:rPr>
          <w:rFonts w:ascii="仿宋_GB2312" w:eastAsia="仿宋_GB2312" w:hAnsi="宋体" w:cs="Times New Roman"/>
          <w:b/>
          <w:bCs/>
          <w:sz w:val="32"/>
          <w:szCs w:val="32"/>
        </w:rPr>
      </w:pPr>
      <w:r>
        <w:rPr>
          <w:rFonts w:ascii="仿宋_GB2312" w:eastAsia="仿宋_GB2312" w:hAnsi="宋体" w:cs="Times New Roman" w:hint="eastAsia"/>
          <w:b/>
          <w:bCs/>
          <w:sz w:val="32"/>
          <w:szCs w:val="32"/>
        </w:rPr>
        <w:t>（</w:t>
      </w:r>
      <w:r>
        <w:rPr>
          <w:rFonts w:ascii="仿宋_GB2312" w:eastAsia="仿宋_GB2312" w:hAnsi="宋体" w:cs="Times New Roman"/>
          <w:b/>
          <w:bCs/>
          <w:sz w:val="32"/>
          <w:szCs w:val="32"/>
        </w:rPr>
        <w:t>1</w:t>
      </w:r>
      <w:r>
        <w:rPr>
          <w:rFonts w:ascii="仿宋_GB2312" w:eastAsia="仿宋_GB2312" w:hAnsi="宋体" w:cs="Times New Roman" w:hint="eastAsia"/>
          <w:b/>
          <w:bCs/>
          <w:sz w:val="32"/>
          <w:szCs w:val="32"/>
        </w:rPr>
        <w:t>）划分商业秘密事项保密等级</w:t>
      </w:r>
    </w:p>
    <w:p w:rsidR="00984676" w:rsidRDefault="00A72DF9">
      <w:pPr>
        <w:kinsoku w:val="0"/>
        <w:adjustRightInd w:val="0"/>
        <w:snapToGrid w:val="0"/>
        <w:spacing w:line="640" w:lineRule="exact"/>
        <w:ind w:firstLineChars="200" w:firstLine="640"/>
        <w:contextualSpacing/>
        <w:rPr>
          <w:rFonts w:ascii="仿宋_GB2312" w:eastAsia="仿宋_GB2312" w:hAnsi="宋体" w:cs="Times New Roman"/>
          <w:sz w:val="32"/>
          <w:szCs w:val="32"/>
        </w:rPr>
      </w:pPr>
      <w:r>
        <w:rPr>
          <w:rFonts w:ascii="仿宋_GB2312" w:eastAsia="仿宋_GB2312" w:hAnsi="宋体" w:cs="Times New Roman" w:hint="eastAsia"/>
          <w:sz w:val="32"/>
          <w:szCs w:val="32"/>
        </w:rPr>
        <w:t>公司商业秘密保密等级的名称由高到低设定为“绝密级”“机密级”“秘密级”三个等级。</w:t>
      </w:r>
    </w:p>
    <w:p w:rsidR="00984676" w:rsidRDefault="00A72DF9">
      <w:pPr>
        <w:kinsoku w:val="0"/>
        <w:adjustRightInd w:val="0"/>
        <w:snapToGrid w:val="0"/>
        <w:spacing w:line="640" w:lineRule="exact"/>
        <w:ind w:firstLineChars="200" w:firstLine="640"/>
        <w:contextualSpacing/>
        <w:rPr>
          <w:rFonts w:ascii="仿宋_GB2312" w:eastAsia="仿宋_GB2312" w:hAnsi="宋体" w:cs="Times New Roman"/>
          <w:sz w:val="32"/>
          <w:szCs w:val="32"/>
        </w:rPr>
      </w:pPr>
      <w:r>
        <w:rPr>
          <w:rFonts w:ascii="仿宋_GB2312" w:eastAsia="仿宋_GB2312" w:hAnsi="宋体" w:cs="Times New Roman" w:hint="eastAsia"/>
          <w:sz w:val="32"/>
          <w:szCs w:val="32"/>
        </w:rPr>
        <w:t>各部门定密责任人按照《商业秘密分级测评标准》（见附录）</w:t>
      </w:r>
      <w:r>
        <w:rPr>
          <w:rFonts w:ascii="仿宋_GB2312" w:eastAsia="仿宋_GB2312" w:hAnsi="宋体" w:cs="Times New Roman" w:hint="eastAsia"/>
          <w:sz w:val="32"/>
          <w:szCs w:val="32"/>
        </w:rPr>
        <w:t>进行评估，结合各类别商业秘密的特点，以问卷测评打分的形式设定分值总和与相关保密等级的对应关系，从而确定具体商业秘密事项的保密等级。</w:t>
      </w:r>
    </w:p>
    <w:p w:rsidR="00984676" w:rsidRDefault="00A72DF9">
      <w:pPr>
        <w:kinsoku w:val="0"/>
        <w:adjustRightInd w:val="0"/>
        <w:snapToGrid w:val="0"/>
        <w:spacing w:line="640" w:lineRule="exact"/>
        <w:ind w:firstLineChars="200" w:firstLine="643"/>
        <w:contextualSpacing/>
        <w:rPr>
          <w:rFonts w:ascii="仿宋_GB2312" w:eastAsia="仿宋_GB2312" w:hAnsi="宋体" w:cs="Times New Roman"/>
          <w:b/>
          <w:bCs/>
          <w:sz w:val="32"/>
          <w:szCs w:val="32"/>
        </w:rPr>
      </w:pPr>
      <w:r>
        <w:rPr>
          <w:rFonts w:ascii="仿宋_GB2312" w:eastAsia="仿宋_GB2312" w:hAnsi="宋体" w:cs="Times New Roman" w:hint="eastAsia"/>
          <w:b/>
          <w:bCs/>
          <w:sz w:val="32"/>
          <w:szCs w:val="32"/>
        </w:rPr>
        <w:t>（</w:t>
      </w:r>
      <w:r>
        <w:rPr>
          <w:rFonts w:ascii="仿宋_GB2312" w:eastAsia="仿宋_GB2312" w:hAnsi="宋体" w:cs="Times New Roman"/>
          <w:b/>
          <w:bCs/>
          <w:sz w:val="32"/>
          <w:szCs w:val="32"/>
        </w:rPr>
        <w:t>2</w:t>
      </w:r>
      <w:r>
        <w:rPr>
          <w:rFonts w:ascii="仿宋_GB2312" w:eastAsia="仿宋_GB2312" w:hAnsi="宋体" w:cs="Times New Roman" w:hint="eastAsia"/>
          <w:b/>
          <w:bCs/>
          <w:sz w:val="32"/>
          <w:szCs w:val="32"/>
        </w:rPr>
        <w:t>）确定商业秘密事项信息的保密期限</w:t>
      </w:r>
    </w:p>
    <w:p w:rsidR="00984676" w:rsidRDefault="00A72DF9">
      <w:pPr>
        <w:kinsoku w:val="0"/>
        <w:adjustRightInd w:val="0"/>
        <w:snapToGrid w:val="0"/>
        <w:spacing w:line="640" w:lineRule="exact"/>
        <w:ind w:firstLineChars="200" w:firstLine="640"/>
        <w:contextualSpacing/>
        <w:rPr>
          <w:rFonts w:ascii="仿宋_GB2312" w:eastAsia="仿宋_GB2312" w:hAnsi="宋体" w:cs="Times New Roman"/>
          <w:sz w:val="32"/>
          <w:szCs w:val="32"/>
        </w:rPr>
      </w:pPr>
      <w:r>
        <w:rPr>
          <w:rFonts w:ascii="仿宋_GB2312" w:eastAsia="仿宋_GB2312" w:hAnsi="宋体" w:cs="Times New Roman" w:hint="eastAsia"/>
          <w:sz w:val="32"/>
          <w:szCs w:val="32"/>
        </w:rPr>
        <w:t>公司商业秘密保密期限采取“保密时间段”或“解密条件”的方式。</w:t>
      </w:r>
    </w:p>
    <w:p w:rsidR="00984676" w:rsidRDefault="00A72DF9">
      <w:pPr>
        <w:kinsoku w:val="0"/>
        <w:adjustRightInd w:val="0"/>
        <w:snapToGrid w:val="0"/>
        <w:spacing w:line="640" w:lineRule="exact"/>
        <w:ind w:firstLineChars="200" w:firstLine="640"/>
        <w:contextualSpacing/>
        <w:rPr>
          <w:rFonts w:ascii="仿宋_GB2312" w:eastAsia="仿宋_GB2312" w:hAnsi="宋体" w:cs="Times New Roman"/>
          <w:sz w:val="32"/>
          <w:szCs w:val="32"/>
        </w:rPr>
      </w:pPr>
      <w:r>
        <w:rPr>
          <w:rFonts w:ascii="仿宋_GB2312" w:eastAsia="仿宋_GB2312" w:hAnsi="宋体" w:cs="Times New Roman" w:hint="eastAsia"/>
          <w:sz w:val="32"/>
          <w:szCs w:val="32"/>
        </w:rPr>
        <w:t>保密时间段分为“</w:t>
      </w:r>
      <w:r>
        <w:rPr>
          <w:rFonts w:ascii="仿宋_GB2312" w:eastAsia="仿宋_GB2312" w:hAnsi="宋体" w:cs="Times New Roman"/>
          <w:sz w:val="32"/>
          <w:szCs w:val="32"/>
        </w:rPr>
        <w:t>3</w:t>
      </w:r>
      <w:r>
        <w:rPr>
          <w:rFonts w:ascii="仿宋_GB2312" w:eastAsia="仿宋_GB2312" w:hAnsi="宋体" w:cs="Times New Roman" w:hint="eastAsia"/>
          <w:sz w:val="32"/>
          <w:szCs w:val="32"/>
        </w:rPr>
        <w:t>年”“</w:t>
      </w:r>
      <w:r>
        <w:rPr>
          <w:rFonts w:ascii="仿宋_GB2312" w:eastAsia="仿宋_GB2312" w:hAnsi="宋体" w:cs="Times New Roman"/>
          <w:sz w:val="32"/>
          <w:szCs w:val="32"/>
        </w:rPr>
        <w:t>5</w:t>
      </w:r>
      <w:r>
        <w:rPr>
          <w:rFonts w:ascii="仿宋_GB2312" w:eastAsia="仿宋_GB2312" w:hAnsi="宋体" w:cs="Times New Roman" w:hint="eastAsia"/>
          <w:sz w:val="32"/>
          <w:szCs w:val="32"/>
        </w:rPr>
        <w:t>年”和“长期”三个选项，各部门定密责任人根据该商业秘密的性质酌情选择。</w:t>
      </w:r>
    </w:p>
    <w:p w:rsidR="00984676" w:rsidRDefault="00A72DF9">
      <w:pPr>
        <w:kinsoku w:val="0"/>
        <w:adjustRightInd w:val="0"/>
        <w:snapToGrid w:val="0"/>
        <w:spacing w:line="640" w:lineRule="exact"/>
        <w:ind w:firstLineChars="200" w:firstLine="640"/>
        <w:contextualSpacing/>
        <w:rPr>
          <w:rFonts w:ascii="仿宋_GB2312" w:eastAsia="仿宋_GB2312" w:hAnsi="宋体" w:cs="Times New Roman"/>
          <w:sz w:val="32"/>
          <w:szCs w:val="32"/>
        </w:rPr>
      </w:pPr>
      <w:r>
        <w:rPr>
          <w:rFonts w:ascii="仿宋_GB2312" w:eastAsia="仿宋_GB2312" w:hAnsi="宋体" w:cs="Times New Roman" w:hint="eastAsia"/>
          <w:sz w:val="32"/>
          <w:szCs w:val="32"/>
        </w:rPr>
        <w:t>确定保密期限时，先看该商业秘密信息是否具有较为明</w:t>
      </w:r>
      <w:r>
        <w:rPr>
          <w:rFonts w:ascii="仿宋_GB2312" w:eastAsia="仿宋_GB2312" w:hAnsi="宋体" w:cs="Times New Roman" w:hint="eastAsia"/>
          <w:sz w:val="32"/>
          <w:szCs w:val="32"/>
        </w:rPr>
        <w:lastRenderedPageBreak/>
        <w:t>确的保密时间段，如有，则将保密时间段列明即可；如没有，则通过分析判断该商业秘密是否具有特定解密条件，再行设定。</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cs="Times New Roman" w:hint="eastAsia"/>
          <w:sz w:val="32"/>
          <w:szCs w:val="32"/>
        </w:rPr>
        <w:t>如企业招投标标书与标的信息，一般来说，此信息随着具体招投标项目开标而使相关内容公开，不适合用保密时间段来确定保密期限，故可将“至投标项目开标”作为解密条件，列入保密期限。</w:t>
      </w:r>
    </w:p>
    <w:p w:rsidR="00984676" w:rsidRDefault="00A72DF9">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3.</w:t>
      </w:r>
      <w:r>
        <w:rPr>
          <w:rFonts w:ascii="楷体_GB2312" w:eastAsia="楷体_GB2312" w:hAnsi="宋体" w:hint="eastAsia"/>
          <w:sz w:val="32"/>
          <w:szCs w:val="32"/>
        </w:rPr>
        <w:t>汇总确认各部门的商业秘密信息事项，形成《公司商业秘密事项清单》</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在第</w:t>
      </w:r>
      <w:r>
        <w:rPr>
          <w:rFonts w:ascii="仿宋_GB2312" w:eastAsia="仿宋_GB2312" w:hAnsi="宋体"/>
          <w:sz w:val="32"/>
          <w:szCs w:val="32"/>
        </w:rPr>
        <w:t>1</w:t>
      </w:r>
      <w:r>
        <w:rPr>
          <w:rFonts w:ascii="仿宋_GB2312" w:eastAsia="仿宋_GB2312" w:hAnsi="宋体" w:hint="eastAsia"/>
          <w:sz w:val="32"/>
          <w:szCs w:val="32"/>
        </w:rPr>
        <w:t>和</w:t>
      </w:r>
      <w:r>
        <w:rPr>
          <w:rFonts w:ascii="仿宋_GB2312" w:eastAsia="仿宋_GB2312" w:hAnsi="宋体"/>
          <w:sz w:val="32"/>
          <w:szCs w:val="32"/>
        </w:rPr>
        <w:t>2</w:t>
      </w:r>
      <w:r>
        <w:rPr>
          <w:rFonts w:ascii="仿宋_GB2312" w:eastAsia="仿宋_GB2312" w:hAnsi="宋体" w:hint="eastAsia"/>
          <w:sz w:val="32"/>
          <w:szCs w:val="32"/>
        </w:rPr>
        <w:t>项步骤中，知识产权部应进行一至两次的返回确认，让各部门定密责任人充分理解商业秘密定密分级的要求，形成较为准确的公司商业秘密信息事项。</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知识产权部对于各部门反馈回来的商业秘密事项形成公司级的《商业秘密事项清单》，表头信息应包括源头部门、</w:t>
      </w:r>
      <w:r>
        <w:rPr>
          <w:rFonts w:ascii="仿宋_GB2312" w:eastAsia="仿宋_GB2312" w:hAnsi="宋体"/>
          <w:sz w:val="32"/>
          <w:szCs w:val="32"/>
        </w:rPr>
        <w:t>商业秘密具体事项</w:t>
      </w:r>
      <w:r>
        <w:rPr>
          <w:rFonts w:ascii="仿宋_GB2312" w:eastAsia="仿宋_GB2312" w:hAnsi="宋体" w:hint="eastAsia"/>
          <w:sz w:val="32"/>
          <w:szCs w:val="32"/>
        </w:rPr>
        <w:t>、</w:t>
      </w:r>
      <w:r>
        <w:rPr>
          <w:rFonts w:ascii="仿宋_GB2312" w:eastAsia="仿宋_GB2312" w:hAnsi="宋体"/>
          <w:sz w:val="32"/>
          <w:szCs w:val="32"/>
        </w:rPr>
        <w:t>密级</w:t>
      </w:r>
      <w:r>
        <w:rPr>
          <w:rFonts w:ascii="仿宋_GB2312" w:eastAsia="仿宋_GB2312" w:hAnsi="宋体" w:hint="eastAsia"/>
          <w:sz w:val="32"/>
          <w:szCs w:val="32"/>
        </w:rPr>
        <w:t>、</w:t>
      </w:r>
      <w:r>
        <w:rPr>
          <w:rFonts w:ascii="仿宋_GB2312" w:eastAsia="仿宋_GB2312" w:hAnsi="宋体"/>
          <w:sz w:val="32"/>
          <w:szCs w:val="32"/>
        </w:rPr>
        <w:t>定密</w:t>
      </w:r>
      <w:r>
        <w:rPr>
          <w:rFonts w:ascii="仿宋_GB2312" w:eastAsia="仿宋_GB2312" w:hAnsi="宋体"/>
          <w:sz w:val="32"/>
          <w:szCs w:val="32"/>
        </w:rPr>
        <w:t>责任人</w:t>
      </w:r>
      <w:r>
        <w:rPr>
          <w:rFonts w:ascii="仿宋_GB2312" w:eastAsia="仿宋_GB2312" w:hAnsi="宋体" w:hint="eastAsia"/>
          <w:sz w:val="32"/>
          <w:szCs w:val="32"/>
        </w:rPr>
        <w:t>、</w:t>
      </w:r>
      <w:r>
        <w:rPr>
          <w:rFonts w:ascii="仿宋_GB2312" w:eastAsia="仿宋_GB2312" w:hAnsi="宋体"/>
          <w:sz w:val="32"/>
          <w:szCs w:val="32"/>
        </w:rPr>
        <w:t>知悉部门范围</w:t>
      </w:r>
      <w:r>
        <w:rPr>
          <w:rFonts w:ascii="仿宋_GB2312" w:eastAsia="仿宋_GB2312" w:hAnsi="宋体" w:hint="eastAsia"/>
          <w:sz w:val="32"/>
          <w:szCs w:val="32"/>
        </w:rPr>
        <w:t>和</w:t>
      </w:r>
      <w:r>
        <w:rPr>
          <w:rFonts w:ascii="仿宋_GB2312" w:eastAsia="仿宋_GB2312" w:hAnsi="宋体"/>
          <w:sz w:val="32"/>
          <w:szCs w:val="32"/>
        </w:rPr>
        <w:t>保密期限</w:t>
      </w:r>
      <w:r>
        <w:rPr>
          <w:rFonts w:ascii="仿宋_GB2312" w:eastAsia="仿宋_GB2312" w:hAnsi="宋体" w:hint="eastAsia"/>
          <w:sz w:val="32"/>
          <w:szCs w:val="32"/>
        </w:rPr>
        <w:t>。</w:t>
      </w:r>
    </w:p>
    <w:p w:rsidR="00984676" w:rsidRDefault="00A72DF9">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商业秘密标识</w:t>
      </w:r>
    </w:p>
    <w:p w:rsidR="00984676" w:rsidRDefault="00A72DF9">
      <w:pPr>
        <w:numPr>
          <w:ilvl w:val="0"/>
          <w:numId w:val="2"/>
        </w:num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各商业秘密源头部门应根据《公司商业秘密事项清单》，在相应商业秘密信息进行标识，根据商业秘密对应级别标识为“绝密◎×年、机密◎×年、秘密◎×年”，标注在文件封面右上角，字体为</w:t>
      </w:r>
      <w:r>
        <w:rPr>
          <w:rFonts w:ascii="仿宋_GB2312" w:eastAsia="仿宋_GB2312" w:hAnsi="宋体"/>
          <w:sz w:val="32"/>
          <w:szCs w:val="32"/>
        </w:rPr>
        <w:t>3</w:t>
      </w:r>
      <w:r>
        <w:rPr>
          <w:rFonts w:ascii="仿宋_GB2312" w:eastAsia="仿宋_GB2312" w:hAnsi="宋体"/>
          <w:sz w:val="32"/>
          <w:szCs w:val="32"/>
        </w:rPr>
        <w:t>号黑体字</w:t>
      </w:r>
      <w:r>
        <w:rPr>
          <w:rFonts w:ascii="仿宋_GB2312" w:eastAsia="仿宋_GB2312" w:hAnsi="宋体" w:hint="eastAsia"/>
          <w:sz w:val="32"/>
          <w:szCs w:val="32"/>
        </w:rPr>
        <w:t>。</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sz w:val="32"/>
          <w:szCs w:val="32"/>
        </w:rPr>
        <w:lastRenderedPageBreak/>
        <w:t>2.</w:t>
      </w:r>
      <w:r>
        <w:rPr>
          <w:rFonts w:ascii="仿宋_GB2312" w:eastAsia="仿宋_GB2312" w:hAnsi="宋体" w:hint="eastAsia"/>
          <w:sz w:val="32"/>
          <w:szCs w:val="32"/>
        </w:rPr>
        <w:t>保密期限为长期或者解密条件的，直接在◎后注明长期或者解密条件。</w:t>
      </w:r>
    </w:p>
    <w:p w:rsidR="00984676" w:rsidRDefault="00A72DF9">
      <w:pPr>
        <w:pStyle w:val="2"/>
        <w:keepNext w:val="0"/>
        <w:keepLines w:val="0"/>
        <w:numPr>
          <w:ilvl w:val="0"/>
          <w:numId w:val="1"/>
        </w:numPr>
        <w:kinsoku w:val="0"/>
        <w:adjustRightInd w:val="0"/>
        <w:snapToGrid w:val="0"/>
        <w:spacing w:line="640" w:lineRule="exact"/>
        <w:ind w:firstLineChars="200" w:firstLine="640"/>
        <w:contextualSpacing/>
        <w:rPr>
          <w:rFonts w:ascii="黑体" w:hAnsi="黑体"/>
          <w:szCs w:val="32"/>
        </w:rPr>
      </w:pPr>
      <w:r>
        <w:rPr>
          <w:rFonts w:ascii="黑体" w:hAnsi="黑体" w:hint="eastAsia"/>
          <w:b w:val="0"/>
          <w:szCs w:val="32"/>
        </w:rPr>
        <w:t>商业秘密的变更与解密</w:t>
      </w:r>
    </w:p>
    <w:p w:rsidR="00984676" w:rsidRDefault="00A72DF9">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1.</w:t>
      </w:r>
      <w:r>
        <w:rPr>
          <w:rFonts w:ascii="楷体_GB2312" w:eastAsia="楷体_GB2312" w:hAnsi="宋体" w:hint="eastAsia"/>
          <w:sz w:val="32"/>
          <w:szCs w:val="32"/>
        </w:rPr>
        <w:t>商业秘密的变更</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公司商业秘密因特定因素导致保密等级、保密期限或知悉人员范围等发生变化，而需要调整原有定密分级相关内容的情况称为商业秘密的变更。</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为尽可能在做好商业秘密保密管理的同时，确保公司经营活动效率，公司商业秘密的变更以每年定期审查调整的方式开展，由知识产权部牵头，依照公司现行《公司商业秘密事项清单》，对公司现有商业秘密事项开展年度审查和变更。</w:t>
      </w:r>
    </w:p>
    <w:p w:rsidR="00984676" w:rsidRDefault="00A72DF9">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2.</w:t>
      </w:r>
      <w:r>
        <w:rPr>
          <w:rFonts w:ascii="楷体_GB2312" w:eastAsia="楷体_GB2312" w:hAnsi="宋体" w:hint="eastAsia"/>
          <w:sz w:val="32"/>
          <w:szCs w:val="32"/>
        </w:rPr>
        <w:t>商业秘密的解密</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商业秘密解密是指公司商业秘密因保密期限已满，或者《公司商业秘密事项清单》变更，或者其他特定因素导致商业秘密公开，从而结束保密。</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公司每年进行商业秘密事项年度审查时，如有信息达到解密条件，各部门定密责任人可以一并进行变更解除。绝密级信息解密</w:t>
      </w:r>
      <w:proofErr w:type="gramStart"/>
      <w:r>
        <w:rPr>
          <w:rFonts w:ascii="仿宋_GB2312" w:eastAsia="仿宋_GB2312" w:hAnsi="宋体" w:hint="eastAsia"/>
          <w:sz w:val="32"/>
          <w:szCs w:val="32"/>
        </w:rPr>
        <w:t>需部门</w:t>
      </w:r>
      <w:proofErr w:type="gramEnd"/>
      <w:r>
        <w:rPr>
          <w:rFonts w:ascii="仿宋_GB2312" w:eastAsia="仿宋_GB2312" w:hAnsi="宋体" w:hint="eastAsia"/>
          <w:sz w:val="32"/>
          <w:szCs w:val="32"/>
        </w:rPr>
        <w:t>负责人、知识产权部、总经理审批；机密级信</w:t>
      </w:r>
      <w:r>
        <w:rPr>
          <w:rFonts w:ascii="仿宋_GB2312" w:eastAsia="仿宋_GB2312" w:hAnsi="宋体" w:hint="eastAsia"/>
          <w:sz w:val="32"/>
          <w:szCs w:val="32"/>
        </w:rPr>
        <w:t>息解密</w:t>
      </w:r>
      <w:proofErr w:type="gramStart"/>
      <w:r>
        <w:rPr>
          <w:rFonts w:ascii="仿宋_GB2312" w:eastAsia="仿宋_GB2312" w:hAnsi="宋体" w:hint="eastAsia"/>
          <w:sz w:val="32"/>
          <w:szCs w:val="32"/>
        </w:rPr>
        <w:t>需部门</w:t>
      </w:r>
      <w:proofErr w:type="gramEnd"/>
      <w:r>
        <w:rPr>
          <w:rFonts w:ascii="仿宋_GB2312" w:eastAsia="仿宋_GB2312" w:hAnsi="宋体" w:hint="eastAsia"/>
          <w:sz w:val="32"/>
          <w:szCs w:val="32"/>
        </w:rPr>
        <w:t>负责人、知识产权部审批；</w:t>
      </w:r>
      <w:proofErr w:type="gramStart"/>
      <w:r>
        <w:rPr>
          <w:rFonts w:ascii="仿宋_GB2312" w:eastAsia="仿宋_GB2312" w:hAnsi="宋体" w:hint="eastAsia"/>
          <w:sz w:val="32"/>
          <w:szCs w:val="32"/>
        </w:rPr>
        <w:t>秘</w:t>
      </w:r>
      <w:proofErr w:type="gramEnd"/>
      <w:r>
        <w:rPr>
          <w:rFonts w:ascii="仿宋_GB2312" w:eastAsia="仿宋_GB2312" w:hAnsi="宋体" w:hint="eastAsia"/>
          <w:sz w:val="32"/>
          <w:szCs w:val="32"/>
        </w:rPr>
        <w:t>密级信息解密</w:t>
      </w:r>
      <w:proofErr w:type="gramStart"/>
      <w:r>
        <w:rPr>
          <w:rFonts w:ascii="仿宋_GB2312" w:eastAsia="仿宋_GB2312" w:hAnsi="宋体" w:hint="eastAsia"/>
          <w:sz w:val="32"/>
          <w:szCs w:val="32"/>
        </w:rPr>
        <w:t>需部门</w:t>
      </w:r>
      <w:proofErr w:type="gramEnd"/>
      <w:r>
        <w:rPr>
          <w:rFonts w:ascii="仿宋_GB2312" w:eastAsia="仿宋_GB2312" w:hAnsi="宋体" w:hint="eastAsia"/>
          <w:sz w:val="32"/>
          <w:szCs w:val="32"/>
        </w:rPr>
        <w:t>负责人审批。</w:t>
      </w:r>
    </w:p>
    <w:p w:rsidR="00984676" w:rsidRDefault="00A72DF9">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解密信息的公开</w:t>
      </w:r>
    </w:p>
    <w:p w:rsidR="00984676" w:rsidRDefault="00A72DF9">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lastRenderedPageBreak/>
        <w:t>公司解密信息不能随便公开，对需要公开的解密的信息，应由商业秘密保护</w:t>
      </w:r>
      <w:r>
        <w:rPr>
          <w:rFonts w:ascii="仿宋_GB2312" w:eastAsia="仿宋_GB2312" w:hAnsi="宋体" w:hint="eastAsia"/>
          <w:sz w:val="32"/>
          <w:szCs w:val="32"/>
        </w:rPr>
        <w:t>管理</w:t>
      </w:r>
      <w:r>
        <w:rPr>
          <w:rFonts w:ascii="仿宋_GB2312" w:eastAsia="仿宋_GB2312" w:hAnsi="宋体" w:hint="eastAsia"/>
          <w:sz w:val="32"/>
          <w:szCs w:val="32"/>
        </w:rPr>
        <w:t>委员会审查后再进行公开。</w:t>
      </w:r>
    </w:p>
    <w:p w:rsidR="00984676" w:rsidRDefault="00A72DF9">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本制度由商业秘密保护</w:t>
      </w:r>
      <w:r>
        <w:rPr>
          <w:rFonts w:ascii="黑体" w:hAnsi="黑体" w:hint="eastAsia"/>
          <w:b w:val="0"/>
          <w:szCs w:val="32"/>
        </w:rPr>
        <w:t>管理</w:t>
      </w:r>
      <w:r>
        <w:rPr>
          <w:rFonts w:ascii="黑体" w:hAnsi="黑体" w:hint="eastAsia"/>
          <w:b w:val="0"/>
          <w:szCs w:val="32"/>
        </w:rPr>
        <w:t>委员会负责解释。</w:t>
      </w:r>
    </w:p>
    <w:p w:rsidR="00984676" w:rsidRDefault="00A72DF9">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本制度自发布之日起施行。</w:t>
      </w:r>
    </w:p>
    <w:p w:rsidR="00984676" w:rsidRDefault="00984676">
      <w:pPr>
        <w:pStyle w:val="a7"/>
        <w:rPr>
          <w:rFonts w:ascii="宋体" w:hAnsi="宋体"/>
          <w:szCs w:val="24"/>
        </w:rPr>
      </w:pPr>
    </w:p>
    <w:p w:rsidR="00984676" w:rsidRDefault="00A72DF9">
      <w:pPr>
        <w:pStyle w:val="2"/>
        <w:keepNext w:val="0"/>
        <w:keepLines w:val="0"/>
        <w:kinsoku w:val="0"/>
        <w:adjustRightInd w:val="0"/>
        <w:snapToGrid w:val="0"/>
        <w:spacing w:line="640" w:lineRule="exact"/>
        <w:ind w:firstLineChars="200" w:firstLine="640"/>
        <w:contextualSpacing/>
        <w:rPr>
          <w:rFonts w:ascii="仿宋_GB2312" w:eastAsia="仿宋_GB2312" w:hAnsi="黑体"/>
          <w:b w:val="0"/>
          <w:szCs w:val="32"/>
        </w:rPr>
      </w:pPr>
      <w:r>
        <w:rPr>
          <w:rFonts w:ascii="仿宋_GB2312" w:eastAsia="仿宋_GB2312" w:hAnsi="黑体" w:hint="eastAsia"/>
          <w:b w:val="0"/>
          <w:szCs w:val="32"/>
        </w:rPr>
        <w:t>附件：</w:t>
      </w:r>
      <w:r>
        <w:rPr>
          <w:rFonts w:ascii="仿宋_GB2312" w:eastAsia="仿宋_GB2312" w:hAnsi="黑体"/>
          <w:b w:val="0"/>
          <w:szCs w:val="32"/>
        </w:rPr>
        <w:t>1.</w:t>
      </w:r>
      <w:r>
        <w:rPr>
          <w:rFonts w:ascii="仿宋_GB2312" w:eastAsia="仿宋_GB2312" w:hAnsi="黑体" w:hint="eastAsia"/>
          <w:b w:val="0"/>
          <w:szCs w:val="32"/>
        </w:rPr>
        <w:t>商业秘密信息参考表</w:t>
      </w:r>
    </w:p>
    <w:p w:rsidR="00984676" w:rsidRDefault="00A72DF9">
      <w:pPr>
        <w:pStyle w:val="2"/>
        <w:keepNext w:val="0"/>
        <w:keepLines w:val="0"/>
        <w:kinsoku w:val="0"/>
        <w:adjustRightInd w:val="0"/>
        <w:snapToGrid w:val="0"/>
        <w:spacing w:line="640" w:lineRule="exact"/>
        <w:ind w:firstLineChars="500" w:firstLine="1600"/>
        <w:contextualSpacing/>
        <w:rPr>
          <w:rFonts w:ascii="仿宋_GB2312" w:eastAsia="仿宋_GB2312" w:hAnsi="黑体"/>
          <w:b w:val="0"/>
          <w:szCs w:val="32"/>
        </w:rPr>
      </w:pPr>
      <w:r>
        <w:rPr>
          <w:rFonts w:ascii="仿宋_GB2312" w:eastAsia="仿宋_GB2312" w:hAnsi="黑体"/>
          <w:b w:val="0"/>
          <w:szCs w:val="32"/>
        </w:rPr>
        <w:t>2.</w:t>
      </w:r>
      <w:r>
        <w:rPr>
          <w:rFonts w:ascii="仿宋_GB2312" w:eastAsia="仿宋_GB2312" w:hAnsi="黑体" w:hint="eastAsia"/>
          <w:b w:val="0"/>
          <w:szCs w:val="32"/>
        </w:rPr>
        <w:t>商业秘密分级测评标准</w:t>
      </w:r>
    </w:p>
    <w:p w:rsidR="00984676" w:rsidRDefault="00A72DF9">
      <w:pPr>
        <w:kinsoku w:val="0"/>
        <w:adjustRightInd w:val="0"/>
        <w:snapToGrid w:val="0"/>
        <w:spacing w:line="640" w:lineRule="exact"/>
        <w:ind w:firstLineChars="200" w:firstLine="480"/>
        <w:contextualSpacing/>
        <w:jc w:val="left"/>
        <w:rPr>
          <w:rFonts w:ascii="宋体" w:hAnsi="宋体"/>
          <w:szCs w:val="24"/>
        </w:rPr>
      </w:pPr>
      <w:r>
        <w:rPr>
          <w:rFonts w:ascii="宋体" w:hAnsi="宋体"/>
          <w:szCs w:val="24"/>
        </w:rPr>
        <w:br w:type="page"/>
      </w:r>
    </w:p>
    <w:tbl>
      <w:tblPr>
        <w:tblpPr w:leftFromText="180" w:rightFromText="180" w:vertAnchor="page" w:horzAnchor="margin" w:tblpXSpec="center" w:tblpY="2679"/>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0"/>
        <w:gridCol w:w="2981"/>
        <w:gridCol w:w="1083"/>
        <w:gridCol w:w="3840"/>
      </w:tblGrid>
      <w:tr w:rsidR="00984676">
        <w:trPr>
          <w:trHeight w:val="716"/>
        </w:trPr>
        <w:tc>
          <w:tcPr>
            <w:tcW w:w="4041" w:type="dxa"/>
            <w:gridSpan w:val="2"/>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ind w:leftChars="-6" w:hangingChars="6" w:hanging="14"/>
              <w:contextualSpacing/>
              <w:jc w:val="center"/>
              <w:rPr>
                <w:rFonts w:ascii="宋体" w:hAnsi="宋体" w:cs="Times New Roman"/>
                <w:szCs w:val="24"/>
              </w:rPr>
            </w:pPr>
            <w:r>
              <w:rPr>
                <w:rFonts w:ascii="宋体" w:hAnsi="宋体" w:cs="Times New Roman" w:hint="eastAsia"/>
                <w:szCs w:val="24"/>
              </w:rPr>
              <w:lastRenderedPageBreak/>
              <w:t>技术信息</w:t>
            </w:r>
          </w:p>
        </w:tc>
        <w:tc>
          <w:tcPr>
            <w:tcW w:w="4923" w:type="dxa"/>
            <w:gridSpan w:val="2"/>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ind w:leftChars="-6" w:hangingChars="6" w:hanging="14"/>
              <w:contextualSpacing/>
              <w:jc w:val="center"/>
              <w:rPr>
                <w:rFonts w:ascii="宋体" w:hAnsi="宋体" w:cs="Times New Roman"/>
                <w:szCs w:val="24"/>
              </w:rPr>
            </w:pPr>
            <w:r>
              <w:rPr>
                <w:rFonts w:ascii="宋体" w:hAnsi="宋体" w:cs="Times New Roman" w:hint="eastAsia"/>
                <w:szCs w:val="24"/>
              </w:rPr>
              <w:t>经营信息</w:t>
            </w:r>
          </w:p>
        </w:tc>
      </w:tr>
      <w:tr w:rsidR="00984676">
        <w:trPr>
          <w:trHeight w:val="641"/>
        </w:trPr>
        <w:tc>
          <w:tcPr>
            <w:tcW w:w="1060" w:type="dxa"/>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contextualSpacing/>
              <w:jc w:val="center"/>
              <w:rPr>
                <w:rFonts w:ascii="黑体" w:eastAsia="黑体" w:hAnsi="黑体" w:cs="Times New Roman"/>
                <w:szCs w:val="21"/>
              </w:rPr>
            </w:pPr>
            <w:r>
              <w:rPr>
                <w:rFonts w:ascii="黑体" w:eastAsia="黑体" w:hAnsi="黑体" w:cs="Times New Roman" w:hint="eastAsia"/>
                <w:szCs w:val="21"/>
              </w:rPr>
              <w:t>项目</w:t>
            </w:r>
          </w:p>
        </w:tc>
        <w:tc>
          <w:tcPr>
            <w:tcW w:w="2981" w:type="dxa"/>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contextualSpacing/>
              <w:jc w:val="center"/>
              <w:rPr>
                <w:rFonts w:ascii="黑体" w:eastAsia="黑体" w:hAnsi="黑体" w:cs="Times New Roman"/>
                <w:szCs w:val="21"/>
              </w:rPr>
            </w:pPr>
            <w:r>
              <w:rPr>
                <w:rFonts w:ascii="黑体" w:eastAsia="黑体" w:hAnsi="黑体" w:cs="Times New Roman" w:hint="eastAsia"/>
                <w:szCs w:val="21"/>
              </w:rPr>
              <w:t>具体事项</w:t>
            </w:r>
          </w:p>
        </w:tc>
        <w:tc>
          <w:tcPr>
            <w:tcW w:w="1083" w:type="dxa"/>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contextualSpacing/>
              <w:jc w:val="center"/>
              <w:rPr>
                <w:rFonts w:ascii="黑体" w:eastAsia="黑体" w:hAnsi="黑体" w:cs="Times New Roman"/>
                <w:szCs w:val="21"/>
              </w:rPr>
            </w:pPr>
            <w:r>
              <w:rPr>
                <w:rFonts w:ascii="黑体" w:eastAsia="黑体" w:hAnsi="黑体" w:cs="Times New Roman" w:hint="eastAsia"/>
                <w:szCs w:val="21"/>
              </w:rPr>
              <w:t>项目</w:t>
            </w:r>
          </w:p>
        </w:tc>
        <w:tc>
          <w:tcPr>
            <w:tcW w:w="3840" w:type="dxa"/>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contextualSpacing/>
              <w:jc w:val="center"/>
              <w:rPr>
                <w:rFonts w:ascii="黑体" w:eastAsia="黑体" w:hAnsi="黑体" w:cs="Times New Roman"/>
                <w:szCs w:val="21"/>
              </w:rPr>
            </w:pPr>
            <w:r>
              <w:rPr>
                <w:rFonts w:ascii="黑体" w:eastAsia="黑体" w:hAnsi="黑体" w:cs="Times New Roman" w:hint="eastAsia"/>
                <w:szCs w:val="21"/>
              </w:rPr>
              <w:t>具体事项</w:t>
            </w:r>
          </w:p>
        </w:tc>
      </w:tr>
      <w:tr w:rsidR="00984676">
        <w:trPr>
          <w:trHeight w:val="925"/>
        </w:trPr>
        <w:tc>
          <w:tcPr>
            <w:tcW w:w="1060" w:type="dxa"/>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研发技术信息</w:t>
            </w:r>
          </w:p>
        </w:tc>
        <w:tc>
          <w:tcPr>
            <w:tcW w:w="2981"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设计图及其草案、模型、样板、设计方案、测试记录及数据、研发进度表等</w:t>
            </w:r>
          </w:p>
        </w:tc>
        <w:tc>
          <w:tcPr>
            <w:tcW w:w="1083"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公司基础信息</w:t>
            </w:r>
          </w:p>
        </w:tc>
        <w:tc>
          <w:tcPr>
            <w:tcW w:w="3840"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公司架构、规章制度、内部通知、决议文件、会议纪要等</w:t>
            </w:r>
          </w:p>
        </w:tc>
      </w:tr>
      <w:tr w:rsidR="00984676">
        <w:trPr>
          <w:trHeight w:val="825"/>
        </w:trPr>
        <w:tc>
          <w:tcPr>
            <w:tcW w:w="1060" w:type="dxa"/>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采购技术信息</w:t>
            </w:r>
          </w:p>
        </w:tc>
        <w:tc>
          <w:tcPr>
            <w:tcW w:w="2981"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型号、牌号、定制品技术参数及价格、特别要求等</w:t>
            </w:r>
          </w:p>
        </w:tc>
        <w:tc>
          <w:tcPr>
            <w:tcW w:w="1083"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决策信息</w:t>
            </w:r>
          </w:p>
        </w:tc>
        <w:tc>
          <w:tcPr>
            <w:tcW w:w="3840"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战略决策、研发策略、投资计划、股权激励方案、管理方法、专利规划布局等</w:t>
            </w:r>
          </w:p>
        </w:tc>
      </w:tr>
      <w:tr w:rsidR="00984676">
        <w:trPr>
          <w:trHeight w:val="823"/>
        </w:trPr>
        <w:tc>
          <w:tcPr>
            <w:tcW w:w="1060" w:type="dxa"/>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生产信息</w:t>
            </w:r>
          </w:p>
        </w:tc>
        <w:tc>
          <w:tcPr>
            <w:tcW w:w="2981"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产品配方、工艺流程、技术参数、电子数据、作业指导书、样本库等</w:t>
            </w:r>
          </w:p>
        </w:tc>
        <w:tc>
          <w:tcPr>
            <w:tcW w:w="1083"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研发经营信息</w:t>
            </w:r>
          </w:p>
        </w:tc>
        <w:tc>
          <w:tcPr>
            <w:tcW w:w="3840"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研发策略、研发经费预算等</w:t>
            </w:r>
          </w:p>
        </w:tc>
      </w:tr>
      <w:tr w:rsidR="00984676">
        <w:trPr>
          <w:trHeight w:val="1105"/>
        </w:trPr>
        <w:tc>
          <w:tcPr>
            <w:tcW w:w="1060" w:type="dxa"/>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设备设施信息</w:t>
            </w:r>
          </w:p>
        </w:tc>
        <w:tc>
          <w:tcPr>
            <w:tcW w:w="2981"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涉密生产设备、仪器、夹具、模具等中的技术信息，如设备仪器的型号、配置参数、特别要求等</w:t>
            </w:r>
          </w:p>
        </w:tc>
        <w:tc>
          <w:tcPr>
            <w:tcW w:w="1083"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采购经营信息</w:t>
            </w:r>
          </w:p>
        </w:tc>
        <w:tc>
          <w:tcPr>
            <w:tcW w:w="3840"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采购渠道、采购价格、采购计划、采购记录等</w:t>
            </w:r>
          </w:p>
        </w:tc>
      </w:tr>
      <w:tr w:rsidR="00984676">
        <w:trPr>
          <w:trHeight w:val="1267"/>
        </w:trPr>
        <w:tc>
          <w:tcPr>
            <w:tcW w:w="1060" w:type="dxa"/>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软件信息</w:t>
            </w:r>
          </w:p>
        </w:tc>
        <w:tc>
          <w:tcPr>
            <w:tcW w:w="2981"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设计计划、设计方案、源代码、应用程序、电子数据、数据算法等</w:t>
            </w:r>
          </w:p>
        </w:tc>
        <w:tc>
          <w:tcPr>
            <w:tcW w:w="1083"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人力资源信息</w:t>
            </w:r>
          </w:p>
        </w:tc>
        <w:tc>
          <w:tcPr>
            <w:tcW w:w="3840"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员工名册、职位、通讯录、工资表、社保公积金清单等</w:t>
            </w:r>
          </w:p>
        </w:tc>
      </w:tr>
      <w:tr w:rsidR="00984676">
        <w:trPr>
          <w:trHeight w:val="1104"/>
        </w:trPr>
        <w:tc>
          <w:tcPr>
            <w:tcW w:w="1060" w:type="dxa"/>
            <w:shd w:val="clear" w:color="auto" w:fill="auto"/>
            <w:tcMar>
              <w:top w:w="10" w:type="dxa"/>
              <w:left w:w="10" w:type="dxa"/>
              <w:bottom w:w="0" w:type="dxa"/>
              <w:right w:w="10" w:type="dxa"/>
            </w:tcMar>
            <w:vAlign w:val="center"/>
          </w:tcPr>
          <w:p w:rsidR="00984676" w:rsidRDefault="00A72DF9">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其他</w:t>
            </w:r>
          </w:p>
        </w:tc>
        <w:tc>
          <w:tcPr>
            <w:tcW w:w="2981"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企业认为有必要采取保密措施的其他技术信息，如未公开的专利申报信息等。</w:t>
            </w:r>
          </w:p>
        </w:tc>
        <w:tc>
          <w:tcPr>
            <w:tcW w:w="1083"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营销信息</w:t>
            </w:r>
          </w:p>
        </w:tc>
        <w:tc>
          <w:tcPr>
            <w:tcW w:w="3840"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营销策划、营销方案、营销政策、营销手册、物流信息、快递信息等</w:t>
            </w:r>
          </w:p>
        </w:tc>
      </w:tr>
      <w:tr w:rsidR="00984676">
        <w:trPr>
          <w:trHeight w:val="684"/>
        </w:trPr>
        <w:tc>
          <w:tcPr>
            <w:tcW w:w="1060" w:type="dxa"/>
            <w:shd w:val="clear" w:color="auto" w:fill="auto"/>
            <w:tcMar>
              <w:top w:w="10" w:type="dxa"/>
              <w:left w:w="10" w:type="dxa"/>
              <w:bottom w:w="0" w:type="dxa"/>
              <w:right w:w="10" w:type="dxa"/>
            </w:tcMar>
            <w:vAlign w:val="center"/>
          </w:tcPr>
          <w:p w:rsidR="00984676" w:rsidRDefault="00984676">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984676" w:rsidRDefault="00984676"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招投标信息</w:t>
            </w:r>
          </w:p>
        </w:tc>
        <w:tc>
          <w:tcPr>
            <w:tcW w:w="3840"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标书、标底等</w:t>
            </w:r>
          </w:p>
        </w:tc>
      </w:tr>
      <w:tr w:rsidR="00984676">
        <w:trPr>
          <w:trHeight w:val="641"/>
        </w:trPr>
        <w:tc>
          <w:tcPr>
            <w:tcW w:w="1060" w:type="dxa"/>
            <w:shd w:val="clear" w:color="auto" w:fill="auto"/>
            <w:tcMar>
              <w:top w:w="10" w:type="dxa"/>
              <w:left w:w="10" w:type="dxa"/>
              <w:bottom w:w="0" w:type="dxa"/>
              <w:right w:w="10" w:type="dxa"/>
            </w:tcMar>
            <w:vAlign w:val="center"/>
          </w:tcPr>
          <w:p w:rsidR="00984676" w:rsidRDefault="00984676">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984676" w:rsidRDefault="00984676"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财务信息</w:t>
            </w:r>
          </w:p>
        </w:tc>
        <w:tc>
          <w:tcPr>
            <w:tcW w:w="3840"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财务报表、财务分析、统计报表、预决算报告、融资报表、审计报告、各类账册、工资信息等</w:t>
            </w:r>
          </w:p>
        </w:tc>
      </w:tr>
      <w:tr w:rsidR="00984676">
        <w:trPr>
          <w:trHeight w:val="641"/>
        </w:trPr>
        <w:tc>
          <w:tcPr>
            <w:tcW w:w="1060" w:type="dxa"/>
            <w:shd w:val="clear" w:color="auto" w:fill="auto"/>
            <w:tcMar>
              <w:top w:w="10" w:type="dxa"/>
              <w:left w:w="10" w:type="dxa"/>
              <w:bottom w:w="0" w:type="dxa"/>
              <w:right w:w="10" w:type="dxa"/>
            </w:tcMar>
            <w:vAlign w:val="center"/>
          </w:tcPr>
          <w:p w:rsidR="00984676" w:rsidRDefault="00984676">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984676" w:rsidRDefault="00984676"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销售信息</w:t>
            </w:r>
          </w:p>
        </w:tc>
        <w:tc>
          <w:tcPr>
            <w:tcW w:w="3840"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销售记录、销售协议等</w:t>
            </w:r>
          </w:p>
        </w:tc>
      </w:tr>
      <w:tr w:rsidR="00984676">
        <w:trPr>
          <w:trHeight w:val="641"/>
        </w:trPr>
        <w:tc>
          <w:tcPr>
            <w:tcW w:w="1060" w:type="dxa"/>
            <w:shd w:val="clear" w:color="auto" w:fill="auto"/>
            <w:tcMar>
              <w:top w:w="10" w:type="dxa"/>
              <w:left w:w="10" w:type="dxa"/>
              <w:bottom w:w="0" w:type="dxa"/>
              <w:right w:w="10" w:type="dxa"/>
            </w:tcMar>
            <w:vAlign w:val="center"/>
          </w:tcPr>
          <w:p w:rsidR="00984676" w:rsidRDefault="00984676">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984676" w:rsidRDefault="00984676"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供应商和客户信息</w:t>
            </w:r>
          </w:p>
        </w:tc>
        <w:tc>
          <w:tcPr>
            <w:tcW w:w="3840" w:type="dxa"/>
            <w:shd w:val="clear" w:color="auto" w:fill="auto"/>
            <w:tcMar>
              <w:top w:w="10"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名称、联系人、联系方式、交易习惯、合同内容、交提货方式、款项结算等</w:t>
            </w:r>
          </w:p>
        </w:tc>
      </w:tr>
      <w:tr w:rsidR="00984676">
        <w:trPr>
          <w:trHeight w:val="641"/>
        </w:trPr>
        <w:tc>
          <w:tcPr>
            <w:tcW w:w="1060" w:type="dxa"/>
            <w:shd w:val="clear" w:color="auto" w:fill="auto"/>
            <w:tcMar>
              <w:top w:w="10" w:type="dxa"/>
              <w:left w:w="10" w:type="dxa"/>
              <w:bottom w:w="0" w:type="dxa"/>
              <w:right w:w="10" w:type="dxa"/>
            </w:tcMar>
            <w:vAlign w:val="center"/>
          </w:tcPr>
          <w:p w:rsidR="00984676" w:rsidRDefault="00984676">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984676" w:rsidRDefault="00984676"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5"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信息服务信息</w:t>
            </w:r>
          </w:p>
        </w:tc>
        <w:tc>
          <w:tcPr>
            <w:tcW w:w="3840" w:type="dxa"/>
            <w:shd w:val="clear" w:color="auto" w:fill="auto"/>
            <w:tcMar>
              <w:top w:w="15"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网络拓扑图、信息安全风险报告、运维日志等</w:t>
            </w:r>
          </w:p>
        </w:tc>
      </w:tr>
      <w:tr w:rsidR="00984676">
        <w:trPr>
          <w:trHeight w:val="641"/>
        </w:trPr>
        <w:tc>
          <w:tcPr>
            <w:tcW w:w="1060" w:type="dxa"/>
            <w:shd w:val="clear" w:color="auto" w:fill="auto"/>
            <w:tcMar>
              <w:top w:w="10" w:type="dxa"/>
              <w:left w:w="10" w:type="dxa"/>
              <w:bottom w:w="0" w:type="dxa"/>
              <w:right w:w="10" w:type="dxa"/>
            </w:tcMar>
            <w:vAlign w:val="center"/>
          </w:tcPr>
          <w:p w:rsidR="00984676" w:rsidRDefault="00984676">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984676" w:rsidRDefault="00984676" w:rsidP="00337995">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5" w:type="dxa"/>
              <w:left w:w="10" w:type="dxa"/>
              <w:bottom w:w="0" w:type="dxa"/>
              <w:right w:w="10" w:type="dxa"/>
            </w:tcMar>
            <w:vAlign w:val="center"/>
          </w:tcPr>
          <w:p w:rsidR="00984676" w:rsidRDefault="00A72DF9" w:rsidP="00337995">
            <w:pPr>
              <w:kinsoku w:val="0"/>
              <w:adjustRightInd w:val="0"/>
              <w:snapToGrid w:val="0"/>
              <w:spacing w:line="0" w:lineRule="atLeast"/>
              <w:ind w:leftChars="-27" w:left="-65"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其他</w:t>
            </w:r>
          </w:p>
        </w:tc>
        <w:tc>
          <w:tcPr>
            <w:tcW w:w="3840" w:type="dxa"/>
            <w:shd w:val="clear" w:color="auto" w:fill="auto"/>
            <w:tcMar>
              <w:top w:w="15" w:type="dxa"/>
              <w:left w:w="10" w:type="dxa"/>
              <w:bottom w:w="0" w:type="dxa"/>
              <w:right w:w="10" w:type="dxa"/>
            </w:tcMar>
            <w:vAlign w:val="center"/>
          </w:tcPr>
          <w:p w:rsidR="00984676" w:rsidRDefault="00A72DF9" w:rsidP="00337995">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企业认为有必要采取保密措施的其他经营信息</w:t>
            </w:r>
          </w:p>
        </w:tc>
      </w:tr>
    </w:tbl>
    <w:p w:rsidR="00984676" w:rsidRDefault="00A72DF9">
      <w:pPr>
        <w:pStyle w:val="2"/>
        <w:keepNext w:val="0"/>
        <w:keepLines w:val="0"/>
        <w:kinsoku w:val="0"/>
        <w:adjustRightInd w:val="0"/>
        <w:snapToGrid w:val="0"/>
        <w:spacing w:line="640" w:lineRule="exact"/>
        <w:contextualSpacing/>
        <w:rPr>
          <w:rFonts w:ascii="方正小标宋简体" w:eastAsia="方正小标宋简体" w:hAnsi="方正小标宋简体" w:cs="方正小标宋简体"/>
          <w:b w:val="0"/>
          <w:sz w:val="44"/>
          <w:szCs w:val="44"/>
        </w:rPr>
      </w:pPr>
      <w:r>
        <w:rPr>
          <w:rFonts w:ascii="黑体" w:hAnsi="黑体" w:hint="eastAsia"/>
          <w:b w:val="0"/>
          <w:bCs/>
          <w:szCs w:val="32"/>
        </w:rPr>
        <w:t>附件</w:t>
      </w:r>
      <w:r>
        <w:rPr>
          <w:rFonts w:ascii="黑体" w:hAnsi="黑体" w:hint="eastAsia"/>
          <w:b w:val="0"/>
          <w:bCs/>
          <w:szCs w:val="32"/>
        </w:rPr>
        <w:t>1</w:t>
      </w:r>
      <w:r>
        <w:rPr>
          <w:rFonts w:ascii="黑体" w:hAnsi="黑体" w:hint="eastAsia"/>
          <w:szCs w:val="32"/>
        </w:rPr>
        <w:t xml:space="preserve">         </w:t>
      </w:r>
      <w:r>
        <w:rPr>
          <w:rFonts w:ascii="方正小标宋简体" w:eastAsia="方正小标宋简体" w:hAnsi="方正小标宋简体" w:cs="方正小标宋简体" w:hint="eastAsia"/>
          <w:b w:val="0"/>
          <w:sz w:val="44"/>
          <w:szCs w:val="44"/>
        </w:rPr>
        <w:t>商业秘密信息参考表</w:t>
      </w:r>
    </w:p>
    <w:p w:rsidR="00984676" w:rsidRDefault="00A72DF9">
      <w:pPr>
        <w:rPr>
          <w:rFonts w:ascii="黑体" w:eastAsia="黑体" w:hAnsi="黑体"/>
          <w:sz w:val="32"/>
          <w:szCs w:val="32"/>
        </w:rPr>
      </w:pPr>
      <w:r>
        <w:rPr>
          <w:rFonts w:ascii="黑体" w:eastAsia="黑体" w:hAnsi="黑体" w:hint="eastAsia"/>
          <w:sz w:val="32"/>
          <w:szCs w:val="32"/>
        </w:rPr>
        <w:lastRenderedPageBreak/>
        <w:t>附件</w:t>
      </w:r>
      <w:r>
        <w:rPr>
          <w:rFonts w:ascii="黑体" w:eastAsia="黑体" w:hAnsi="黑体" w:hint="eastAsia"/>
          <w:sz w:val="32"/>
          <w:szCs w:val="32"/>
        </w:rPr>
        <w:t>2</w:t>
      </w:r>
    </w:p>
    <w:p w:rsidR="00984676" w:rsidRDefault="00984676">
      <w:pPr>
        <w:rPr>
          <w:rFonts w:ascii="仿宋_GB2312" w:eastAsia="仿宋_GB2312"/>
          <w:sz w:val="32"/>
          <w:szCs w:val="32"/>
        </w:rPr>
      </w:pPr>
    </w:p>
    <w:p w:rsidR="00984676" w:rsidRDefault="00A72DF9">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商业秘密分级测评标准</w:t>
      </w:r>
    </w:p>
    <w:p w:rsidR="00984676" w:rsidRDefault="00A72DF9">
      <w:pPr>
        <w:rPr>
          <w:rFonts w:ascii="黑体" w:eastAsia="黑体" w:hAnsi="黑体"/>
          <w:sz w:val="32"/>
          <w:szCs w:val="32"/>
        </w:rPr>
      </w:pPr>
      <w:r>
        <w:rPr>
          <w:rFonts w:ascii="黑体" w:eastAsia="黑体" w:hAnsi="黑体" w:hint="eastAsia"/>
          <w:sz w:val="32"/>
          <w:szCs w:val="32"/>
        </w:rPr>
        <w:t>说明：</w:t>
      </w:r>
    </w:p>
    <w:p w:rsidR="00984676" w:rsidRDefault="00A72DF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）本标准仅适用于对公司商业秘密定密分级，如公司包含有国家秘密的，应根据国家相关保密法规执行定密分级工作。</w:t>
      </w:r>
    </w:p>
    <w:p w:rsidR="00984676" w:rsidRDefault="00A72DF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）公司如在经营活动中，承担对其他合作</w:t>
      </w:r>
      <w:proofErr w:type="gramStart"/>
      <w:r>
        <w:rPr>
          <w:rFonts w:ascii="仿宋_GB2312" w:eastAsia="仿宋_GB2312" w:hint="eastAsia"/>
          <w:sz w:val="32"/>
          <w:szCs w:val="32"/>
        </w:rPr>
        <w:t>方相关</w:t>
      </w:r>
      <w:proofErr w:type="gramEnd"/>
      <w:r>
        <w:rPr>
          <w:rFonts w:ascii="仿宋_GB2312" w:eastAsia="仿宋_GB2312" w:hint="eastAsia"/>
          <w:sz w:val="32"/>
          <w:szCs w:val="32"/>
        </w:rPr>
        <w:t>商业秘密的保密义务，则应视情况确定该商业秘密的保密等级。</w:t>
      </w:r>
    </w:p>
    <w:p w:rsidR="00984676" w:rsidRDefault="00A72DF9">
      <w:pPr>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）业务营销信息中，有关招投标的标书标底信息、产品底价信息以及业务谈判底牌底线信息等等，因为其对公司经营活动影响较大，故此类信息在其未公开前，直接定为“绝密级”。</w:t>
      </w:r>
    </w:p>
    <w:p w:rsidR="00984676" w:rsidRDefault="00984676">
      <w:pPr>
        <w:ind w:firstLineChars="200" w:firstLine="640"/>
        <w:rPr>
          <w:rFonts w:ascii="仿宋_GB2312" w:eastAsia="仿宋_GB2312"/>
          <w:sz w:val="32"/>
          <w:szCs w:val="32"/>
        </w:rPr>
      </w:pPr>
    </w:p>
    <w:p w:rsidR="00984676" w:rsidRDefault="00A72DF9">
      <w:pPr>
        <w:rPr>
          <w:rFonts w:ascii="黑体" w:eastAsia="黑体" w:hAnsi="黑体"/>
          <w:sz w:val="32"/>
          <w:szCs w:val="32"/>
        </w:rPr>
      </w:pPr>
      <w:r>
        <w:rPr>
          <w:rFonts w:ascii="黑体" w:eastAsia="黑体" w:hAnsi="黑体" w:hint="eastAsia"/>
          <w:sz w:val="32"/>
          <w:szCs w:val="32"/>
        </w:rPr>
        <w:t>1.</w:t>
      </w:r>
      <w:r>
        <w:rPr>
          <w:rFonts w:ascii="黑体" w:eastAsia="黑体" w:hAnsi="黑体" w:hint="eastAsia"/>
          <w:sz w:val="32"/>
          <w:szCs w:val="32"/>
        </w:rPr>
        <w:t>技术成果信息（满分</w:t>
      </w:r>
      <w:r>
        <w:rPr>
          <w:rFonts w:ascii="黑体" w:eastAsia="黑体" w:hAnsi="黑体" w:hint="eastAsia"/>
          <w:sz w:val="32"/>
          <w:szCs w:val="32"/>
        </w:rPr>
        <w:t>100</w:t>
      </w:r>
      <w:r>
        <w:rPr>
          <w:rFonts w:ascii="黑体" w:eastAsia="黑体" w:hAnsi="黑体" w:hint="eastAsia"/>
          <w:sz w:val="32"/>
          <w:szCs w:val="32"/>
        </w:rPr>
        <w:t>分）</w:t>
      </w:r>
    </w:p>
    <w:p w:rsidR="00984676" w:rsidRDefault="00A72DF9">
      <w:pPr>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该项技术成果目前在本行业同类成果中具有的竞争优势程度。</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填补技术领域空白（</w:t>
      </w:r>
      <w:r>
        <w:rPr>
          <w:rFonts w:ascii="仿宋_GB2312" w:eastAsia="仿宋_GB2312" w:hint="eastAsia"/>
          <w:sz w:val="32"/>
          <w:szCs w:val="32"/>
        </w:rPr>
        <w:t>30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技术优势很强（</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技术优势较强（</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lastRenderedPageBreak/>
        <w:t>D.</w:t>
      </w:r>
      <w:r>
        <w:rPr>
          <w:rFonts w:ascii="仿宋_GB2312" w:eastAsia="仿宋_GB2312" w:hint="eastAsia"/>
          <w:sz w:val="32"/>
          <w:szCs w:val="32"/>
        </w:rPr>
        <w:t>技术优势一般（</w:t>
      </w:r>
      <w:r>
        <w:rPr>
          <w:rFonts w:ascii="仿宋_GB2312" w:eastAsia="仿宋_GB2312" w:hint="eastAsia"/>
          <w:sz w:val="32"/>
          <w:szCs w:val="32"/>
        </w:rPr>
        <w:t>0</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1-2.</w:t>
      </w:r>
      <w:r>
        <w:rPr>
          <w:rFonts w:ascii="楷体_GB2312" w:eastAsia="楷体_GB2312" w:hint="eastAsia"/>
          <w:sz w:val="32"/>
          <w:szCs w:val="32"/>
        </w:rPr>
        <w:t>该项技术成果在行业中预测能够保持优势的时效性。</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保持</w:t>
      </w:r>
      <w:r>
        <w:rPr>
          <w:rFonts w:ascii="仿宋_GB2312" w:eastAsia="仿宋_GB2312" w:hint="eastAsia"/>
          <w:sz w:val="32"/>
          <w:szCs w:val="32"/>
        </w:rPr>
        <w:t>5</w:t>
      </w:r>
      <w:r>
        <w:rPr>
          <w:rFonts w:ascii="仿宋_GB2312" w:eastAsia="仿宋_GB2312" w:hint="eastAsia"/>
          <w:sz w:val="32"/>
          <w:szCs w:val="32"/>
        </w:rPr>
        <w:t>年以上的优势（</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保持</w:t>
      </w:r>
      <w:r>
        <w:rPr>
          <w:rFonts w:ascii="仿宋_GB2312" w:eastAsia="仿宋_GB2312" w:hint="eastAsia"/>
          <w:sz w:val="32"/>
          <w:szCs w:val="32"/>
        </w:rPr>
        <w:t>2</w:t>
      </w:r>
      <w:r>
        <w:rPr>
          <w:rFonts w:ascii="仿宋_GB2312" w:eastAsia="仿宋_GB2312" w:hint="eastAsia"/>
          <w:sz w:val="32"/>
          <w:szCs w:val="32"/>
        </w:rPr>
        <w:t>年至</w:t>
      </w:r>
      <w:r>
        <w:rPr>
          <w:rFonts w:ascii="仿宋_GB2312" w:eastAsia="仿宋_GB2312" w:hint="eastAsia"/>
          <w:sz w:val="32"/>
          <w:szCs w:val="32"/>
        </w:rPr>
        <w:t>5</w:t>
      </w:r>
      <w:r>
        <w:rPr>
          <w:rFonts w:ascii="仿宋_GB2312" w:eastAsia="仿宋_GB2312" w:hint="eastAsia"/>
          <w:sz w:val="32"/>
          <w:szCs w:val="32"/>
        </w:rPr>
        <w:t>年的优势（</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保</w:t>
      </w:r>
      <w:r>
        <w:rPr>
          <w:rFonts w:ascii="仿宋_GB2312" w:eastAsia="仿宋_GB2312" w:hint="eastAsia"/>
          <w:sz w:val="32"/>
          <w:szCs w:val="32"/>
        </w:rPr>
        <w:t>持</w:t>
      </w:r>
      <w:r>
        <w:rPr>
          <w:rFonts w:ascii="仿宋_GB2312" w:eastAsia="仿宋_GB2312" w:hint="eastAsia"/>
          <w:sz w:val="32"/>
          <w:szCs w:val="32"/>
        </w:rPr>
        <w:t>1</w:t>
      </w:r>
      <w:r>
        <w:rPr>
          <w:rFonts w:ascii="仿宋_GB2312" w:eastAsia="仿宋_GB2312" w:hint="eastAsia"/>
          <w:sz w:val="32"/>
          <w:szCs w:val="32"/>
        </w:rPr>
        <w:t>年至</w:t>
      </w:r>
      <w:r>
        <w:rPr>
          <w:rFonts w:ascii="仿宋_GB2312" w:eastAsia="仿宋_GB2312" w:hint="eastAsia"/>
          <w:sz w:val="32"/>
          <w:szCs w:val="32"/>
        </w:rPr>
        <w:t>2</w:t>
      </w:r>
      <w:r>
        <w:rPr>
          <w:rFonts w:ascii="仿宋_GB2312" w:eastAsia="仿宋_GB2312" w:hint="eastAsia"/>
          <w:sz w:val="32"/>
          <w:szCs w:val="32"/>
        </w:rPr>
        <w:t>年的优势（</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保持不足</w:t>
      </w:r>
      <w:r>
        <w:rPr>
          <w:rFonts w:ascii="仿宋_GB2312" w:eastAsia="仿宋_GB2312" w:hint="eastAsia"/>
          <w:sz w:val="32"/>
          <w:szCs w:val="32"/>
        </w:rPr>
        <w:t>1</w:t>
      </w:r>
      <w:r>
        <w:rPr>
          <w:rFonts w:ascii="仿宋_GB2312" w:eastAsia="仿宋_GB2312" w:hint="eastAsia"/>
          <w:sz w:val="32"/>
          <w:szCs w:val="32"/>
        </w:rPr>
        <w:t>年的优势（</w:t>
      </w:r>
      <w:r>
        <w:rPr>
          <w:rFonts w:ascii="仿宋_GB2312" w:eastAsia="仿宋_GB2312" w:hint="eastAsia"/>
          <w:sz w:val="32"/>
          <w:szCs w:val="32"/>
        </w:rPr>
        <w:t>0</w:t>
      </w:r>
      <w:r>
        <w:rPr>
          <w:rFonts w:ascii="仿宋_GB2312" w:eastAsia="仿宋_GB2312" w:hint="eastAsia"/>
          <w:sz w:val="32"/>
          <w:szCs w:val="32"/>
        </w:rPr>
        <w:t>分）</w:t>
      </w:r>
    </w:p>
    <w:p w:rsidR="00984676" w:rsidRDefault="00A72DF9">
      <w:pPr>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获得该项技术成果的投入成本。</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投入成本巨大（</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投入成本较大（</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投入一定成本（</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投入成本可忽略不计（</w:t>
      </w:r>
      <w:r>
        <w:rPr>
          <w:rFonts w:ascii="仿宋_GB2312" w:eastAsia="仿宋_GB2312" w:hint="eastAsia"/>
          <w:sz w:val="32"/>
          <w:szCs w:val="32"/>
        </w:rPr>
        <w:t>0</w:t>
      </w:r>
      <w:r>
        <w:rPr>
          <w:rFonts w:ascii="仿宋_GB2312" w:eastAsia="仿宋_GB2312" w:hint="eastAsia"/>
          <w:sz w:val="32"/>
          <w:szCs w:val="32"/>
        </w:rPr>
        <w:t>分）</w:t>
      </w:r>
    </w:p>
    <w:p w:rsidR="00984676" w:rsidRDefault="00A72DF9">
      <w:pPr>
        <w:ind w:firstLineChars="200" w:firstLine="640"/>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该项技术成果通过逆向工程是否容易被获取？</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极难获取（</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较难获取（</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花费一定投入后可能被获取（</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容易被获取（</w:t>
      </w:r>
      <w:r>
        <w:rPr>
          <w:rFonts w:ascii="仿宋_GB2312" w:eastAsia="仿宋_GB2312" w:hint="eastAsia"/>
          <w:sz w:val="32"/>
          <w:szCs w:val="32"/>
        </w:rPr>
        <w:t>0</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1-5.</w:t>
      </w:r>
      <w:r>
        <w:rPr>
          <w:rFonts w:ascii="楷体_GB2312" w:eastAsia="楷体_GB2312" w:hint="eastAsia"/>
          <w:sz w:val="32"/>
          <w:szCs w:val="32"/>
        </w:rPr>
        <w:t>该项技术成果对公司业务效益的影响程度。</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非常重要（</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较为重要（</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一定程度影响（</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lastRenderedPageBreak/>
        <w:t>D.</w:t>
      </w:r>
      <w:r>
        <w:rPr>
          <w:rFonts w:ascii="仿宋_GB2312" w:eastAsia="仿宋_GB2312" w:hint="eastAsia"/>
          <w:sz w:val="32"/>
          <w:szCs w:val="32"/>
        </w:rPr>
        <w:t>影响较小（</w:t>
      </w:r>
      <w:r>
        <w:rPr>
          <w:rFonts w:ascii="仿宋_GB2312" w:eastAsia="仿宋_GB2312" w:hint="eastAsia"/>
          <w:sz w:val="32"/>
          <w:szCs w:val="32"/>
        </w:rPr>
        <w:t>0</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将问题</w:t>
      </w:r>
      <w:r>
        <w:rPr>
          <w:rFonts w:ascii="仿宋_GB2312" w:eastAsia="仿宋_GB2312" w:hint="eastAsia"/>
          <w:sz w:val="32"/>
          <w:szCs w:val="32"/>
        </w:rPr>
        <w:t>1-1</w:t>
      </w:r>
      <w:r>
        <w:rPr>
          <w:rFonts w:ascii="仿宋_GB2312" w:eastAsia="仿宋_GB2312" w:hint="eastAsia"/>
          <w:sz w:val="32"/>
          <w:szCs w:val="32"/>
        </w:rPr>
        <w:t>至</w:t>
      </w:r>
      <w:r>
        <w:rPr>
          <w:rFonts w:ascii="仿宋_GB2312" w:eastAsia="仿宋_GB2312" w:hint="eastAsia"/>
          <w:sz w:val="32"/>
          <w:szCs w:val="32"/>
        </w:rPr>
        <w:t>1-5</w:t>
      </w:r>
      <w:r>
        <w:rPr>
          <w:rFonts w:ascii="仿宋_GB2312" w:eastAsia="仿宋_GB2312" w:hint="eastAsia"/>
          <w:sz w:val="32"/>
          <w:szCs w:val="32"/>
        </w:rPr>
        <w:t>的得分数相加获得本项总分值。</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80</w:t>
      </w:r>
      <w:r>
        <w:rPr>
          <w:rFonts w:ascii="仿宋_GB2312" w:eastAsia="仿宋_GB2312" w:hint="eastAsia"/>
          <w:sz w:val="32"/>
          <w:szCs w:val="32"/>
        </w:rPr>
        <w:t>分的，可定为“绝密级”商业秘密；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60</w:t>
      </w:r>
      <w:r>
        <w:rPr>
          <w:rFonts w:ascii="仿宋_GB2312" w:eastAsia="仿宋_GB2312" w:hint="eastAsia"/>
          <w:sz w:val="32"/>
          <w:szCs w:val="32"/>
        </w:rPr>
        <w:t>分的，可定为“机密级”商业秘密；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&lt;60</w:t>
      </w:r>
      <w:r>
        <w:rPr>
          <w:rFonts w:ascii="仿宋_GB2312" w:eastAsia="仿宋_GB2312" w:hint="eastAsia"/>
          <w:sz w:val="32"/>
          <w:szCs w:val="32"/>
        </w:rPr>
        <w:t>分的，可定为“秘密级”商业秘密。</w:t>
      </w:r>
    </w:p>
    <w:p w:rsidR="00984676" w:rsidRDefault="00A72DF9">
      <w:pPr>
        <w:rPr>
          <w:rFonts w:ascii="黑体" w:eastAsia="黑体" w:hAnsi="黑体"/>
          <w:sz w:val="32"/>
          <w:szCs w:val="32"/>
        </w:rPr>
      </w:pPr>
      <w:r>
        <w:rPr>
          <w:rFonts w:ascii="黑体" w:eastAsia="黑体" w:hAnsi="黑体" w:hint="eastAsia"/>
          <w:sz w:val="32"/>
          <w:szCs w:val="32"/>
        </w:rPr>
        <w:t>2.</w:t>
      </w:r>
      <w:r>
        <w:rPr>
          <w:rFonts w:ascii="黑体" w:eastAsia="黑体" w:hAnsi="黑体" w:hint="eastAsia"/>
          <w:sz w:val="32"/>
          <w:szCs w:val="32"/>
        </w:rPr>
        <w:t>技术辅助信息（满分</w:t>
      </w:r>
      <w:r>
        <w:rPr>
          <w:rFonts w:ascii="黑体" w:eastAsia="黑体" w:hAnsi="黑体" w:hint="eastAsia"/>
          <w:sz w:val="32"/>
          <w:szCs w:val="32"/>
        </w:rPr>
        <w:t>100</w:t>
      </w:r>
      <w:r>
        <w:rPr>
          <w:rFonts w:ascii="黑体" w:eastAsia="黑体" w:hAnsi="黑体"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2-1.</w:t>
      </w:r>
      <w:r>
        <w:rPr>
          <w:rFonts w:ascii="楷体_GB2312" w:eastAsia="楷体_GB2312" w:hint="eastAsia"/>
          <w:sz w:val="32"/>
          <w:szCs w:val="32"/>
        </w:rPr>
        <w:t>该项技术辅助信息对技术成果的贡献作用。</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作用很大，他人通过研究该技术信息可非常容易地获取相同或类似的技术成果（系数</w:t>
      </w:r>
      <w:r>
        <w:rPr>
          <w:rFonts w:ascii="仿宋_GB2312" w:eastAsia="仿宋_GB2312" w:hint="eastAsia"/>
          <w:sz w:val="32"/>
          <w:szCs w:val="32"/>
        </w:rPr>
        <w:t>0.6</w:t>
      </w:r>
      <w:r>
        <w:rPr>
          <w:rFonts w:ascii="仿宋_GB2312" w:eastAsia="仿宋_GB2312" w:hint="eastAsia"/>
          <w:sz w:val="32"/>
          <w:szCs w:val="32"/>
        </w:rPr>
        <w:t>）</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有一定作用，他人通过研究该技术信息有可能获取相同或类似的技术成果（系数</w:t>
      </w:r>
      <w:r>
        <w:rPr>
          <w:rFonts w:ascii="仿宋_GB2312" w:eastAsia="仿宋_GB2312" w:hint="eastAsia"/>
          <w:sz w:val="32"/>
          <w:szCs w:val="32"/>
        </w:rPr>
        <w:t>0.4</w:t>
      </w:r>
      <w:r>
        <w:rPr>
          <w:rFonts w:ascii="仿宋_GB2312" w:eastAsia="仿宋_GB2312" w:hint="eastAsia"/>
          <w:sz w:val="32"/>
          <w:szCs w:val="32"/>
        </w:rPr>
        <w:t>）</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作用较</w:t>
      </w:r>
      <w:r>
        <w:rPr>
          <w:rFonts w:ascii="仿宋_GB2312" w:eastAsia="仿宋_GB2312" w:hint="eastAsia"/>
          <w:sz w:val="32"/>
          <w:szCs w:val="32"/>
        </w:rPr>
        <w:t>小，他人通过研究该技术信息较难获取相同或类似的技术成果（系数</w:t>
      </w:r>
      <w:r>
        <w:rPr>
          <w:rFonts w:ascii="仿宋_GB2312" w:eastAsia="仿宋_GB2312" w:hint="eastAsia"/>
          <w:sz w:val="32"/>
          <w:szCs w:val="32"/>
        </w:rPr>
        <w:t>0.2</w:t>
      </w:r>
      <w:r>
        <w:rPr>
          <w:rFonts w:ascii="仿宋_GB2312" w:eastAsia="仿宋_GB2312" w:hint="eastAsia"/>
          <w:sz w:val="32"/>
          <w:szCs w:val="32"/>
        </w:rPr>
        <w:t>）</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2-2.</w:t>
      </w:r>
      <w:r>
        <w:rPr>
          <w:rFonts w:ascii="楷体_GB2312" w:eastAsia="楷体_GB2312" w:hint="eastAsia"/>
          <w:sz w:val="32"/>
          <w:szCs w:val="32"/>
        </w:rPr>
        <w:t>他人通过其他途径获得与该项技术辅助信息相同的信息数据的难易程度。</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他人很难通过其他途径获得相同的信息数据（系数</w:t>
      </w:r>
      <w:r>
        <w:rPr>
          <w:rFonts w:ascii="仿宋_GB2312" w:eastAsia="仿宋_GB2312" w:hint="eastAsia"/>
          <w:sz w:val="32"/>
          <w:szCs w:val="32"/>
        </w:rPr>
        <w:t>0.4</w:t>
      </w:r>
      <w:r>
        <w:rPr>
          <w:rFonts w:ascii="仿宋_GB2312" w:eastAsia="仿宋_GB2312" w:hint="eastAsia"/>
          <w:sz w:val="32"/>
          <w:szCs w:val="32"/>
        </w:rPr>
        <w:t>）</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他人较难通过其他途径获得相同的信息数据（系数</w:t>
      </w:r>
      <w:r>
        <w:rPr>
          <w:rFonts w:ascii="仿宋_GB2312" w:eastAsia="仿宋_GB2312" w:hint="eastAsia"/>
          <w:sz w:val="32"/>
          <w:szCs w:val="32"/>
        </w:rPr>
        <w:t>0.2</w:t>
      </w:r>
      <w:r>
        <w:rPr>
          <w:rFonts w:ascii="仿宋_GB2312" w:eastAsia="仿宋_GB2312" w:hint="eastAsia"/>
          <w:sz w:val="32"/>
          <w:szCs w:val="32"/>
        </w:rPr>
        <w:t>）</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他人花费一定代价，可以通过其他途径获得相同或</w:t>
      </w:r>
      <w:r>
        <w:rPr>
          <w:rFonts w:ascii="仿宋_GB2312" w:eastAsia="仿宋_GB2312" w:hint="eastAsia"/>
          <w:sz w:val="32"/>
          <w:szCs w:val="32"/>
        </w:rPr>
        <w:lastRenderedPageBreak/>
        <w:t>者类似的信息数据（系数</w:t>
      </w:r>
      <w:r>
        <w:rPr>
          <w:rFonts w:ascii="仿宋_GB2312" w:eastAsia="仿宋_GB2312" w:hint="eastAsia"/>
          <w:sz w:val="32"/>
          <w:szCs w:val="32"/>
        </w:rPr>
        <w:t>0.1</w:t>
      </w:r>
      <w:r>
        <w:rPr>
          <w:rFonts w:ascii="仿宋_GB2312" w:eastAsia="仿宋_GB2312" w:hint="eastAsia"/>
          <w:sz w:val="32"/>
          <w:szCs w:val="32"/>
        </w:rPr>
        <w:t>）</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将问题</w:t>
      </w:r>
      <w:r>
        <w:rPr>
          <w:rFonts w:ascii="仿宋_GB2312" w:eastAsia="仿宋_GB2312" w:hint="eastAsia"/>
          <w:sz w:val="32"/>
          <w:szCs w:val="32"/>
        </w:rPr>
        <w:t>2-1</w:t>
      </w:r>
      <w:r>
        <w:rPr>
          <w:rFonts w:ascii="仿宋_GB2312" w:eastAsia="仿宋_GB2312" w:hint="eastAsia"/>
          <w:sz w:val="32"/>
          <w:szCs w:val="32"/>
        </w:rPr>
        <w:t>至</w:t>
      </w:r>
      <w:r>
        <w:rPr>
          <w:rFonts w:ascii="仿宋_GB2312" w:eastAsia="仿宋_GB2312" w:hint="eastAsia"/>
          <w:sz w:val="32"/>
          <w:szCs w:val="32"/>
        </w:rPr>
        <w:t>2-2</w:t>
      </w:r>
      <w:r>
        <w:rPr>
          <w:rFonts w:ascii="仿宋_GB2312" w:eastAsia="仿宋_GB2312" w:hint="eastAsia"/>
          <w:sz w:val="32"/>
          <w:szCs w:val="32"/>
        </w:rPr>
        <w:t>的得分数值相加获得系数和，再将该系数和与该项商业秘密对应的技术成果测评分值相乘，得出本项总分值。</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60</w:t>
      </w:r>
      <w:r>
        <w:rPr>
          <w:rFonts w:ascii="仿宋_GB2312" w:eastAsia="仿宋_GB2312" w:hint="eastAsia"/>
          <w:sz w:val="32"/>
          <w:szCs w:val="32"/>
        </w:rPr>
        <w:t>分的，可定为</w:t>
      </w:r>
      <w:r>
        <w:rPr>
          <w:rFonts w:ascii="仿宋_GB2312" w:eastAsia="仿宋_GB2312" w:hint="eastAsia"/>
          <w:sz w:val="32"/>
          <w:szCs w:val="32"/>
        </w:rPr>
        <w:t>“绝密级”商业秘密；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40</w:t>
      </w:r>
      <w:r>
        <w:rPr>
          <w:rFonts w:ascii="仿宋_GB2312" w:eastAsia="仿宋_GB2312" w:hint="eastAsia"/>
          <w:sz w:val="32"/>
          <w:szCs w:val="32"/>
        </w:rPr>
        <w:t>分的，可定为“机密级”商业秘密；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&lt;40</w:t>
      </w:r>
      <w:r>
        <w:rPr>
          <w:rFonts w:ascii="仿宋_GB2312" w:eastAsia="仿宋_GB2312" w:hint="eastAsia"/>
          <w:sz w:val="32"/>
          <w:szCs w:val="32"/>
        </w:rPr>
        <w:t>分的，可定为“秘密级”商业秘密。</w:t>
      </w:r>
    </w:p>
    <w:p w:rsidR="00984676" w:rsidRDefault="00A72DF9">
      <w:pPr>
        <w:rPr>
          <w:rFonts w:ascii="黑体" w:eastAsia="黑体" w:hAnsi="黑体"/>
          <w:sz w:val="32"/>
          <w:szCs w:val="32"/>
        </w:rPr>
      </w:pPr>
      <w:r>
        <w:rPr>
          <w:rFonts w:ascii="黑体" w:eastAsia="黑体" w:hAnsi="黑体" w:hint="eastAsia"/>
          <w:sz w:val="32"/>
          <w:szCs w:val="32"/>
        </w:rPr>
        <w:t>3.</w:t>
      </w:r>
      <w:r>
        <w:rPr>
          <w:rFonts w:ascii="黑体" w:eastAsia="黑体" w:hAnsi="黑体" w:hint="eastAsia"/>
          <w:sz w:val="32"/>
          <w:szCs w:val="32"/>
        </w:rPr>
        <w:t>技术评估预测信息（满分</w:t>
      </w:r>
      <w:r>
        <w:rPr>
          <w:rFonts w:ascii="黑体" w:eastAsia="黑体" w:hAnsi="黑体" w:hint="eastAsia"/>
          <w:sz w:val="32"/>
          <w:szCs w:val="32"/>
        </w:rPr>
        <w:t>100</w:t>
      </w:r>
      <w:r>
        <w:rPr>
          <w:rFonts w:ascii="黑体" w:eastAsia="黑体" w:hAnsi="黑体"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3-1.</w:t>
      </w:r>
      <w:r>
        <w:rPr>
          <w:rFonts w:ascii="楷体_GB2312" w:eastAsia="楷体_GB2312" w:hint="eastAsia"/>
          <w:sz w:val="32"/>
          <w:szCs w:val="32"/>
        </w:rPr>
        <w:t>本企业获取该技术评估预测信息的成本投入。</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获取该信息非常困难，需要花费很大代价（</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获取该信息具有一定难度，需要花费一定代价（</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可十分容易地获取该信息，几乎不花费代价（</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3-2.</w:t>
      </w:r>
      <w:r>
        <w:rPr>
          <w:rFonts w:ascii="楷体_GB2312" w:eastAsia="楷体_GB2312" w:hint="eastAsia"/>
          <w:sz w:val="32"/>
          <w:szCs w:val="32"/>
        </w:rPr>
        <w:t>该技术评估预测信息的权威性。</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该信息在业内具有很高的权威性（</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该信息在业内具有较高的权威性（</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该信息在业内具有一定的权威性（</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3-3.</w:t>
      </w:r>
      <w:r>
        <w:rPr>
          <w:rFonts w:ascii="楷体_GB2312" w:eastAsia="楷体_GB2312" w:hint="eastAsia"/>
          <w:sz w:val="32"/>
          <w:szCs w:val="32"/>
        </w:rPr>
        <w:t>该技术评估预测信息的内幕性。</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该信息在业内具有很强的内幕性（</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该信息在业内具有较强的内幕性（</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lastRenderedPageBreak/>
        <w:t>C.</w:t>
      </w:r>
      <w:r>
        <w:rPr>
          <w:rFonts w:ascii="仿宋_GB2312" w:eastAsia="仿宋_GB2312" w:hint="eastAsia"/>
          <w:sz w:val="32"/>
          <w:szCs w:val="32"/>
        </w:rPr>
        <w:t>该信息在业内具有一定的内幕性（</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该技术评估预测信息的</w:t>
      </w:r>
      <w:r>
        <w:rPr>
          <w:rFonts w:ascii="楷体_GB2312" w:eastAsia="楷体_GB2312" w:hint="eastAsia"/>
          <w:sz w:val="32"/>
          <w:szCs w:val="32"/>
        </w:rPr>
        <w:t>时效性。</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该信息在业内具有很强的时效性（</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该信息在业内具有较强的时效性（</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该信息在业内具有一定的时效性（</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3-5.</w:t>
      </w:r>
      <w:r>
        <w:rPr>
          <w:rFonts w:ascii="楷体_GB2312" w:eastAsia="楷体_GB2312" w:hint="eastAsia"/>
          <w:sz w:val="32"/>
          <w:szCs w:val="32"/>
        </w:rPr>
        <w:t>他人从其他渠道获取该技术评估预测信息的难易程度。</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获取该信息非常困难，需要花费很大代价（</w:t>
      </w:r>
      <w:r>
        <w:rPr>
          <w:rFonts w:ascii="仿宋_GB2312" w:eastAsia="仿宋_GB2312" w:hint="eastAsia"/>
          <w:sz w:val="32"/>
          <w:szCs w:val="32"/>
        </w:rPr>
        <w:t>30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获取该信息具有较大难度，需要花费较大代价（</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获取该信息具有一定难度，需要花费一定代价（</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将问题</w:t>
      </w:r>
      <w:r>
        <w:rPr>
          <w:rFonts w:ascii="仿宋_GB2312" w:eastAsia="仿宋_GB2312" w:hint="eastAsia"/>
          <w:sz w:val="32"/>
          <w:szCs w:val="32"/>
        </w:rPr>
        <w:t>3-1</w:t>
      </w:r>
      <w:r>
        <w:rPr>
          <w:rFonts w:ascii="仿宋_GB2312" w:eastAsia="仿宋_GB2312" w:hint="eastAsia"/>
          <w:sz w:val="32"/>
          <w:szCs w:val="32"/>
        </w:rPr>
        <w:t>至</w:t>
      </w:r>
      <w:r>
        <w:rPr>
          <w:rFonts w:ascii="仿宋_GB2312" w:eastAsia="仿宋_GB2312" w:hint="eastAsia"/>
          <w:sz w:val="32"/>
          <w:szCs w:val="32"/>
        </w:rPr>
        <w:t>3-5</w:t>
      </w:r>
      <w:r>
        <w:rPr>
          <w:rFonts w:ascii="仿宋_GB2312" w:eastAsia="仿宋_GB2312" w:hint="eastAsia"/>
          <w:sz w:val="32"/>
          <w:szCs w:val="32"/>
        </w:rPr>
        <w:t>的得分数相加获得本项总分值。</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80</w:t>
      </w:r>
      <w:r>
        <w:rPr>
          <w:rFonts w:ascii="仿宋_GB2312" w:eastAsia="仿宋_GB2312" w:hint="eastAsia"/>
          <w:sz w:val="32"/>
          <w:szCs w:val="32"/>
        </w:rPr>
        <w:t>分的，可定为“绝密级”商业秘密；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60</w:t>
      </w:r>
      <w:r>
        <w:rPr>
          <w:rFonts w:ascii="仿宋_GB2312" w:eastAsia="仿宋_GB2312" w:hint="eastAsia"/>
          <w:sz w:val="32"/>
          <w:szCs w:val="32"/>
        </w:rPr>
        <w:t>分的，可定为“机密级”商业秘密；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&lt;60</w:t>
      </w:r>
      <w:r>
        <w:rPr>
          <w:rFonts w:ascii="仿宋_GB2312" w:eastAsia="仿宋_GB2312" w:hint="eastAsia"/>
          <w:sz w:val="32"/>
          <w:szCs w:val="32"/>
        </w:rPr>
        <w:t>分的，可定为“秘密级”商业秘密。</w:t>
      </w:r>
    </w:p>
    <w:p w:rsidR="00984676" w:rsidRDefault="00A72DF9">
      <w:pPr>
        <w:rPr>
          <w:rFonts w:ascii="黑体" w:eastAsia="黑体" w:hAnsi="黑体"/>
          <w:sz w:val="32"/>
          <w:szCs w:val="32"/>
        </w:rPr>
      </w:pPr>
      <w:r>
        <w:rPr>
          <w:rFonts w:ascii="黑体" w:eastAsia="黑体" w:hAnsi="黑体" w:hint="eastAsia"/>
          <w:sz w:val="32"/>
          <w:szCs w:val="32"/>
        </w:rPr>
        <w:t>4.</w:t>
      </w:r>
      <w:r>
        <w:rPr>
          <w:rFonts w:ascii="黑体" w:eastAsia="黑体" w:hAnsi="黑体" w:hint="eastAsia"/>
          <w:sz w:val="32"/>
          <w:szCs w:val="32"/>
        </w:rPr>
        <w:t>业务营销信息（满分</w:t>
      </w:r>
      <w:r>
        <w:rPr>
          <w:rFonts w:ascii="黑体" w:eastAsia="黑体" w:hAnsi="黑体" w:hint="eastAsia"/>
          <w:sz w:val="32"/>
          <w:szCs w:val="32"/>
        </w:rPr>
        <w:t>100</w:t>
      </w:r>
      <w:r>
        <w:rPr>
          <w:rFonts w:ascii="黑体" w:eastAsia="黑体" w:hAnsi="黑体"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4-1.</w:t>
      </w:r>
      <w:r>
        <w:rPr>
          <w:rFonts w:ascii="楷体_GB2312" w:eastAsia="楷体_GB2312" w:hint="eastAsia"/>
          <w:sz w:val="32"/>
          <w:szCs w:val="32"/>
        </w:rPr>
        <w:t>该信息对企业获取经营效益发挥作用的重要程度。</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发挥了关键作用（</w:t>
      </w:r>
      <w:r>
        <w:rPr>
          <w:rFonts w:ascii="仿宋_GB2312" w:eastAsia="仿宋_GB2312" w:hint="eastAsia"/>
          <w:sz w:val="32"/>
          <w:szCs w:val="32"/>
        </w:rPr>
        <w:t>30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发挥了重要作用（</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lastRenderedPageBreak/>
        <w:t>C.</w:t>
      </w:r>
      <w:r>
        <w:rPr>
          <w:rFonts w:ascii="仿宋_GB2312" w:eastAsia="仿宋_GB2312" w:hint="eastAsia"/>
          <w:sz w:val="32"/>
          <w:szCs w:val="32"/>
        </w:rPr>
        <w:t>发挥了一定作用（</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4-2.</w:t>
      </w:r>
      <w:r>
        <w:rPr>
          <w:rFonts w:ascii="楷体_GB2312" w:eastAsia="楷体_GB2312" w:hint="eastAsia"/>
          <w:sz w:val="32"/>
          <w:szCs w:val="32"/>
        </w:rPr>
        <w:t>他人从其他渠道获取该信息的难易程度。</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获取该信息非常困难，需要花费很大代价（</w:t>
      </w:r>
      <w:r>
        <w:rPr>
          <w:rFonts w:ascii="仿宋_GB2312" w:eastAsia="仿宋_GB2312" w:hint="eastAsia"/>
          <w:sz w:val="32"/>
          <w:szCs w:val="32"/>
        </w:rPr>
        <w:t>30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获取该信息具有较大难度，需要花费较大代价（</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获取该信息具有一定难度，需要花费一定代价（</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4-3</w:t>
      </w:r>
      <w:r>
        <w:rPr>
          <w:rFonts w:ascii="楷体_GB2312" w:eastAsia="楷体_GB2312" w:hint="eastAsia"/>
          <w:sz w:val="32"/>
          <w:szCs w:val="32"/>
        </w:rPr>
        <w:t>该信息如被竞争对手获取，对企业业务所产生的影响。</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该信息如被竞争对手获取，将使我方业务中断、停止（</w:t>
      </w:r>
      <w:r>
        <w:rPr>
          <w:rFonts w:ascii="仿宋_GB2312" w:eastAsia="仿宋_GB2312" w:hint="eastAsia"/>
          <w:sz w:val="32"/>
          <w:szCs w:val="32"/>
        </w:rPr>
        <w:t>40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该信息如被竞争对手获取，将对我方业务造成严重影响（</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该信息如被竞争对手获取，将对我方业务造成一定影响（</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将问题</w:t>
      </w:r>
      <w:r>
        <w:rPr>
          <w:rFonts w:ascii="仿宋_GB2312" w:eastAsia="仿宋_GB2312" w:hint="eastAsia"/>
          <w:sz w:val="32"/>
          <w:szCs w:val="32"/>
        </w:rPr>
        <w:t>4-1</w:t>
      </w:r>
      <w:r>
        <w:rPr>
          <w:rFonts w:ascii="仿宋_GB2312" w:eastAsia="仿宋_GB2312" w:hint="eastAsia"/>
          <w:sz w:val="32"/>
          <w:szCs w:val="32"/>
        </w:rPr>
        <w:t>至</w:t>
      </w:r>
      <w:r>
        <w:rPr>
          <w:rFonts w:ascii="仿宋_GB2312" w:eastAsia="仿宋_GB2312" w:hint="eastAsia"/>
          <w:sz w:val="32"/>
          <w:szCs w:val="32"/>
        </w:rPr>
        <w:t>4-3</w:t>
      </w:r>
      <w:r>
        <w:rPr>
          <w:rFonts w:ascii="仿宋_GB2312" w:eastAsia="仿宋_GB2312" w:hint="eastAsia"/>
          <w:sz w:val="32"/>
          <w:szCs w:val="32"/>
        </w:rPr>
        <w:t>的得分数相加</w:t>
      </w:r>
      <w:r>
        <w:rPr>
          <w:rFonts w:ascii="仿宋_GB2312" w:eastAsia="仿宋_GB2312" w:hint="eastAsia"/>
          <w:sz w:val="32"/>
          <w:szCs w:val="32"/>
        </w:rPr>
        <w:t>获得本项总分值。</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60</w:t>
      </w:r>
      <w:r>
        <w:rPr>
          <w:rFonts w:ascii="仿宋_GB2312" w:eastAsia="仿宋_GB2312" w:hint="eastAsia"/>
          <w:sz w:val="32"/>
          <w:szCs w:val="32"/>
        </w:rPr>
        <w:t>分的，可定为“绝密级”商业秘密；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40</w:t>
      </w:r>
      <w:r>
        <w:rPr>
          <w:rFonts w:ascii="仿宋_GB2312" w:eastAsia="仿宋_GB2312" w:hint="eastAsia"/>
          <w:sz w:val="32"/>
          <w:szCs w:val="32"/>
        </w:rPr>
        <w:t>分的，可定为“机密级”商业秘密；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&lt;40</w:t>
      </w:r>
      <w:r>
        <w:rPr>
          <w:rFonts w:ascii="仿宋_GB2312" w:eastAsia="仿宋_GB2312" w:hint="eastAsia"/>
          <w:sz w:val="32"/>
          <w:szCs w:val="32"/>
        </w:rPr>
        <w:t>分的，可定为“秘密级”商业秘密。</w:t>
      </w:r>
    </w:p>
    <w:p w:rsidR="00984676" w:rsidRDefault="00A72DF9">
      <w:pPr>
        <w:rPr>
          <w:rFonts w:ascii="黑体" w:eastAsia="黑体" w:hAnsi="黑体"/>
          <w:sz w:val="32"/>
          <w:szCs w:val="32"/>
        </w:rPr>
      </w:pPr>
      <w:r>
        <w:rPr>
          <w:rFonts w:ascii="黑体" w:eastAsia="黑体" w:hAnsi="黑体" w:hint="eastAsia"/>
          <w:sz w:val="32"/>
          <w:szCs w:val="32"/>
        </w:rPr>
        <w:t>5.</w:t>
      </w:r>
      <w:r>
        <w:rPr>
          <w:rFonts w:ascii="黑体" w:eastAsia="黑体" w:hAnsi="黑体" w:hint="eastAsia"/>
          <w:sz w:val="32"/>
          <w:szCs w:val="32"/>
        </w:rPr>
        <w:t>经营策划信息（满分</w:t>
      </w:r>
      <w:r>
        <w:rPr>
          <w:rFonts w:ascii="黑体" w:eastAsia="黑体" w:hAnsi="黑体" w:hint="eastAsia"/>
          <w:sz w:val="32"/>
          <w:szCs w:val="32"/>
        </w:rPr>
        <w:t>100</w:t>
      </w:r>
      <w:r>
        <w:rPr>
          <w:rFonts w:ascii="黑体" w:eastAsia="黑体" w:hAnsi="黑体"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lastRenderedPageBreak/>
        <w:t>5-1.</w:t>
      </w:r>
      <w:r>
        <w:rPr>
          <w:rFonts w:ascii="楷体_GB2312" w:eastAsia="楷体_GB2312" w:hint="eastAsia"/>
          <w:sz w:val="32"/>
          <w:szCs w:val="32"/>
        </w:rPr>
        <w:t>本企业获取该经营策划信息的成本投入。</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获取该信息非常困难，需要花费很大代价（</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获取该信息具有较大难度，需要花费较大代价（</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获取该信息有一定难度，需要花费一定代价（</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5-2.</w:t>
      </w:r>
      <w:r>
        <w:rPr>
          <w:rFonts w:ascii="楷体_GB2312" w:eastAsia="楷体_GB2312" w:hint="eastAsia"/>
          <w:sz w:val="32"/>
          <w:szCs w:val="32"/>
        </w:rPr>
        <w:t>该经营策划信息的创新性。</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该信息在同领域具有很强的创新性（</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该信息在同领域具有较强的创新性（</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该信息在同领域具有一定的创新性（</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5-3.</w:t>
      </w:r>
      <w:r>
        <w:rPr>
          <w:rFonts w:ascii="楷体_GB2312" w:eastAsia="楷体_GB2312" w:hint="eastAsia"/>
          <w:sz w:val="32"/>
          <w:szCs w:val="32"/>
        </w:rPr>
        <w:t>该经营策划信息的实用价值。</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具有很强的实用价值（</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具有较强的实用价值（</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具有一定的实用价值（</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5-4.</w:t>
      </w:r>
      <w:r>
        <w:rPr>
          <w:rFonts w:ascii="楷体_GB2312" w:eastAsia="楷体_GB2312" w:hint="eastAsia"/>
          <w:sz w:val="32"/>
          <w:szCs w:val="32"/>
        </w:rPr>
        <w:t>该经营策划信息的可复制性。</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该信息在业内具有很强的可复制性，竞争对手获取后十分容易实施（</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该信息在业内具有一定的可复制性，竞争对手获取后花费一定代价可实施（</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该信息在业内的可复制性不强，但竞争对手获取后仍可对部分内容实施（</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 xml:space="preserve">5-5 </w:t>
      </w:r>
      <w:r>
        <w:rPr>
          <w:rFonts w:ascii="楷体_GB2312" w:eastAsia="楷体_GB2312" w:hint="eastAsia"/>
          <w:sz w:val="32"/>
          <w:szCs w:val="32"/>
        </w:rPr>
        <w:t>该经营策划信息被竞争对手获取后，对本企业经营</w:t>
      </w:r>
      <w:r>
        <w:rPr>
          <w:rFonts w:ascii="楷体_GB2312" w:eastAsia="楷体_GB2312" w:hint="eastAsia"/>
          <w:sz w:val="32"/>
          <w:szCs w:val="32"/>
        </w:rPr>
        <w:lastRenderedPageBreak/>
        <w:t>造成的影响</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该经营策划信息被竞争对手获取后，将对本企业经营造成特别严重的影响（</w:t>
      </w:r>
      <w:r>
        <w:rPr>
          <w:rFonts w:ascii="仿宋_GB2312" w:eastAsia="仿宋_GB2312" w:hint="eastAsia"/>
          <w:sz w:val="32"/>
          <w:szCs w:val="32"/>
        </w:rPr>
        <w:t>30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该经营策划信息被竞争对手获取后，将对本企业经营造成较大影响（</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该经营策划信息被竞争对手获取后，将对本企业经营造成一定影响（</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将问题</w:t>
      </w:r>
      <w:r>
        <w:rPr>
          <w:rFonts w:ascii="仿宋_GB2312" w:eastAsia="仿宋_GB2312" w:hint="eastAsia"/>
          <w:sz w:val="32"/>
          <w:szCs w:val="32"/>
        </w:rPr>
        <w:t>5-1</w:t>
      </w:r>
      <w:r>
        <w:rPr>
          <w:rFonts w:ascii="仿宋_GB2312" w:eastAsia="仿宋_GB2312" w:hint="eastAsia"/>
          <w:sz w:val="32"/>
          <w:szCs w:val="32"/>
        </w:rPr>
        <w:t>至</w:t>
      </w:r>
      <w:r>
        <w:rPr>
          <w:rFonts w:ascii="仿宋_GB2312" w:eastAsia="仿宋_GB2312" w:hint="eastAsia"/>
          <w:sz w:val="32"/>
          <w:szCs w:val="32"/>
        </w:rPr>
        <w:t>5-5</w:t>
      </w:r>
      <w:r>
        <w:rPr>
          <w:rFonts w:ascii="仿宋_GB2312" w:eastAsia="仿宋_GB2312" w:hint="eastAsia"/>
          <w:sz w:val="32"/>
          <w:szCs w:val="32"/>
        </w:rPr>
        <w:t>的得分数相加获得本项总分值。</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80</w:t>
      </w:r>
      <w:r>
        <w:rPr>
          <w:rFonts w:ascii="仿宋_GB2312" w:eastAsia="仿宋_GB2312" w:hint="eastAsia"/>
          <w:sz w:val="32"/>
          <w:szCs w:val="32"/>
        </w:rPr>
        <w:t>分的，可定为“绝密级”商业秘密；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50</w:t>
      </w:r>
      <w:r>
        <w:rPr>
          <w:rFonts w:ascii="仿宋_GB2312" w:eastAsia="仿宋_GB2312" w:hint="eastAsia"/>
          <w:sz w:val="32"/>
          <w:szCs w:val="32"/>
        </w:rPr>
        <w:t>分的，可定为“机密级”商业秘密；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&lt;50</w:t>
      </w:r>
      <w:r>
        <w:rPr>
          <w:rFonts w:ascii="仿宋_GB2312" w:eastAsia="仿宋_GB2312" w:hint="eastAsia"/>
          <w:sz w:val="32"/>
          <w:szCs w:val="32"/>
        </w:rPr>
        <w:t>分的，可定为“秘密级”商业秘密。</w:t>
      </w:r>
    </w:p>
    <w:p w:rsidR="00984676" w:rsidRDefault="00A72DF9">
      <w:pPr>
        <w:rPr>
          <w:rFonts w:ascii="黑体" w:eastAsia="黑体" w:hAnsi="黑体"/>
          <w:sz w:val="32"/>
          <w:szCs w:val="32"/>
        </w:rPr>
      </w:pPr>
      <w:r>
        <w:rPr>
          <w:rFonts w:ascii="黑体" w:eastAsia="黑体" w:hAnsi="黑体" w:hint="eastAsia"/>
          <w:sz w:val="32"/>
          <w:szCs w:val="32"/>
        </w:rPr>
        <w:t>6</w:t>
      </w:r>
      <w:r>
        <w:rPr>
          <w:rFonts w:ascii="黑体" w:eastAsia="黑体" w:hAnsi="黑体" w:hint="eastAsia"/>
          <w:sz w:val="32"/>
          <w:szCs w:val="32"/>
        </w:rPr>
        <w:t>.</w:t>
      </w:r>
      <w:r>
        <w:rPr>
          <w:rFonts w:ascii="黑体" w:eastAsia="黑体" w:hAnsi="黑体" w:hint="eastAsia"/>
          <w:sz w:val="32"/>
          <w:szCs w:val="32"/>
        </w:rPr>
        <w:t>经营参考信息（满分</w:t>
      </w:r>
      <w:r>
        <w:rPr>
          <w:rFonts w:ascii="黑体" w:eastAsia="黑体" w:hAnsi="黑体" w:hint="eastAsia"/>
          <w:sz w:val="32"/>
          <w:szCs w:val="32"/>
        </w:rPr>
        <w:t>100</w:t>
      </w:r>
      <w:r>
        <w:rPr>
          <w:rFonts w:ascii="黑体" w:eastAsia="黑体" w:hAnsi="黑体"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6-1.</w:t>
      </w:r>
      <w:r>
        <w:rPr>
          <w:rFonts w:ascii="楷体_GB2312" w:eastAsia="楷体_GB2312" w:hint="eastAsia"/>
          <w:sz w:val="32"/>
          <w:szCs w:val="32"/>
        </w:rPr>
        <w:t>本企业获取该经营参考信息的成本投入。</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获取该信息非常困难，需要花费很大代价（</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获取该信息具有较大难度，需要花费较大代价（</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获取该信息具有一定难度，需要花费一定代价（</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6-2.</w:t>
      </w:r>
      <w:r>
        <w:rPr>
          <w:rFonts w:ascii="楷体_GB2312" w:eastAsia="楷体_GB2312" w:hint="eastAsia"/>
          <w:sz w:val="32"/>
          <w:szCs w:val="32"/>
        </w:rPr>
        <w:t>该经营参考信息的实用价值。</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该信息在业内具有很高的实用价值（</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lastRenderedPageBreak/>
        <w:t>B.</w:t>
      </w:r>
      <w:r>
        <w:rPr>
          <w:rFonts w:ascii="仿宋_GB2312" w:eastAsia="仿宋_GB2312" w:hint="eastAsia"/>
          <w:sz w:val="32"/>
          <w:szCs w:val="32"/>
        </w:rPr>
        <w:t>该信息在业内具有较高的实用价值（</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该信息在业内具有一定的实用价值（</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6-3.</w:t>
      </w:r>
      <w:r>
        <w:rPr>
          <w:rFonts w:ascii="楷体_GB2312" w:eastAsia="楷体_GB2312" w:hint="eastAsia"/>
          <w:sz w:val="32"/>
          <w:szCs w:val="32"/>
        </w:rPr>
        <w:t>该经营参考信息的内幕性。</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该信息在业内具有很强的内幕性（</w:t>
      </w:r>
      <w:r>
        <w:rPr>
          <w:rFonts w:ascii="仿宋_GB2312" w:eastAsia="仿宋_GB2312" w:hint="eastAsia"/>
          <w:sz w:val="32"/>
          <w:szCs w:val="32"/>
        </w:rPr>
        <w:t>30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该信息在业内具有较</w:t>
      </w:r>
      <w:r>
        <w:rPr>
          <w:rFonts w:ascii="仿宋_GB2312" w:eastAsia="仿宋_GB2312" w:hint="eastAsia"/>
          <w:sz w:val="32"/>
          <w:szCs w:val="32"/>
        </w:rPr>
        <w:t>强的内幕性（</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该信息在业内具有一定的内幕性（</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6-4.</w:t>
      </w:r>
      <w:r>
        <w:rPr>
          <w:rFonts w:ascii="楷体_GB2312" w:eastAsia="楷体_GB2312" w:hint="eastAsia"/>
          <w:sz w:val="32"/>
          <w:szCs w:val="32"/>
        </w:rPr>
        <w:t>该技术评估预测信息的时效性。</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该信息在业内具有很强的时效性（</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该信息在业内具有较强的时效性（</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该信息在业内具有一定的时效性（</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6-5</w:t>
      </w:r>
      <w:r>
        <w:rPr>
          <w:rFonts w:ascii="楷体_GB2312" w:eastAsia="楷体_GB2312" w:hint="eastAsia"/>
          <w:sz w:val="32"/>
          <w:szCs w:val="32"/>
        </w:rPr>
        <w:t>他人从其他渠道获取该技术评估信息的难易程度。</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获取该信息非常困难，需要花费很大代价（</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获取该信息具有较大难度，需要花费较大代价（</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获取该信息具有一定难度，需要花费一定代价（</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将问题</w:t>
      </w:r>
      <w:r>
        <w:rPr>
          <w:rFonts w:ascii="仿宋_GB2312" w:eastAsia="仿宋_GB2312" w:hint="eastAsia"/>
          <w:sz w:val="32"/>
          <w:szCs w:val="32"/>
        </w:rPr>
        <w:t>6-1</w:t>
      </w:r>
      <w:r>
        <w:rPr>
          <w:rFonts w:ascii="仿宋_GB2312" w:eastAsia="仿宋_GB2312" w:hint="eastAsia"/>
          <w:sz w:val="32"/>
          <w:szCs w:val="32"/>
        </w:rPr>
        <w:t>至</w:t>
      </w:r>
      <w:r>
        <w:rPr>
          <w:rFonts w:ascii="仿宋_GB2312" w:eastAsia="仿宋_GB2312" w:hint="eastAsia"/>
          <w:sz w:val="32"/>
          <w:szCs w:val="32"/>
        </w:rPr>
        <w:t>6-5</w:t>
      </w:r>
      <w:r>
        <w:rPr>
          <w:rFonts w:ascii="仿宋_GB2312" w:eastAsia="仿宋_GB2312" w:hint="eastAsia"/>
          <w:sz w:val="32"/>
          <w:szCs w:val="32"/>
        </w:rPr>
        <w:t>的得分数相加获得本项总分值。</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80</w:t>
      </w:r>
      <w:r>
        <w:rPr>
          <w:rFonts w:ascii="仿宋_GB2312" w:eastAsia="仿宋_GB2312" w:hint="eastAsia"/>
          <w:sz w:val="32"/>
          <w:szCs w:val="32"/>
        </w:rPr>
        <w:t>分的，可定为“绝密级”商业秘密；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60</w:t>
      </w:r>
      <w:r>
        <w:rPr>
          <w:rFonts w:ascii="仿宋_GB2312" w:eastAsia="仿宋_GB2312" w:hint="eastAsia"/>
          <w:sz w:val="32"/>
          <w:szCs w:val="32"/>
        </w:rPr>
        <w:t>分的，可定为“机密级”商业秘密；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&lt;60</w:t>
      </w:r>
      <w:r>
        <w:rPr>
          <w:rFonts w:ascii="仿宋_GB2312" w:eastAsia="仿宋_GB2312" w:hint="eastAsia"/>
          <w:sz w:val="32"/>
          <w:szCs w:val="32"/>
        </w:rPr>
        <w:t>分的，可定为“秘密级”商业秘密。</w:t>
      </w:r>
    </w:p>
    <w:p w:rsidR="00984676" w:rsidRDefault="00A72DF9">
      <w:pPr>
        <w:rPr>
          <w:rFonts w:ascii="黑体" w:eastAsia="黑体" w:hAnsi="黑体"/>
          <w:sz w:val="32"/>
          <w:szCs w:val="32"/>
        </w:rPr>
      </w:pPr>
      <w:r>
        <w:rPr>
          <w:rFonts w:ascii="黑体" w:eastAsia="黑体" w:hAnsi="黑体" w:hint="eastAsia"/>
          <w:sz w:val="32"/>
          <w:szCs w:val="32"/>
        </w:rPr>
        <w:lastRenderedPageBreak/>
        <w:t>7.</w:t>
      </w:r>
      <w:r>
        <w:rPr>
          <w:rFonts w:ascii="黑体" w:eastAsia="黑体" w:hAnsi="黑体" w:hint="eastAsia"/>
          <w:sz w:val="32"/>
          <w:szCs w:val="32"/>
        </w:rPr>
        <w:t>运营与管理信息（满分</w:t>
      </w:r>
      <w:r>
        <w:rPr>
          <w:rFonts w:ascii="黑体" w:eastAsia="黑体" w:hAnsi="黑体" w:hint="eastAsia"/>
          <w:sz w:val="32"/>
          <w:szCs w:val="32"/>
        </w:rPr>
        <w:t>100</w:t>
      </w:r>
      <w:r>
        <w:rPr>
          <w:rFonts w:ascii="黑体" w:eastAsia="黑体" w:hAnsi="黑体"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7-1.</w:t>
      </w:r>
      <w:r>
        <w:rPr>
          <w:rFonts w:ascii="楷体_GB2312" w:eastAsia="楷体_GB2312" w:hint="eastAsia"/>
          <w:sz w:val="32"/>
          <w:szCs w:val="32"/>
        </w:rPr>
        <w:t>该信息对企业获取经营效益发挥作用的重要程度。</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发挥了关键作用（</w:t>
      </w:r>
      <w:r>
        <w:rPr>
          <w:rFonts w:ascii="仿宋_GB2312" w:eastAsia="仿宋_GB2312" w:hint="eastAsia"/>
          <w:sz w:val="32"/>
          <w:szCs w:val="32"/>
        </w:rPr>
        <w:t>30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发挥了重要作用（</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发挥了一定作用（</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7-2.</w:t>
      </w:r>
      <w:r>
        <w:rPr>
          <w:rFonts w:ascii="楷体_GB2312" w:eastAsia="楷体_GB2312" w:hint="eastAsia"/>
          <w:sz w:val="32"/>
          <w:szCs w:val="32"/>
        </w:rPr>
        <w:t>他人从其他渠道获取该信息的难易程度。</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获取该信息非常困难，需要花费很大代价（</w:t>
      </w:r>
      <w:r>
        <w:rPr>
          <w:rFonts w:ascii="仿宋_GB2312" w:eastAsia="仿宋_GB2312" w:hint="eastAsia"/>
          <w:sz w:val="32"/>
          <w:szCs w:val="32"/>
        </w:rPr>
        <w:t>30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获取该信息具有较大难度，需要花费</w:t>
      </w:r>
      <w:r>
        <w:rPr>
          <w:rFonts w:ascii="仿宋_GB2312" w:eastAsia="仿宋_GB2312" w:hint="eastAsia"/>
          <w:sz w:val="32"/>
          <w:szCs w:val="32"/>
        </w:rPr>
        <w:t>较大代价（</w:t>
      </w:r>
      <w:r>
        <w:rPr>
          <w:rFonts w:ascii="仿宋_GB2312" w:eastAsia="仿宋_GB2312" w:hint="eastAsia"/>
          <w:sz w:val="32"/>
          <w:szCs w:val="32"/>
        </w:rPr>
        <w:t>15</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获取该信息具有一定难度，需要花费一定代价（</w:t>
      </w:r>
      <w:r>
        <w:rPr>
          <w:rFonts w:ascii="仿宋_GB2312" w:eastAsia="仿宋_GB2312" w:hint="eastAsia"/>
          <w:sz w:val="32"/>
          <w:szCs w:val="32"/>
        </w:rPr>
        <w:t>5</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7-3.</w:t>
      </w:r>
      <w:r>
        <w:rPr>
          <w:rFonts w:ascii="楷体_GB2312" w:eastAsia="楷体_GB2312" w:hint="eastAsia"/>
          <w:sz w:val="32"/>
          <w:szCs w:val="32"/>
        </w:rPr>
        <w:t>该信息如被竞争对手获取，对企业业务所产生的影响。</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该信息如被竞争对手获取，将对企业经营造成特别严重的影响（</w:t>
      </w:r>
      <w:r>
        <w:rPr>
          <w:rFonts w:ascii="仿宋_GB2312" w:eastAsia="仿宋_GB2312" w:hint="eastAsia"/>
          <w:sz w:val="32"/>
          <w:szCs w:val="32"/>
        </w:rPr>
        <w:t>40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该信息如被竞争对手获取，将对我方业务造成较大影响（</w:t>
      </w:r>
      <w:r>
        <w:rPr>
          <w:rFonts w:ascii="仿宋_GB2312" w:eastAsia="仿宋_GB2312" w:hint="eastAsia"/>
          <w:sz w:val="32"/>
          <w:szCs w:val="32"/>
        </w:rPr>
        <w:t>20</w:t>
      </w:r>
      <w:r>
        <w:rPr>
          <w:rFonts w:ascii="仿宋_GB2312" w:eastAsia="仿宋_GB2312" w:hint="eastAsia"/>
          <w:sz w:val="32"/>
          <w:szCs w:val="32"/>
        </w:rPr>
        <w:t>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该信息如被竞争对手获取，将对我方业务造成一定影响（</w:t>
      </w:r>
      <w:r>
        <w:rPr>
          <w:rFonts w:ascii="仿宋_GB2312" w:eastAsia="仿宋_GB2312" w:hint="eastAsia"/>
          <w:sz w:val="32"/>
          <w:szCs w:val="32"/>
        </w:rPr>
        <w:t>10</w:t>
      </w:r>
      <w:r>
        <w:rPr>
          <w:rFonts w:ascii="仿宋_GB2312" w:eastAsia="仿宋_GB2312" w:hint="eastAsia"/>
          <w:sz w:val="32"/>
          <w:szCs w:val="32"/>
        </w:rPr>
        <w:t>分）</w:t>
      </w:r>
    </w:p>
    <w:p w:rsidR="00984676" w:rsidRDefault="00A72DF9">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将问题</w:t>
      </w:r>
      <w:r>
        <w:rPr>
          <w:rFonts w:ascii="仿宋_GB2312" w:eastAsia="仿宋_GB2312" w:hint="eastAsia"/>
          <w:sz w:val="32"/>
          <w:szCs w:val="32"/>
        </w:rPr>
        <w:t>7-1</w:t>
      </w:r>
      <w:r>
        <w:rPr>
          <w:rFonts w:ascii="仿宋_GB2312" w:eastAsia="仿宋_GB2312" w:hint="eastAsia"/>
          <w:sz w:val="32"/>
          <w:szCs w:val="32"/>
        </w:rPr>
        <w:t>至</w:t>
      </w:r>
      <w:r>
        <w:rPr>
          <w:rFonts w:ascii="仿宋_GB2312" w:eastAsia="仿宋_GB2312" w:hint="eastAsia"/>
          <w:sz w:val="32"/>
          <w:szCs w:val="32"/>
        </w:rPr>
        <w:t>7-3</w:t>
      </w:r>
      <w:r>
        <w:rPr>
          <w:rFonts w:ascii="仿宋_GB2312" w:eastAsia="仿宋_GB2312" w:hint="eastAsia"/>
          <w:sz w:val="32"/>
          <w:szCs w:val="32"/>
        </w:rPr>
        <w:t>的得分数相加获得本项总分值。</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lastRenderedPageBreak/>
        <w:t>本项总得分≥</w:t>
      </w:r>
      <w:r>
        <w:rPr>
          <w:rFonts w:ascii="仿宋_GB2312" w:eastAsia="仿宋_GB2312" w:hint="eastAsia"/>
          <w:sz w:val="32"/>
          <w:szCs w:val="32"/>
        </w:rPr>
        <w:t>70</w:t>
      </w:r>
      <w:r>
        <w:rPr>
          <w:rFonts w:ascii="仿宋_GB2312" w:eastAsia="仿宋_GB2312" w:hint="eastAsia"/>
          <w:sz w:val="32"/>
          <w:szCs w:val="32"/>
        </w:rPr>
        <w:t>分的，可定为“绝密级”商业秘密；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50</w:t>
      </w:r>
      <w:r>
        <w:rPr>
          <w:rFonts w:ascii="仿宋_GB2312" w:eastAsia="仿宋_GB2312" w:hint="eastAsia"/>
          <w:sz w:val="32"/>
          <w:szCs w:val="32"/>
        </w:rPr>
        <w:t>分的，可定为“机密级”商业秘密；</w:t>
      </w:r>
    </w:p>
    <w:p w:rsidR="00984676" w:rsidRDefault="00A72DF9">
      <w:pPr>
        <w:ind w:firstLineChars="300" w:firstLine="960"/>
        <w:rPr>
          <w:rFonts w:ascii="仿宋_GB2312" w:eastAsia="仿宋_GB2312"/>
          <w:sz w:val="32"/>
          <w:szCs w:val="32"/>
        </w:rPr>
      </w:pPr>
      <w:r>
        <w:rPr>
          <w:rFonts w:ascii="仿宋_GB2312" w:eastAsia="仿宋_GB2312" w:hint="eastAsia"/>
          <w:sz w:val="32"/>
          <w:szCs w:val="32"/>
        </w:rPr>
        <w:t>本项总得分</w:t>
      </w:r>
      <w:r>
        <w:rPr>
          <w:rFonts w:ascii="仿宋_GB2312" w:eastAsia="仿宋_GB2312" w:hint="eastAsia"/>
          <w:sz w:val="32"/>
          <w:szCs w:val="32"/>
        </w:rPr>
        <w:t>&lt;50</w:t>
      </w:r>
      <w:r>
        <w:rPr>
          <w:rFonts w:ascii="仿宋_GB2312" w:eastAsia="仿宋_GB2312" w:hint="eastAsia"/>
          <w:sz w:val="32"/>
          <w:szCs w:val="32"/>
        </w:rPr>
        <w:t>分的，可定为“秘密级”商业秘密。</w:t>
      </w:r>
    </w:p>
    <w:p w:rsidR="00984676" w:rsidRDefault="00984676">
      <w:pPr>
        <w:pStyle w:val="a7"/>
        <w:rPr>
          <w:rFonts w:ascii="宋体" w:hAnsi="宋体"/>
          <w:szCs w:val="24"/>
        </w:rPr>
      </w:pPr>
    </w:p>
    <w:sectPr w:rsidR="00984676">
      <w:headerReference w:type="default" r:id="rId8"/>
      <w:footerReference w:type="even" r:id="rId9"/>
      <w:footerReference w:type="default" r:id="rId10"/>
      <w:pgSz w:w="11906" w:h="16838"/>
      <w:pgMar w:top="1440" w:right="1800" w:bottom="1440" w:left="1800" w:header="851" w:footer="992" w:gutter="0"/>
      <w:pgNumType w:fmt="numberInDash"/>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DF9" w:rsidRDefault="00A72DF9">
      <w:pPr>
        <w:spacing w:line="240" w:lineRule="auto"/>
      </w:pPr>
      <w:r>
        <w:separator/>
      </w:r>
    </w:p>
  </w:endnote>
  <w:endnote w:type="continuationSeparator" w:id="0">
    <w:p w:rsidR="00A72DF9" w:rsidRDefault="00A72D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676" w:rsidRDefault="00A72DF9">
    <w:pPr>
      <w:pStyle w:val="a4"/>
    </w:pPr>
    <w:r>
      <w:rPr>
        <w:rFonts w:ascii="楷体_GB2312" w:eastAsia="楷体_GB2312" w:hint="eastAsia"/>
        <w:sz w:val="30"/>
        <w:szCs w:val="30"/>
      </w:rPr>
      <w:fldChar w:fldCharType="begin"/>
    </w:r>
    <w:r>
      <w:rPr>
        <w:rFonts w:ascii="楷体_GB2312" w:eastAsia="楷体_GB2312" w:hint="eastAsia"/>
        <w:sz w:val="30"/>
        <w:szCs w:val="30"/>
      </w:rPr>
      <w:instrText>PAGE   \* MERGEFORMAT</w:instrText>
    </w:r>
    <w:r>
      <w:rPr>
        <w:rFonts w:ascii="楷体_GB2312" w:eastAsia="楷体_GB2312" w:hint="eastAsia"/>
        <w:sz w:val="30"/>
        <w:szCs w:val="30"/>
      </w:rPr>
      <w:fldChar w:fldCharType="separate"/>
    </w:r>
    <w:r w:rsidR="00337995" w:rsidRPr="00337995">
      <w:rPr>
        <w:rFonts w:ascii="楷体_GB2312" w:eastAsia="楷体_GB2312"/>
        <w:noProof/>
        <w:sz w:val="30"/>
        <w:szCs w:val="30"/>
        <w:lang w:val="zh-CN"/>
      </w:rPr>
      <w:t>-</w:t>
    </w:r>
    <w:r w:rsidR="00337995">
      <w:rPr>
        <w:rFonts w:ascii="楷体_GB2312" w:eastAsia="楷体_GB2312"/>
        <w:noProof/>
        <w:sz w:val="30"/>
        <w:szCs w:val="30"/>
      </w:rPr>
      <w:t xml:space="preserve"> 2 -</w:t>
    </w:r>
    <w:r>
      <w:rPr>
        <w:rFonts w:ascii="楷体_GB2312" w:eastAsia="楷体_GB2312" w:hint="eastAsia"/>
        <w:sz w:val="30"/>
        <w:szCs w:val="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676" w:rsidRDefault="00A72DF9">
    <w:pPr>
      <w:pStyle w:val="a4"/>
      <w:ind w:right="84"/>
      <w:jc w:val="right"/>
    </w:pPr>
    <w:r>
      <w:rPr>
        <w:rFonts w:ascii="楷体_GB2312" w:eastAsia="楷体_GB2312"/>
        <w:sz w:val="30"/>
        <w:szCs w:val="30"/>
      </w:rPr>
      <w:fldChar w:fldCharType="begin"/>
    </w:r>
    <w:r>
      <w:rPr>
        <w:rFonts w:ascii="楷体_GB2312" w:eastAsia="楷体_GB2312"/>
        <w:sz w:val="30"/>
        <w:szCs w:val="30"/>
      </w:rPr>
      <w:instrText>PAGE   \* MERGEFORMAT</w:instrText>
    </w:r>
    <w:r>
      <w:rPr>
        <w:rFonts w:ascii="楷体_GB2312" w:eastAsia="楷体_GB2312"/>
        <w:sz w:val="30"/>
        <w:szCs w:val="30"/>
      </w:rPr>
      <w:fldChar w:fldCharType="separate"/>
    </w:r>
    <w:r w:rsidR="00337995" w:rsidRPr="00337995">
      <w:rPr>
        <w:rFonts w:ascii="楷体_GB2312" w:eastAsia="楷体_GB2312"/>
        <w:noProof/>
        <w:sz w:val="30"/>
        <w:szCs w:val="30"/>
        <w:lang w:val="zh-CN"/>
      </w:rPr>
      <w:t>-</w:t>
    </w:r>
    <w:r w:rsidR="00337995">
      <w:rPr>
        <w:rFonts w:ascii="楷体_GB2312" w:eastAsia="楷体_GB2312"/>
        <w:noProof/>
        <w:sz w:val="30"/>
        <w:szCs w:val="30"/>
      </w:rPr>
      <w:t xml:space="preserve"> 1 -</w:t>
    </w:r>
    <w:r>
      <w:rPr>
        <w:rFonts w:ascii="楷体_GB2312" w:eastAsia="楷体_GB2312"/>
        <w:sz w:val="30"/>
        <w:szCs w:val="3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DF9" w:rsidRDefault="00A72DF9">
      <w:r>
        <w:separator/>
      </w:r>
    </w:p>
  </w:footnote>
  <w:footnote w:type="continuationSeparator" w:id="0">
    <w:p w:rsidR="00A72DF9" w:rsidRDefault="00A72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676" w:rsidRDefault="00A72DF9">
    <w:pPr>
      <w:pStyle w:val="a5"/>
      <w:pBdr>
        <w:bottom w:val="none" w:sz="0" w:space="1" w:color="auto"/>
      </w:pBdr>
      <w:spacing w:line="240" w:lineRule="auto"/>
      <w:jc w:val="left"/>
      <w:rPr>
        <w:rFonts w:ascii="楷体_GB2312" w:eastAsia="楷体_GB2312"/>
        <w:sz w:val="30"/>
        <w:szCs w:val="30"/>
      </w:rPr>
    </w:pPr>
    <w:r>
      <w:rPr>
        <w:rFonts w:ascii="仿宋" w:eastAsia="仿宋" w:hAnsi="仿宋" w:cs="仿宋" w:hint="eastAsia"/>
        <w:sz w:val="21"/>
        <w:szCs w:val="22"/>
      </w:rPr>
      <w:t xml:space="preserve"> </w:t>
    </w:r>
    <w:r>
      <w:rPr>
        <w:rFonts w:ascii="仿宋" w:eastAsia="仿宋" w:hAnsi="仿宋" w:cs="仿宋"/>
        <w:sz w:val="21"/>
        <w:szCs w:val="22"/>
      </w:rPr>
      <w:t xml:space="preserve">                          </w:t>
    </w:r>
    <w:r>
      <w:rPr>
        <w:rFonts w:ascii="楷体_GB2312" w:eastAsia="楷体_GB2312" w:hAnsi="仿宋" w:cs="仿宋"/>
        <w:sz w:val="30"/>
        <w:szCs w:val="3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5FDCDA"/>
    <w:multiLevelType w:val="singleLevel"/>
    <w:tmpl w:val="C45FDCDA"/>
    <w:lvl w:ilvl="0">
      <w:start w:val="1"/>
      <w:numFmt w:val="chineseCounting"/>
      <w:suff w:val="nothing"/>
      <w:lvlText w:val="%1、"/>
      <w:lvlJc w:val="left"/>
      <w:pPr>
        <w:ind w:left="0" w:firstLine="420"/>
      </w:pPr>
      <w:rPr>
        <w:rFonts w:hint="eastAsia"/>
      </w:rPr>
    </w:lvl>
  </w:abstractNum>
  <w:abstractNum w:abstractNumId="1">
    <w:nsid w:val="7B13D4AD"/>
    <w:multiLevelType w:val="singleLevel"/>
    <w:tmpl w:val="7B13D4AD"/>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evenAndOddHeaders/>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lMmI2YTAyOTZiOTczNmRkNGI2YmY0ZWUzOWY3MjUifQ=="/>
  </w:docVars>
  <w:rsids>
    <w:rsidRoot w:val="00635EBC"/>
    <w:rsid w:val="000071FE"/>
    <w:rsid w:val="00055130"/>
    <w:rsid w:val="000A3B80"/>
    <w:rsid w:val="000E336A"/>
    <w:rsid w:val="00113B3D"/>
    <w:rsid w:val="00115DA7"/>
    <w:rsid w:val="00121CE2"/>
    <w:rsid w:val="00123C5E"/>
    <w:rsid w:val="00133E44"/>
    <w:rsid w:val="001B44BE"/>
    <w:rsid w:val="001C1812"/>
    <w:rsid w:val="001F18F9"/>
    <w:rsid w:val="001F2069"/>
    <w:rsid w:val="001F3B6F"/>
    <w:rsid w:val="00257DAE"/>
    <w:rsid w:val="00276F93"/>
    <w:rsid w:val="002813CC"/>
    <w:rsid w:val="002A10EC"/>
    <w:rsid w:val="002F73BD"/>
    <w:rsid w:val="0030423F"/>
    <w:rsid w:val="003044C6"/>
    <w:rsid w:val="00333CE2"/>
    <w:rsid w:val="00337995"/>
    <w:rsid w:val="00340AD8"/>
    <w:rsid w:val="00371A0D"/>
    <w:rsid w:val="003954C1"/>
    <w:rsid w:val="003B0B6F"/>
    <w:rsid w:val="003B4CB1"/>
    <w:rsid w:val="003F3903"/>
    <w:rsid w:val="0041711A"/>
    <w:rsid w:val="004360B5"/>
    <w:rsid w:val="00446933"/>
    <w:rsid w:val="00463BDE"/>
    <w:rsid w:val="004817AF"/>
    <w:rsid w:val="004B1E95"/>
    <w:rsid w:val="004B7A98"/>
    <w:rsid w:val="004D6F9F"/>
    <w:rsid w:val="004E041F"/>
    <w:rsid w:val="004E0B5C"/>
    <w:rsid w:val="004F50A8"/>
    <w:rsid w:val="00520CFC"/>
    <w:rsid w:val="00540253"/>
    <w:rsid w:val="00575E6D"/>
    <w:rsid w:val="005A089B"/>
    <w:rsid w:val="005D6E26"/>
    <w:rsid w:val="005D764C"/>
    <w:rsid w:val="005E3DAE"/>
    <w:rsid w:val="005E4773"/>
    <w:rsid w:val="005F266B"/>
    <w:rsid w:val="005F4557"/>
    <w:rsid w:val="005F7C29"/>
    <w:rsid w:val="006160D6"/>
    <w:rsid w:val="00635C3B"/>
    <w:rsid w:val="00635EBC"/>
    <w:rsid w:val="00657CD5"/>
    <w:rsid w:val="00673560"/>
    <w:rsid w:val="006762D8"/>
    <w:rsid w:val="00686C87"/>
    <w:rsid w:val="006D01CB"/>
    <w:rsid w:val="006D5657"/>
    <w:rsid w:val="006E521E"/>
    <w:rsid w:val="006F07D1"/>
    <w:rsid w:val="00703173"/>
    <w:rsid w:val="00704DEB"/>
    <w:rsid w:val="007076D2"/>
    <w:rsid w:val="00727EEF"/>
    <w:rsid w:val="007405EC"/>
    <w:rsid w:val="00754659"/>
    <w:rsid w:val="007D59A2"/>
    <w:rsid w:val="0080056D"/>
    <w:rsid w:val="008131BA"/>
    <w:rsid w:val="0086347D"/>
    <w:rsid w:val="00896626"/>
    <w:rsid w:val="008B4EFD"/>
    <w:rsid w:val="008E3F31"/>
    <w:rsid w:val="008E7518"/>
    <w:rsid w:val="009804E9"/>
    <w:rsid w:val="00984676"/>
    <w:rsid w:val="009C7639"/>
    <w:rsid w:val="009C7C82"/>
    <w:rsid w:val="00A176CB"/>
    <w:rsid w:val="00A343B7"/>
    <w:rsid w:val="00A55297"/>
    <w:rsid w:val="00A637F6"/>
    <w:rsid w:val="00A72DF9"/>
    <w:rsid w:val="00AF0990"/>
    <w:rsid w:val="00B555C5"/>
    <w:rsid w:val="00B6076E"/>
    <w:rsid w:val="00B83522"/>
    <w:rsid w:val="00B931D1"/>
    <w:rsid w:val="00BB16DD"/>
    <w:rsid w:val="00BB6476"/>
    <w:rsid w:val="00C05E27"/>
    <w:rsid w:val="00C34DA0"/>
    <w:rsid w:val="00C425D1"/>
    <w:rsid w:val="00C74D3E"/>
    <w:rsid w:val="00CB0D35"/>
    <w:rsid w:val="00CB2F48"/>
    <w:rsid w:val="00CC09C8"/>
    <w:rsid w:val="00CC3173"/>
    <w:rsid w:val="00CE0F48"/>
    <w:rsid w:val="00CE68BD"/>
    <w:rsid w:val="00DD1087"/>
    <w:rsid w:val="00E12181"/>
    <w:rsid w:val="00E24085"/>
    <w:rsid w:val="00E922BB"/>
    <w:rsid w:val="00EA6C56"/>
    <w:rsid w:val="00EC7DC2"/>
    <w:rsid w:val="00ED3553"/>
    <w:rsid w:val="00EE2725"/>
    <w:rsid w:val="00EF0E96"/>
    <w:rsid w:val="00F13684"/>
    <w:rsid w:val="00F227C8"/>
    <w:rsid w:val="00F36A9C"/>
    <w:rsid w:val="00F54456"/>
    <w:rsid w:val="00F738B5"/>
    <w:rsid w:val="00F847FB"/>
    <w:rsid w:val="00F92D94"/>
    <w:rsid w:val="00F93605"/>
    <w:rsid w:val="00FA63FF"/>
    <w:rsid w:val="00FA7177"/>
    <w:rsid w:val="00FB637A"/>
    <w:rsid w:val="02A642B3"/>
    <w:rsid w:val="0787781D"/>
    <w:rsid w:val="0CB624F9"/>
    <w:rsid w:val="15CD1DBD"/>
    <w:rsid w:val="27D0378D"/>
    <w:rsid w:val="2A924136"/>
    <w:rsid w:val="394023D8"/>
    <w:rsid w:val="3B5D1171"/>
    <w:rsid w:val="46AC231B"/>
    <w:rsid w:val="4BF15863"/>
    <w:rsid w:val="57F66358"/>
    <w:rsid w:val="5A7274BD"/>
    <w:rsid w:val="5DBF7B4A"/>
    <w:rsid w:val="634F566B"/>
    <w:rsid w:val="64E16D04"/>
    <w:rsid w:val="6D3E63B8"/>
    <w:rsid w:val="6F6A27C2"/>
    <w:rsid w:val="7A7F86E2"/>
    <w:rsid w:val="7DB9698D"/>
    <w:rsid w:val="7ECFC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heme="minorHAnsi" w:hAnsiTheme="minorHAnsi" w:cstheme="minorBidi"/>
      <w:kern w:val="2"/>
      <w:sz w:val="24"/>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60" w:after="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paragraph" w:customStyle="1" w:styleId="a7">
    <w:name w:val="第一条"/>
    <w:basedOn w:val="a"/>
    <w:qFormat/>
    <w:pPr>
      <w:widowControl/>
      <w:kinsoku w:val="0"/>
      <w:adjustRightInd w:val="0"/>
      <w:snapToGrid w:val="0"/>
      <w:spacing w:line="640" w:lineRule="exact"/>
      <w:contextualSpacing/>
      <w:jc w:val="left"/>
    </w:pPr>
    <w:rPr>
      <w:rFonts w:ascii="黑体" w:eastAsia="黑体" w:hAnsi="黑体"/>
      <w:bCs/>
      <w:sz w:val="36"/>
      <w:szCs w:val="36"/>
    </w:rPr>
  </w:style>
  <w:style w:type="character" w:customStyle="1" w:styleId="Char">
    <w:name w:val="批注框文本 Char"/>
    <w:basedOn w:val="a0"/>
    <w:link w:val="a3"/>
    <w:uiPriority w:val="99"/>
    <w:semiHidden/>
    <w:qFormat/>
    <w:rPr>
      <w:rFonts w:eastAsia="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360" w:lineRule="auto"/>
      <w:jc w:val="both"/>
    </w:pPr>
    <w:rPr>
      <w:rFonts w:asciiTheme="minorHAnsi" w:hAnsiTheme="minorHAnsi" w:cstheme="minorBidi"/>
      <w:kern w:val="2"/>
      <w:sz w:val="24"/>
      <w:szCs w:val="22"/>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60" w:after="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 w:type="paragraph" w:customStyle="1" w:styleId="a7">
    <w:name w:val="第一条"/>
    <w:basedOn w:val="a"/>
    <w:qFormat/>
    <w:pPr>
      <w:widowControl/>
      <w:kinsoku w:val="0"/>
      <w:adjustRightInd w:val="0"/>
      <w:snapToGrid w:val="0"/>
      <w:spacing w:line="640" w:lineRule="exact"/>
      <w:contextualSpacing/>
      <w:jc w:val="left"/>
    </w:pPr>
    <w:rPr>
      <w:rFonts w:ascii="黑体" w:eastAsia="黑体" w:hAnsi="黑体"/>
      <w:bCs/>
      <w:sz w:val="36"/>
      <w:szCs w:val="36"/>
    </w:rPr>
  </w:style>
  <w:style w:type="character" w:customStyle="1" w:styleId="Char">
    <w:name w:val="批注框文本 Char"/>
    <w:basedOn w:val="a0"/>
    <w:link w:val="a3"/>
    <w:uiPriority w:val="99"/>
    <w:semiHidden/>
    <w:qFormat/>
    <w:rPr>
      <w:rFonts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1074</Words>
  <Characters>6123</Characters>
  <Application>Microsoft Office Word</Application>
  <DocSecurity>0</DocSecurity>
  <Lines>51</Lines>
  <Paragraphs>14</Paragraphs>
  <ScaleCrop>false</ScaleCrop>
  <Company>P R C</Company>
  <LinksUpToDate>false</LinksUpToDate>
  <CharactersWithSpaces>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商业秘密定密分级及解密管理办法</dc:title>
  <dc:creator>wang haoyu</dc:creator>
  <cp:lastModifiedBy>局收文员</cp:lastModifiedBy>
  <cp:revision>16</cp:revision>
  <dcterms:created xsi:type="dcterms:W3CDTF">2022-12-28T08:50:00Z</dcterms:created>
  <dcterms:modified xsi:type="dcterms:W3CDTF">2026-01-21T02:43:00Z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60000CA4F625414C9039173F35AAFFB3</vt:lpwstr>
  </property>
</Properties>
</file>