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B563">
      <w:pPr>
        <w:spacing w:before="100" w:after="100" w:line="360" w:lineRule="auto"/>
        <w:jc w:val="center"/>
        <w:rPr>
          <w:rFonts w:ascii="宋体" w:hAnsi="宋体" w:eastAsia="宋体"/>
          <w:b/>
          <w:sz w:val="56"/>
          <w:szCs w:val="56"/>
          <w:highlight w:val="none"/>
        </w:rPr>
      </w:pPr>
      <w:bookmarkStart w:id="0" w:name="_Toc458262589"/>
    </w:p>
    <w:p w14:paraId="109FBF83">
      <w:pPr>
        <w:spacing w:before="100" w:after="100" w:line="360" w:lineRule="auto"/>
        <w:jc w:val="center"/>
        <w:outlineLvl w:val="0"/>
        <w:rPr>
          <w:rFonts w:hint="default" w:ascii="宋体" w:hAnsi="宋体" w:eastAsia="宋体"/>
          <w:b/>
          <w:sz w:val="52"/>
          <w:szCs w:val="52"/>
          <w:highlight w:val="none"/>
          <w:lang w:val="en-US" w:eastAsia="zh-CN"/>
        </w:rPr>
      </w:pPr>
      <w:r>
        <w:rPr>
          <w:rFonts w:hint="eastAsia" w:ascii="宋体" w:hAnsi="宋体" w:eastAsia="宋体"/>
          <w:b/>
          <w:sz w:val="56"/>
          <w:szCs w:val="56"/>
          <w:highlight w:val="none"/>
        </w:rPr>
        <w:t>开平市中医院2026-2028年度工程造价咨询服务供应商资格选取项目</w:t>
      </w:r>
    </w:p>
    <w:p w14:paraId="7930927C">
      <w:pPr>
        <w:spacing w:before="100" w:after="100" w:line="360" w:lineRule="auto"/>
        <w:jc w:val="center"/>
        <w:rPr>
          <w:rFonts w:ascii="宋体" w:hAnsi="宋体" w:eastAsia="宋体"/>
          <w:b/>
          <w:sz w:val="52"/>
          <w:szCs w:val="52"/>
          <w:highlight w:val="none"/>
        </w:rPr>
      </w:pPr>
    </w:p>
    <w:p w14:paraId="78E973A0">
      <w:pPr>
        <w:spacing w:line="360" w:lineRule="auto"/>
        <w:jc w:val="center"/>
        <w:outlineLvl w:val="0"/>
        <w:rPr>
          <w:rFonts w:ascii="宋体" w:hAnsi="宋体" w:eastAsia="宋体"/>
          <w:b/>
          <w:sz w:val="52"/>
          <w:szCs w:val="52"/>
          <w:highlight w:val="none"/>
        </w:rPr>
      </w:pPr>
      <w:bookmarkStart w:id="1" w:name="_Toc184723185"/>
      <w:r>
        <w:rPr>
          <w:rFonts w:hint="eastAsia" w:ascii="宋体" w:hAnsi="宋体" w:eastAsia="宋体"/>
          <w:b/>
          <w:sz w:val="52"/>
          <w:szCs w:val="52"/>
          <w:highlight w:val="none"/>
        </w:rPr>
        <w:t>遴选</w:t>
      </w:r>
      <w:r>
        <w:rPr>
          <w:rFonts w:ascii="宋体" w:hAnsi="宋体" w:eastAsia="宋体"/>
          <w:b/>
          <w:sz w:val="52"/>
          <w:szCs w:val="52"/>
          <w:highlight w:val="none"/>
        </w:rPr>
        <w:t>文件</w:t>
      </w:r>
      <w:bookmarkEnd w:id="1"/>
    </w:p>
    <w:p w14:paraId="22E405DA">
      <w:pPr>
        <w:spacing w:line="360" w:lineRule="auto"/>
        <w:jc w:val="center"/>
        <w:rPr>
          <w:rFonts w:ascii="宋体" w:hAnsi="宋体" w:eastAsia="宋体"/>
          <w:b/>
          <w:sz w:val="36"/>
          <w:szCs w:val="36"/>
          <w:highlight w:val="none"/>
        </w:rPr>
      </w:pPr>
    </w:p>
    <w:p w14:paraId="67864DBA">
      <w:pPr>
        <w:spacing w:line="360" w:lineRule="auto"/>
        <w:jc w:val="center"/>
        <w:rPr>
          <w:rFonts w:ascii="宋体" w:hAnsi="宋体" w:eastAsia="宋体"/>
          <w:b/>
          <w:sz w:val="36"/>
          <w:szCs w:val="36"/>
          <w:highlight w:val="none"/>
        </w:rPr>
      </w:pPr>
    </w:p>
    <w:p w14:paraId="7CBDEEC5">
      <w:pPr>
        <w:spacing w:line="360" w:lineRule="auto"/>
        <w:jc w:val="center"/>
        <w:rPr>
          <w:rFonts w:ascii="宋体" w:hAnsi="宋体" w:eastAsia="宋体"/>
          <w:b/>
          <w:sz w:val="36"/>
          <w:szCs w:val="36"/>
          <w:highlight w:val="none"/>
        </w:rPr>
      </w:pPr>
    </w:p>
    <w:p w14:paraId="6A3B4BE4">
      <w:pPr>
        <w:spacing w:line="360" w:lineRule="auto"/>
        <w:rPr>
          <w:rFonts w:ascii="宋体" w:hAnsi="宋体" w:eastAsia="宋体"/>
          <w:b/>
          <w:sz w:val="36"/>
          <w:szCs w:val="36"/>
          <w:highlight w:val="none"/>
        </w:rPr>
      </w:pPr>
    </w:p>
    <w:p w14:paraId="00F47E86">
      <w:pPr>
        <w:spacing w:line="480" w:lineRule="auto"/>
        <w:rPr>
          <w:rFonts w:ascii="宋体" w:hAnsi="宋体" w:eastAsia="宋体"/>
          <w:b/>
          <w:sz w:val="32"/>
          <w:highlight w:val="none"/>
        </w:rPr>
      </w:pPr>
      <w:bookmarkStart w:id="2" w:name="_Hlk169100851"/>
    </w:p>
    <w:p w14:paraId="73DF3206">
      <w:pPr>
        <w:spacing w:line="480" w:lineRule="auto"/>
        <w:jc w:val="center"/>
        <w:rPr>
          <w:rFonts w:ascii="宋体" w:hAnsi="宋体" w:eastAsia="宋体"/>
          <w:b/>
          <w:sz w:val="32"/>
          <w:highlight w:val="none"/>
        </w:rPr>
      </w:pPr>
      <w:r>
        <w:rPr>
          <w:rFonts w:hint="eastAsia" w:ascii="宋体" w:hAnsi="宋体" w:eastAsia="宋体"/>
          <w:b/>
          <w:sz w:val="32"/>
          <w:highlight w:val="none"/>
        </w:rPr>
        <w:t>开平市中医院</w:t>
      </w:r>
    </w:p>
    <w:p w14:paraId="347AAD4D">
      <w:pPr>
        <w:spacing w:line="480" w:lineRule="auto"/>
        <w:jc w:val="center"/>
        <w:rPr>
          <w:rFonts w:ascii="宋体"/>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440" w:right="1304" w:bottom="1440" w:left="1304" w:header="851" w:footer="992" w:gutter="0"/>
          <w:cols w:space="720" w:num="1"/>
          <w:titlePg/>
          <w:docGrid w:linePitch="408" w:charSpace="0"/>
        </w:sectPr>
      </w:pPr>
      <w:r>
        <w:rPr>
          <w:rFonts w:hint="eastAsia" w:ascii="宋体" w:hAnsi="宋体" w:eastAsia="宋体"/>
          <w:b/>
          <w:sz w:val="32"/>
          <w:szCs w:val="32"/>
          <w:highlight w:val="none"/>
        </w:rPr>
        <w:t>2</w:t>
      </w:r>
      <w:r>
        <w:rPr>
          <w:rFonts w:ascii="宋体" w:hAnsi="宋体" w:eastAsia="宋体"/>
          <w:b/>
          <w:sz w:val="32"/>
          <w:szCs w:val="32"/>
          <w:highlight w:val="none"/>
        </w:rPr>
        <w:t>02</w:t>
      </w:r>
      <w:r>
        <w:rPr>
          <w:rFonts w:hint="eastAsia" w:ascii="宋体" w:hAnsi="宋体" w:eastAsia="宋体"/>
          <w:b/>
          <w:sz w:val="32"/>
          <w:szCs w:val="32"/>
          <w:highlight w:val="none"/>
          <w:lang w:val="en-US" w:eastAsia="zh-CN"/>
        </w:rPr>
        <w:t>6</w:t>
      </w:r>
      <w:r>
        <w:rPr>
          <w:rFonts w:ascii="宋体" w:hAnsi="宋体" w:eastAsia="宋体"/>
          <w:b/>
          <w:sz w:val="32"/>
          <w:szCs w:val="32"/>
          <w:highlight w:val="none"/>
        </w:rPr>
        <w:t>年</w:t>
      </w:r>
      <w:r>
        <w:rPr>
          <w:rFonts w:hint="eastAsia" w:ascii="宋体" w:hAnsi="宋体" w:eastAsia="宋体"/>
          <w:b/>
          <w:sz w:val="32"/>
          <w:szCs w:val="32"/>
          <w:highlight w:val="none"/>
          <w:lang w:val="en-US" w:eastAsia="zh-CN"/>
        </w:rPr>
        <w:t>1</w:t>
      </w:r>
      <w:r>
        <w:rPr>
          <w:rFonts w:ascii="宋体" w:hAnsi="宋体" w:eastAsia="宋体"/>
          <w:b/>
          <w:sz w:val="32"/>
          <w:szCs w:val="32"/>
          <w:highlight w:val="none"/>
        </w:rPr>
        <w:t>月</w:t>
      </w:r>
      <w:bookmarkEnd w:id="2"/>
    </w:p>
    <w:p w14:paraId="03A8BFF4">
      <w:pPr>
        <w:pStyle w:val="30"/>
        <w:spacing w:line="500" w:lineRule="exact"/>
        <w:ind w:left="300" w:right="300"/>
        <w:jc w:val="center"/>
        <w:outlineLvl w:val="0"/>
        <w:rPr>
          <w:rFonts w:ascii="宋体"/>
          <w:sz w:val="44"/>
          <w:szCs w:val="44"/>
          <w:highlight w:val="none"/>
        </w:rPr>
      </w:pPr>
      <w:bookmarkStart w:id="3" w:name="_Toc184723186"/>
      <w:r>
        <w:rPr>
          <w:rFonts w:ascii="宋体"/>
          <w:b/>
          <w:sz w:val="44"/>
          <w:szCs w:val="44"/>
          <w:highlight w:val="none"/>
        </w:rPr>
        <w:t>目    录</w:t>
      </w:r>
      <w:bookmarkEnd w:id="3"/>
      <w:r>
        <w:rPr>
          <w:rFonts w:ascii="宋体"/>
          <w:bCs w:val="0"/>
          <w:sz w:val="44"/>
          <w:szCs w:val="44"/>
          <w:highlight w:val="none"/>
        </w:rPr>
        <w:fldChar w:fldCharType="begin"/>
      </w:r>
      <w:r>
        <w:rPr>
          <w:rFonts w:ascii="宋体"/>
          <w:bCs w:val="0"/>
          <w:sz w:val="44"/>
          <w:szCs w:val="44"/>
          <w:highlight w:val="none"/>
        </w:rPr>
        <w:instrText xml:space="preserve"> TOC \o "1-2" \h \z \u </w:instrText>
      </w:r>
      <w:r>
        <w:rPr>
          <w:rFonts w:ascii="宋体"/>
          <w:bCs w:val="0"/>
          <w:sz w:val="44"/>
          <w:szCs w:val="44"/>
          <w:highlight w:val="none"/>
        </w:rPr>
        <w:fldChar w:fldCharType="separate"/>
      </w:r>
    </w:p>
    <w:p w14:paraId="64AD9DDA">
      <w:pPr>
        <w:pStyle w:val="30"/>
        <w:spacing w:line="500" w:lineRule="exact"/>
        <w:rPr>
          <w:rStyle w:val="48"/>
          <w:b/>
          <w:highlight w:val="none"/>
        </w:rPr>
      </w:pPr>
    </w:p>
    <w:p w14:paraId="33DC08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"_Toc184723187" </w:instrText>
      </w:r>
      <w:r>
        <w:rPr>
          <w:highlight w:val="none"/>
        </w:rPr>
        <w:fldChar w:fldCharType="separate"/>
      </w:r>
      <w:r>
        <w:rPr>
          <w:rStyle w:val="48"/>
          <w:rFonts w:hint="eastAsia" w:ascii="Times New Roman"/>
          <w:b/>
          <w:highlight w:val="none"/>
        </w:rPr>
        <w:t>第一部分遴选公告</w:t>
      </w:r>
      <w:r>
        <w:rPr>
          <w:b/>
          <w:highlight w:val="none"/>
        </w:rPr>
        <w:tab/>
      </w:r>
      <w:r>
        <w:rPr>
          <w:b/>
          <w:highlight w:val="none"/>
        </w:rPr>
        <w:fldChar w:fldCharType="begin"/>
      </w:r>
      <w:r>
        <w:rPr>
          <w:b/>
          <w:highlight w:val="none"/>
        </w:rPr>
        <w:instrText xml:space="preserve"> PAGEREF _Toc184723187 \h </w:instrText>
      </w:r>
      <w:r>
        <w:rPr>
          <w:b/>
          <w:highlight w:val="none"/>
        </w:rPr>
        <w:fldChar w:fldCharType="separate"/>
      </w:r>
      <w:r>
        <w:rPr>
          <w:b/>
          <w:highlight w:val="none"/>
        </w:rPr>
        <w:t>3</w:t>
      </w:r>
      <w:r>
        <w:rPr>
          <w:b/>
          <w:highlight w:val="none"/>
        </w:rPr>
        <w:fldChar w:fldCharType="end"/>
      </w:r>
      <w:r>
        <w:rPr>
          <w:b/>
          <w:highlight w:val="none"/>
        </w:rPr>
        <w:fldChar w:fldCharType="end"/>
      </w:r>
    </w:p>
    <w:p w14:paraId="3DD5D9D4">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"_Toc184723188" </w:instrText>
      </w:r>
      <w:r>
        <w:rPr>
          <w:highlight w:val="none"/>
        </w:rPr>
        <w:fldChar w:fldCharType="separate"/>
      </w:r>
      <w:r>
        <w:rPr>
          <w:rStyle w:val="48"/>
          <w:rFonts w:hint="eastAsia" w:ascii="宋体"/>
          <w:bCs/>
          <w:highlight w:val="none"/>
        </w:rPr>
        <w:t>一、项目基本情况</w:t>
      </w:r>
      <w:r>
        <w:rPr>
          <w:highlight w:val="none"/>
        </w:rPr>
        <w:tab/>
      </w:r>
      <w:r>
        <w:rPr>
          <w:highlight w:val="none"/>
        </w:rPr>
        <w:fldChar w:fldCharType="begin"/>
      </w:r>
      <w:r>
        <w:rPr>
          <w:highlight w:val="none"/>
        </w:rPr>
        <w:instrText xml:space="preserve"> PAGEREF _Toc184723188 \h </w:instrText>
      </w:r>
      <w:r>
        <w:rPr>
          <w:highlight w:val="none"/>
        </w:rPr>
        <w:fldChar w:fldCharType="separate"/>
      </w:r>
      <w:r>
        <w:rPr>
          <w:highlight w:val="none"/>
        </w:rPr>
        <w:t>3</w:t>
      </w:r>
      <w:r>
        <w:rPr>
          <w:highlight w:val="none"/>
        </w:rPr>
        <w:fldChar w:fldCharType="end"/>
      </w:r>
      <w:r>
        <w:rPr>
          <w:highlight w:val="none"/>
        </w:rPr>
        <w:fldChar w:fldCharType="end"/>
      </w:r>
    </w:p>
    <w:p w14:paraId="408DF1A7">
      <w:pPr>
        <w:pStyle w:val="36"/>
        <w:tabs>
          <w:tab w:val="left" w:pos="2100"/>
        </w:tabs>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"_Toc184723189" </w:instrText>
      </w:r>
      <w:r>
        <w:rPr>
          <w:highlight w:val="none"/>
        </w:rPr>
        <w:fldChar w:fldCharType="separate"/>
      </w:r>
      <w:r>
        <w:rPr>
          <w:rStyle w:val="48"/>
          <w:rFonts w:hint="eastAsia"/>
          <w:bCs/>
          <w:highlight w:val="none"/>
        </w:rPr>
        <w:t>二、供应商资格条件</w:t>
      </w:r>
      <w:r>
        <w:rPr>
          <w:highlight w:val="none"/>
        </w:rPr>
        <w:tab/>
      </w:r>
      <w:r>
        <w:rPr>
          <w:highlight w:val="none"/>
        </w:rPr>
        <w:fldChar w:fldCharType="begin"/>
      </w:r>
      <w:r>
        <w:rPr>
          <w:highlight w:val="none"/>
        </w:rPr>
        <w:instrText xml:space="preserve"> PAGEREF _Toc184723189 \h </w:instrText>
      </w:r>
      <w:r>
        <w:rPr>
          <w:highlight w:val="none"/>
        </w:rPr>
        <w:fldChar w:fldCharType="separate"/>
      </w:r>
      <w:r>
        <w:rPr>
          <w:highlight w:val="none"/>
        </w:rPr>
        <w:t>3</w:t>
      </w:r>
      <w:r>
        <w:rPr>
          <w:highlight w:val="none"/>
        </w:rPr>
        <w:fldChar w:fldCharType="end"/>
      </w:r>
      <w:r>
        <w:rPr>
          <w:highlight w:val="none"/>
        </w:rPr>
        <w:fldChar w:fldCharType="end"/>
      </w:r>
    </w:p>
    <w:p w14:paraId="2BBB1C9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"_Toc184723203" </w:instrText>
      </w:r>
      <w:r>
        <w:rPr>
          <w:highlight w:val="none"/>
        </w:rPr>
        <w:fldChar w:fldCharType="separate"/>
      </w:r>
      <w:r>
        <w:rPr>
          <w:rStyle w:val="48"/>
          <w:rFonts w:hint="eastAsia"/>
          <w:bCs/>
          <w:highlight w:val="none"/>
        </w:rPr>
        <w:t>三．遴选响应资料</w:t>
      </w:r>
      <w:r>
        <w:rPr>
          <w:highlight w:val="none"/>
        </w:rPr>
        <w:tab/>
      </w:r>
      <w:r>
        <w:rPr>
          <w:highlight w:val="none"/>
        </w:rPr>
        <w:fldChar w:fldCharType="begin"/>
      </w:r>
      <w:r>
        <w:rPr>
          <w:highlight w:val="none"/>
        </w:rPr>
        <w:instrText xml:space="preserve"> PAGEREF _Toc184723203 \h </w:instrText>
      </w:r>
      <w:r>
        <w:rPr>
          <w:highlight w:val="none"/>
        </w:rPr>
        <w:fldChar w:fldCharType="separate"/>
      </w:r>
      <w:r>
        <w:rPr>
          <w:highlight w:val="none"/>
        </w:rPr>
        <w:t>5</w:t>
      </w:r>
      <w:r>
        <w:rPr>
          <w:highlight w:val="none"/>
        </w:rPr>
        <w:fldChar w:fldCharType="end"/>
      </w:r>
      <w:r>
        <w:rPr>
          <w:highlight w:val="none"/>
        </w:rPr>
        <w:fldChar w:fldCharType="end"/>
      </w:r>
    </w:p>
    <w:p w14:paraId="65DCBF61">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"_Toc184723207" </w:instrText>
      </w:r>
      <w:r>
        <w:rPr>
          <w:highlight w:val="none"/>
        </w:rPr>
        <w:fldChar w:fldCharType="separate"/>
      </w:r>
      <w:r>
        <w:rPr>
          <w:rStyle w:val="48"/>
          <w:rFonts w:hint="eastAsia"/>
          <w:bCs/>
          <w:highlight w:val="none"/>
        </w:rPr>
        <w:t>四、</w:t>
      </w:r>
      <w:r>
        <w:rPr>
          <w:rStyle w:val="48"/>
          <w:rFonts w:hint="eastAsia"/>
          <w:bCs/>
          <w:highlight w:val="none"/>
          <w:lang w:val="en-US" w:eastAsia="zh-CN"/>
        </w:rPr>
        <w:t>报名</w:t>
      </w:r>
      <w:r>
        <w:rPr>
          <w:rStyle w:val="48"/>
          <w:rFonts w:hint="eastAsia"/>
          <w:bCs/>
          <w:highlight w:val="none"/>
        </w:rPr>
        <w:t>、资料递交时间、地点、评审办法：</w:t>
      </w:r>
      <w:r>
        <w:rPr>
          <w:highlight w:val="none"/>
        </w:rPr>
        <w:tab/>
      </w:r>
      <w:r>
        <w:rPr>
          <w:highlight w:val="none"/>
        </w:rPr>
        <w:fldChar w:fldCharType="begin"/>
      </w:r>
      <w:r>
        <w:rPr>
          <w:highlight w:val="none"/>
        </w:rPr>
        <w:instrText xml:space="preserve"> PAGEREF _Toc184723207 \h </w:instrText>
      </w:r>
      <w:r>
        <w:rPr>
          <w:highlight w:val="none"/>
        </w:rPr>
        <w:fldChar w:fldCharType="separate"/>
      </w:r>
      <w:r>
        <w:rPr>
          <w:highlight w:val="none"/>
        </w:rPr>
        <w:t>5</w:t>
      </w:r>
      <w:r>
        <w:rPr>
          <w:highlight w:val="none"/>
        </w:rPr>
        <w:fldChar w:fldCharType="end"/>
      </w:r>
      <w:r>
        <w:rPr>
          <w:highlight w:val="none"/>
        </w:rPr>
        <w:fldChar w:fldCharType="end"/>
      </w:r>
    </w:p>
    <w:p w14:paraId="3F23D53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"_Toc184723214" </w:instrText>
      </w:r>
      <w:r>
        <w:rPr>
          <w:highlight w:val="none"/>
        </w:rPr>
        <w:fldChar w:fldCharType="separate"/>
      </w:r>
      <w:r>
        <w:rPr>
          <w:rStyle w:val="48"/>
          <w:rFonts w:hint="eastAsia"/>
          <w:bCs/>
          <w:highlight w:val="none"/>
        </w:rPr>
        <w:t>五、本次遴选相关事宜联系：</w:t>
      </w:r>
      <w:r>
        <w:rPr>
          <w:highlight w:val="none"/>
        </w:rPr>
        <w:tab/>
      </w:r>
      <w:r>
        <w:rPr>
          <w:highlight w:val="none"/>
        </w:rPr>
        <w:fldChar w:fldCharType="begin"/>
      </w:r>
      <w:r>
        <w:rPr>
          <w:highlight w:val="none"/>
        </w:rPr>
        <w:instrText xml:space="preserve"> PAGEREF _Toc184723214 \h </w:instrText>
      </w:r>
      <w:r>
        <w:rPr>
          <w:highlight w:val="none"/>
        </w:rPr>
        <w:fldChar w:fldCharType="separate"/>
      </w:r>
      <w:r>
        <w:rPr>
          <w:highlight w:val="none"/>
        </w:rPr>
        <w:t>5</w:t>
      </w:r>
      <w:r>
        <w:rPr>
          <w:highlight w:val="none"/>
        </w:rPr>
        <w:fldChar w:fldCharType="end"/>
      </w:r>
      <w:r>
        <w:rPr>
          <w:highlight w:val="none"/>
        </w:rPr>
        <w:fldChar w:fldCharType="end"/>
      </w:r>
    </w:p>
    <w:p w14:paraId="6C6F3CEB">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"_Toc184723216" </w:instrText>
      </w:r>
      <w:r>
        <w:rPr>
          <w:highlight w:val="none"/>
        </w:rPr>
        <w:fldChar w:fldCharType="separate"/>
      </w:r>
      <w:r>
        <w:rPr>
          <w:rStyle w:val="48"/>
          <w:rFonts w:hint="eastAsia"/>
          <w:bCs/>
          <w:highlight w:val="none"/>
        </w:rPr>
        <w:t>六、报名须知</w:t>
      </w:r>
      <w:r>
        <w:rPr>
          <w:highlight w:val="none"/>
        </w:rPr>
        <w:tab/>
      </w:r>
      <w:r>
        <w:rPr>
          <w:highlight w:val="none"/>
        </w:rPr>
        <w:fldChar w:fldCharType="begin"/>
      </w:r>
      <w:r>
        <w:rPr>
          <w:highlight w:val="none"/>
        </w:rPr>
        <w:instrText xml:space="preserve"> PAGEREF _Toc184723216 \h </w:instrText>
      </w:r>
      <w:r>
        <w:rPr>
          <w:highlight w:val="none"/>
        </w:rPr>
        <w:fldChar w:fldCharType="separate"/>
      </w:r>
      <w:r>
        <w:rPr>
          <w:highlight w:val="none"/>
        </w:rPr>
        <w:t>5</w:t>
      </w:r>
      <w:r>
        <w:rPr>
          <w:highlight w:val="none"/>
        </w:rPr>
        <w:fldChar w:fldCharType="end"/>
      </w:r>
      <w:r>
        <w:rPr>
          <w:highlight w:val="none"/>
        </w:rPr>
        <w:fldChar w:fldCharType="end"/>
      </w:r>
    </w:p>
    <w:p w14:paraId="77A43150">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"_Toc184723226" </w:instrText>
      </w:r>
      <w:r>
        <w:rPr>
          <w:highlight w:val="none"/>
        </w:rPr>
        <w:fldChar w:fldCharType="separate"/>
      </w:r>
      <w:r>
        <w:rPr>
          <w:rStyle w:val="48"/>
          <w:rFonts w:hint="eastAsia"/>
          <w:bCs/>
          <w:highlight w:val="none"/>
          <w:lang w:val="en-US" w:eastAsia="zh-CN"/>
        </w:rPr>
        <w:t>七</w:t>
      </w:r>
      <w:r>
        <w:rPr>
          <w:rStyle w:val="48"/>
          <w:rFonts w:hint="eastAsia"/>
          <w:bCs/>
          <w:highlight w:val="none"/>
        </w:rPr>
        <w:t>、遴选响应文件的制作、装订、密封、标记</w:t>
      </w:r>
      <w:r>
        <w:rPr>
          <w:highlight w:val="none"/>
        </w:rPr>
        <w:tab/>
      </w:r>
      <w:r>
        <w:rPr>
          <w:highlight w:val="none"/>
        </w:rPr>
        <w:fldChar w:fldCharType="begin"/>
      </w:r>
      <w:r>
        <w:rPr>
          <w:highlight w:val="none"/>
        </w:rPr>
        <w:instrText xml:space="preserve"> PAGEREF _Toc184723226 \h </w:instrText>
      </w:r>
      <w:r>
        <w:rPr>
          <w:highlight w:val="none"/>
        </w:rPr>
        <w:fldChar w:fldCharType="separate"/>
      </w:r>
      <w:r>
        <w:rPr>
          <w:highlight w:val="none"/>
        </w:rPr>
        <w:t>6</w:t>
      </w:r>
      <w:r>
        <w:rPr>
          <w:highlight w:val="none"/>
        </w:rPr>
        <w:fldChar w:fldCharType="end"/>
      </w:r>
      <w:r>
        <w:rPr>
          <w:highlight w:val="none"/>
        </w:rPr>
        <w:fldChar w:fldCharType="end"/>
      </w:r>
    </w:p>
    <w:p w14:paraId="28425AF6">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"_Toc184723234" </w:instrText>
      </w:r>
      <w:r>
        <w:rPr>
          <w:highlight w:val="none"/>
        </w:rPr>
        <w:fldChar w:fldCharType="separate"/>
      </w:r>
      <w:r>
        <w:rPr>
          <w:rStyle w:val="48"/>
          <w:rFonts w:hint="eastAsia" w:ascii="Times New Roman"/>
          <w:b/>
          <w:highlight w:val="none"/>
        </w:rPr>
        <w:t>第二部分采购需求</w:t>
      </w:r>
      <w:r>
        <w:rPr>
          <w:b/>
          <w:highlight w:val="none"/>
        </w:rPr>
        <w:tab/>
      </w:r>
      <w:r>
        <w:rPr>
          <w:b/>
          <w:highlight w:val="none"/>
        </w:rPr>
        <w:fldChar w:fldCharType="begin"/>
      </w:r>
      <w:r>
        <w:rPr>
          <w:b/>
          <w:highlight w:val="none"/>
        </w:rPr>
        <w:instrText xml:space="preserve"> PAGEREF _Toc184723234 \h </w:instrText>
      </w:r>
      <w:r>
        <w:rPr>
          <w:b/>
          <w:highlight w:val="none"/>
        </w:rPr>
        <w:fldChar w:fldCharType="separate"/>
      </w:r>
      <w:r>
        <w:rPr>
          <w:b/>
          <w:highlight w:val="none"/>
        </w:rPr>
        <w:t>7</w:t>
      </w:r>
      <w:r>
        <w:rPr>
          <w:b/>
          <w:highlight w:val="none"/>
        </w:rPr>
        <w:fldChar w:fldCharType="end"/>
      </w:r>
      <w:r>
        <w:rPr>
          <w:b/>
          <w:highlight w:val="none"/>
        </w:rPr>
        <w:fldChar w:fldCharType="end"/>
      </w:r>
    </w:p>
    <w:p w14:paraId="35D38359">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"_Toc184723235" </w:instrText>
      </w:r>
      <w:r>
        <w:rPr>
          <w:highlight w:val="none"/>
        </w:rPr>
        <w:fldChar w:fldCharType="separate"/>
      </w:r>
      <w:r>
        <w:rPr>
          <w:rStyle w:val="48"/>
          <w:rFonts w:hint="eastAsia"/>
          <w:highlight w:val="none"/>
        </w:rPr>
        <w:t>一、项目概况</w:t>
      </w:r>
      <w:r>
        <w:rPr>
          <w:highlight w:val="none"/>
        </w:rPr>
        <w:tab/>
      </w:r>
      <w:r>
        <w:rPr>
          <w:highlight w:val="none"/>
        </w:rPr>
        <w:fldChar w:fldCharType="begin"/>
      </w:r>
      <w:r>
        <w:rPr>
          <w:highlight w:val="none"/>
        </w:rPr>
        <w:instrText xml:space="preserve"> PAGEREF _Toc184723235 \h </w:instrText>
      </w:r>
      <w:r>
        <w:rPr>
          <w:highlight w:val="none"/>
        </w:rPr>
        <w:fldChar w:fldCharType="separate"/>
      </w:r>
      <w:r>
        <w:rPr>
          <w:highlight w:val="none"/>
        </w:rPr>
        <w:t>7</w:t>
      </w:r>
      <w:r>
        <w:rPr>
          <w:highlight w:val="none"/>
        </w:rPr>
        <w:fldChar w:fldCharType="end"/>
      </w:r>
      <w:r>
        <w:rPr>
          <w:highlight w:val="none"/>
        </w:rPr>
        <w:fldChar w:fldCharType="end"/>
      </w:r>
    </w:p>
    <w:p w14:paraId="5FE1768F">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"_Toc184723236" </w:instrText>
      </w:r>
      <w:r>
        <w:rPr>
          <w:highlight w:val="none"/>
        </w:rPr>
        <w:fldChar w:fldCharType="separate"/>
      </w:r>
      <w:r>
        <w:rPr>
          <w:rStyle w:val="48"/>
          <w:rFonts w:hint="eastAsia"/>
          <w:highlight w:val="none"/>
        </w:rPr>
        <w:t>二、供应商资格条件</w:t>
      </w:r>
      <w:r>
        <w:rPr>
          <w:highlight w:val="none"/>
        </w:rPr>
        <w:tab/>
      </w:r>
      <w:r>
        <w:rPr>
          <w:highlight w:val="none"/>
        </w:rPr>
        <w:fldChar w:fldCharType="begin"/>
      </w:r>
      <w:r>
        <w:rPr>
          <w:highlight w:val="none"/>
        </w:rPr>
        <w:instrText xml:space="preserve"> PAGEREF _Toc184723236 \h </w:instrText>
      </w:r>
      <w:r>
        <w:rPr>
          <w:highlight w:val="none"/>
        </w:rPr>
        <w:fldChar w:fldCharType="separate"/>
      </w:r>
      <w:r>
        <w:rPr>
          <w:highlight w:val="none"/>
        </w:rPr>
        <w:t>7</w:t>
      </w:r>
      <w:r>
        <w:rPr>
          <w:highlight w:val="none"/>
        </w:rPr>
        <w:fldChar w:fldCharType="end"/>
      </w:r>
      <w:r>
        <w:rPr>
          <w:highlight w:val="none"/>
        </w:rPr>
        <w:fldChar w:fldCharType="end"/>
      </w:r>
    </w:p>
    <w:p w14:paraId="57603587">
      <w:pPr>
        <w:pStyle w:val="36"/>
        <w:spacing w:line="500" w:lineRule="exact"/>
        <w:ind w:left="450" w:right="450"/>
        <w:rPr>
          <w:rFonts w:hint="eastAsia"/>
          <w:highlight w:val="none"/>
          <w:lang w:val="en-US" w:eastAsia="zh-CN"/>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rPr>
        <w:t>三、服务要求</w:t>
      </w:r>
      <w:r>
        <w:rPr>
          <w:highlight w:val="none"/>
        </w:rPr>
        <w:tab/>
      </w:r>
      <w:r>
        <w:rPr>
          <w:highlight w:val="none"/>
        </w:rPr>
        <w:fldChar w:fldCharType="end"/>
      </w:r>
      <w:r>
        <w:rPr>
          <w:rFonts w:hint="eastAsia"/>
          <w:highlight w:val="none"/>
          <w:lang w:val="en-US" w:eastAsia="zh-CN"/>
        </w:rPr>
        <w:t>8</w:t>
      </w:r>
    </w:p>
    <w:p w14:paraId="5D92CBD7">
      <w:pPr>
        <w:pStyle w:val="36"/>
        <w:spacing w:line="500" w:lineRule="exact"/>
        <w:ind w:left="450" w:right="450"/>
        <w:rPr>
          <w:rFonts w:hint="eastAsia"/>
          <w:highlight w:val="none"/>
          <w:lang w:val="en-US" w:eastAsia="zh-CN"/>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lang w:val="en-US" w:eastAsia="zh-CN"/>
        </w:rPr>
        <w:t>四</w:t>
      </w:r>
      <w:r>
        <w:rPr>
          <w:rStyle w:val="48"/>
          <w:rFonts w:hint="eastAsia"/>
          <w:highlight w:val="none"/>
        </w:rPr>
        <w:t>、</w:t>
      </w:r>
      <w:r>
        <w:rPr>
          <w:rStyle w:val="48"/>
          <w:rFonts w:hint="eastAsia"/>
          <w:highlight w:val="none"/>
          <w:lang w:val="en-US" w:eastAsia="zh-CN"/>
        </w:rPr>
        <w:t>服务质量要求</w:t>
      </w:r>
      <w:r>
        <w:rPr>
          <w:highlight w:val="none"/>
        </w:rPr>
        <w:tab/>
      </w:r>
      <w:r>
        <w:rPr>
          <w:highlight w:val="none"/>
        </w:rPr>
        <w:fldChar w:fldCharType="end"/>
      </w:r>
      <w:r>
        <w:rPr>
          <w:rFonts w:hint="eastAsia"/>
          <w:highlight w:val="none"/>
          <w:lang w:val="en-US" w:eastAsia="zh-CN"/>
        </w:rPr>
        <w:t>8</w:t>
      </w:r>
    </w:p>
    <w:p w14:paraId="33AA302F">
      <w:pPr>
        <w:pStyle w:val="36"/>
        <w:spacing w:line="500" w:lineRule="exact"/>
        <w:ind w:left="450" w:right="450"/>
        <w:rPr>
          <w:rFonts w:hint="eastAsia"/>
          <w:highlight w:val="none"/>
          <w:lang w:val="en-US" w:eastAsia="zh-CN"/>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lang w:val="en-US" w:eastAsia="zh-CN"/>
        </w:rPr>
        <w:t>五</w:t>
      </w:r>
      <w:r>
        <w:rPr>
          <w:rStyle w:val="48"/>
          <w:rFonts w:hint="eastAsia"/>
          <w:highlight w:val="none"/>
        </w:rPr>
        <w:t>、</w:t>
      </w:r>
      <w:r>
        <w:rPr>
          <w:rStyle w:val="48"/>
          <w:rFonts w:hint="eastAsia"/>
          <w:highlight w:val="none"/>
          <w:lang w:val="en-US" w:eastAsia="zh-CN"/>
        </w:rPr>
        <w:t>其他要求</w:t>
      </w:r>
      <w:r>
        <w:rPr>
          <w:highlight w:val="none"/>
        </w:rPr>
        <w:tab/>
      </w:r>
      <w:r>
        <w:rPr>
          <w:highlight w:val="none"/>
        </w:rPr>
        <w:fldChar w:fldCharType="end"/>
      </w:r>
      <w:r>
        <w:rPr>
          <w:rFonts w:hint="eastAsia"/>
          <w:highlight w:val="none"/>
          <w:lang w:val="en-US" w:eastAsia="zh-CN"/>
        </w:rPr>
        <w:t>9</w:t>
      </w:r>
    </w:p>
    <w:p w14:paraId="065559EB">
      <w:pPr>
        <w:pStyle w:val="36"/>
        <w:spacing w:line="500" w:lineRule="exact"/>
        <w:ind w:left="450" w:right="450"/>
        <w:rPr>
          <w:rFonts w:hint="default"/>
          <w:highlight w:val="none"/>
          <w:lang w:val="en-US" w:eastAsia="zh-CN"/>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lang w:val="en-US" w:eastAsia="zh-CN"/>
        </w:rPr>
        <w:t>六</w:t>
      </w:r>
      <w:r>
        <w:rPr>
          <w:rStyle w:val="48"/>
          <w:rFonts w:hint="eastAsia"/>
          <w:highlight w:val="none"/>
        </w:rPr>
        <w:t>、</w:t>
      </w:r>
      <w:r>
        <w:rPr>
          <w:rStyle w:val="48"/>
          <w:rFonts w:hint="eastAsia"/>
          <w:highlight w:val="none"/>
          <w:lang w:val="en-US" w:eastAsia="zh-CN"/>
        </w:rPr>
        <w:t>考核内容及标准</w:t>
      </w:r>
      <w:r>
        <w:rPr>
          <w:highlight w:val="none"/>
        </w:rPr>
        <w:tab/>
      </w:r>
      <w:r>
        <w:rPr>
          <w:highlight w:val="none"/>
        </w:rPr>
        <w:fldChar w:fldCharType="end"/>
      </w:r>
      <w:r>
        <w:rPr>
          <w:rFonts w:hint="eastAsia"/>
          <w:highlight w:val="none"/>
          <w:lang w:val="en-US" w:eastAsia="zh-CN"/>
        </w:rPr>
        <w:t>9</w:t>
      </w:r>
    </w:p>
    <w:p w14:paraId="50058EB6">
      <w:pPr>
        <w:pStyle w:val="36"/>
        <w:spacing w:line="500" w:lineRule="exact"/>
        <w:ind w:left="450" w:right="450"/>
        <w:rPr>
          <w:rFonts w:hint="default" w:eastAsia="宋体"/>
          <w:highlight w:val="none"/>
          <w:lang w:val="en-US" w:eastAsia="zh-CN"/>
        </w:rPr>
      </w:pPr>
      <w:r>
        <w:rPr>
          <w:highlight w:val="none"/>
        </w:rPr>
        <w:fldChar w:fldCharType="begin"/>
      </w:r>
      <w:r>
        <w:rPr>
          <w:highlight w:val="none"/>
        </w:rPr>
        <w:instrText xml:space="preserve"> HYPERLINK \l "_Toc184723250" </w:instrText>
      </w:r>
      <w:r>
        <w:rPr>
          <w:highlight w:val="none"/>
        </w:rPr>
        <w:fldChar w:fldCharType="separate"/>
      </w:r>
      <w:r>
        <w:rPr>
          <w:rStyle w:val="48"/>
          <w:rFonts w:hint="eastAsia"/>
          <w:highlight w:val="none"/>
          <w:lang w:val="en-US" w:eastAsia="zh-CN"/>
        </w:rPr>
        <w:t>七</w:t>
      </w:r>
      <w:r>
        <w:rPr>
          <w:rStyle w:val="48"/>
          <w:rFonts w:hint="eastAsia"/>
          <w:highlight w:val="none"/>
        </w:rPr>
        <w:t>、</w:t>
      </w:r>
      <w:r>
        <w:rPr>
          <w:rStyle w:val="48"/>
          <w:rFonts w:hint="eastAsia"/>
          <w:highlight w:val="none"/>
          <w:lang w:val="en-US" w:eastAsia="zh-CN"/>
        </w:rPr>
        <w:t>报价要求</w:t>
      </w:r>
      <w:r>
        <w:rPr>
          <w:highlight w:val="none"/>
        </w:rPr>
        <w:tab/>
      </w:r>
      <w:r>
        <w:rPr>
          <w:highlight w:val="none"/>
        </w:rPr>
        <w:fldChar w:fldCharType="end"/>
      </w:r>
      <w:r>
        <w:rPr>
          <w:rFonts w:hint="eastAsia"/>
          <w:highlight w:val="none"/>
          <w:lang w:val="en-US" w:eastAsia="zh-CN"/>
        </w:rPr>
        <w:t>10</w:t>
      </w:r>
    </w:p>
    <w:p w14:paraId="1541DBE5">
      <w:pPr>
        <w:pStyle w:val="36"/>
        <w:spacing w:line="500" w:lineRule="exact"/>
        <w:ind w:left="450" w:right="450"/>
        <w:rPr>
          <w:rFonts w:hint="default" w:eastAsia="宋体" w:asciiTheme="minorHAnsi" w:hAnsiTheme="minorHAnsi" w:cstheme="minorBidi"/>
          <w:sz w:val="21"/>
          <w:szCs w:val="22"/>
          <w:highlight w:val="none"/>
          <w:lang w:val="en-US" w:eastAsia="zh-CN"/>
        </w:rPr>
      </w:pPr>
      <w:r>
        <w:rPr>
          <w:highlight w:val="none"/>
        </w:rPr>
        <w:fldChar w:fldCharType="begin"/>
      </w:r>
      <w:r>
        <w:rPr>
          <w:highlight w:val="none"/>
        </w:rPr>
        <w:instrText xml:space="preserve"> HYPERLINK \l "_Toc184723296" </w:instrText>
      </w:r>
      <w:r>
        <w:rPr>
          <w:highlight w:val="none"/>
        </w:rPr>
        <w:fldChar w:fldCharType="separate"/>
      </w:r>
      <w:r>
        <w:rPr>
          <w:rFonts w:hint="eastAsia"/>
          <w:highlight w:val="none"/>
          <w:lang w:val="en-US" w:eastAsia="zh-CN"/>
        </w:rPr>
        <w:t>八</w:t>
      </w:r>
      <w:r>
        <w:rPr>
          <w:rStyle w:val="48"/>
          <w:rFonts w:hint="eastAsia"/>
          <w:highlight w:val="none"/>
        </w:rPr>
        <w:t>、评审办法和标准</w:t>
      </w:r>
      <w:r>
        <w:rPr>
          <w:highlight w:val="none"/>
        </w:rPr>
        <w:tab/>
      </w:r>
      <w:r>
        <w:rPr>
          <w:highlight w:val="none"/>
        </w:rPr>
        <w:fldChar w:fldCharType="end"/>
      </w:r>
      <w:r>
        <w:rPr>
          <w:rFonts w:hint="eastAsia"/>
          <w:highlight w:val="none"/>
          <w:lang w:val="en-US" w:eastAsia="zh-CN"/>
        </w:rPr>
        <w:t>11</w:t>
      </w:r>
    </w:p>
    <w:p w14:paraId="66E413C0">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"_Toc184723298" </w:instrText>
      </w:r>
      <w:r>
        <w:rPr>
          <w:highlight w:val="none"/>
        </w:rPr>
        <w:fldChar w:fldCharType="separate"/>
      </w:r>
      <w:r>
        <w:rPr>
          <w:rStyle w:val="48"/>
          <w:rFonts w:hint="eastAsia" w:ascii="Times New Roman"/>
          <w:b/>
          <w:highlight w:val="none"/>
        </w:rPr>
        <w:t>第三部分供应商须知</w:t>
      </w:r>
      <w:r>
        <w:rPr>
          <w:b/>
          <w:highlight w:val="none"/>
        </w:rPr>
        <w:tab/>
      </w:r>
      <w:r>
        <w:rPr>
          <w:b/>
          <w:highlight w:val="none"/>
        </w:rPr>
        <w:fldChar w:fldCharType="begin"/>
      </w:r>
      <w:r>
        <w:rPr>
          <w:b/>
          <w:highlight w:val="none"/>
        </w:rPr>
        <w:instrText xml:space="preserve"> PAGEREF _Toc184723298 \h </w:instrText>
      </w:r>
      <w:r>
        <w:rPr>
          <w:b/>
          <w:highlight w:val="none"/>
        </w:rPr>
        <w:fldChar w:fldCharType="separate"/>
      </w:r>
      <w:r>
        <w:rPr>
          <w:b/>
          <w:highlight w:val="none"/>
        </w:rPr>
        <w:t>12</w:t>
      </w:r>
      <w:r>
        <w:rPr>
          <w:b/>
          <w:highlight w:val="none"/>
        </w:rPr>
        <w:fldChar w:fldCharType="end"/>
      </w:r>
      <w:r>
        <w:rPr>
          <w:b/>
          <w:highlight w:val="none"/>
        </w:rPr>
        <w:fldChar w:fldCharType="end"/>
      </w:r>
    </w:p>
    <w:p w14:paraId="2D6B4303">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"_Toc184723299" </w:instrText>
      </w:r>
      <w:r>
        <w:rPr>
          <w:highlight w:val="none"/>
        </w:rPr>
        <w:fldChar w:fldCharType="separate"/>
      </w:r>
      <w:r>
        <w:rPr>
          <w:rStyle w:val="48"/>
          <w:rFonts w:hint="eastAsia" w:ascii="Times New Roman" w:hAnsi="Times New Roman"/>
          <w:highlight w:val="none"/>
        </w:rPr>
        <w:t>一、说明</w:t>
      </w:r>
      <w:r>
        <w:rPr>
          <w:highlight w:val="none"/>
        </w:rPr>
        <w:tab/>
      </w:r>
      <w:r>
        <w:rPr>
          <w:highlight w:val="none"/>
        </w:rPr>
        <w:fldChar w:fldCharType="begin"/>
      </w:r>
      <w:r>
        <w:rPr>
          <w:highlight w:val="none"/>
        </w:rPr>
        <w:instrText xml:space="preserve"> PAGEREF _Toc184723299 \h </w:instrText>
      </w:r>
      <w:r>
        <w:rPr>
          <w:highlight w:val="none"/>
        </w:rPr>
        <w:fldChar w:fldCharType="separate"/>
      </w:r>
      <w:r>
        <w:rPr>
          <w:highlight w:val="none"/>
        </w:rPr>
        <w:t>12</w:t>
      </w:r>
      <w:r>
        <w:rPr>
          <w:highlight w:val="none"/>
        </w:rPr>
        <w:fldChar w:fldCharType="end"/>
      </w:r>
      <w:r>
        <w:rPr>
          <w:highlight w:val="none"/>
        </w:rPr>
        <w:fldChar w:fldCharType="end"/>
      </w:r>
    </w:p>
    <w:p w14:paraId="26D769DC">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"_Toc184723300" </w:instrText>
      </w:r>
      <w:r>
        <w:rPr>
          <w:highlight w:val="none"/>
        </w:rPr>
        <w:fldChar w:fldCharType="separate"/>
      </w:r>
      <w:r>
        <w:rPr>
          <w:rStyle w:val="48"/>
          <w:rFonts w:hint="eastAsia" w:ascii="Times New Roman" w:hAnsi="Times New Roman"/>
          <w:highlight w:val="none"/>
        </w:rPr>
        <w:t>二、遴选文件说明</w:t>
      </w:r>
      <w:r>
        <w:rPr>
          <w:highlight w:val="none"/>
        </w:rPr>
        <w:tab/>
      </w:r>
      <w:r>
        <w:rPr>
          <w:highlight w:val="none"/>
        </w:rPr>
        <w:fldChar w:fldCharType="begin"/>
      </w:r>
      <w:r>
        <w:rPr>
          <w:highlight w:val="none"/>
        </w:rPr>
        <w:instrText xml:space="preserve"> PAGEREF _Toc184723300 \h </w:instrText>
      </w:r>
      <w:r>
        <w:rPr>
          <w:highlight w:val="none"/>
        </w:rPr>
        <w:fldChar w:fldCharType="separate"/>
      </w:r>
      <w:r>
        <w:rPr>
          <w:highlight w:val="none"/>
        </w:rPr>
        <w:t>14</w:t>
      </w:r>
      <w:r>
        <w:rPr>
          <w:highlight w:val="none"/>
        </w:rPr>
        <w:fldChar w:fldCharType="end"/>
      </w:r>
      <w:r>
        <w:rPr>
          <w:highlight w:val="none"/>
        </w:rPr>
        <w:fldChar w:fldCharType="end"/>
      </w:r>
    </w:p>
    <w:p w14:paraId="002AF4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"_Toc184723301" </w:instrText>
      </w:r>
      <w:r>
        <w:rPr>
          <w:highlight w:val="none"/>
        </w:rPr>
        <w:fldChar w:fldCharType="separate"/>
      </w:r>
      <w:r>
        <w:rPr>
          <w:rStyle w:val="48"/>
          <w:rFonts w:hint="eastAsia" w:ascii="Times New Roman" w:hAnsi="Times New Roman"/>
          <w:highlight w:val="none"/>
        </w:rPr>
        <w:t>三、响应文件的制作</w:t>
      </w:r>
      <w:r>
        <w:rPr>
          <w:highlight w:val="none"/>
        </w:rPr>
        <w:tab/>
      </w:r>
      <w:r>
        <w:rPr>
          <w:highlight w:val="none"/>
        </w:rPr>
        <w:fldChar w:fldCharType="begin"/>
      </w:r>
      <w:r>
        <w:rPr>
          <w:highlight w:val="none"/>
        </w:rPr>
        <w:instrText xml:space="preserve"> PAGEREF _Toc184723301 \h </w:instrText>
      </w:r>
      <w:r>
        <w:rPr>
          <w:highlight w:val="none"/>
        </w:rPr>
        <w:fldChar w:fldCharType="separate"/>
      </w:r>
      <w:r>
        <w:rPr>
          <w:highlight w:val="none"/>
        </w:rPr>
        <w:t>14</w:t>
      </w:r>
      <w:r>
        <w:rPr>
          <w:highlight w:val="none"/>
        </w:rPr>
        <w:fldChar w:fldCharType="end"/>
      </w:r>
      <w:r>
        <w:rPr>
          <w:highlight w:val="none"/>
        </w:rPr>
        <w:fldChar w:fldCharType="end"/>
      </w:r>
    </w:p>
    <w:p w14:paraId="0CCEDBB5">
      <w:pPr>
        <w:pStyle w:val="36"/>
        <w:spacing w:line="500" w:lineRule="exact"/>
        <w:ind w:left="450" w:right="450"/>
        <w:rPr>
          <w:rFonts w:asciiTheme="minorHAnsi" w:hAnsiTheme="minorHAnsi" w:eastAsiaTheme="minorEastAsia" w:cstheme="minorBidi"/>
          <w:sz w:val="21"/>
          <w:szCs w:val="22"/>
          <w:highlight w:val="none"/>
        </w:rPr>
      </w:pPr>
      <w:r>
        <w:rPr>
          <w:highlight w:val="none"/>
        </w:rPr>
        <w:fldChar w:fldCharType="begin"/>
      </w:r>
      <w:r>
        <w:rPr>
          <w:highlight w:val="none"/>
        </w:rPr>
        <w:instrText xml:space="preserve"> HYPERLINK \l "_Toc184723302" </w:instrText>
      </w:r>
      <w:r>
        <w:rPr>
          <w:highlight w:val="none"/>
        </w:rPr>
        <w:fldChar w:fldCharType="separate"/>
      </w:r>
      <w:r>
        <w:rPr>
          <w:rStyle w:val="48"/>
          <w:rFonts w:hint="eastAsia" w:ascii="Times New Roman" w:hAnsi="Times New Roman"/>
          <w:highlight w:val="none"/>
        </w:rPr>
        <w:t>四、响应文件的递交</w:t>
      </w:r>
      <w:r>
        <w:rPr>
          <w:highlight w:val="none"/>
        </w:rPr>
        <w:tab/>
      </w:r>
      <w:r>
        <w:rPr>
          <w:highlight w:val="none"/>
        </w:rPr>
        <w:fldChar w:fldCharType="begin"/>
      </w:r>
      <w:r>
        <w:rPr>
          <w:highlight w:val="none"/>
        </w:rPr>
        <w:instrText xml:space="preserve"> PAGEREF _Toc184723302 \h </w:instrText>
      </w:r>
      <w:r>
        <w:rPr>
          <w:highlight w:val="none"/>
        </w:rPr>
        <w:fldChar w:fldCharType="separate"/>
      </w:r>
      <w:r>
        <w:rPr>
          <w:highlight w:val="none"/>
        </w:rPr>
        <w:t>16</w:t>
      </w:r>
      <w:r>
        <w:rPr>
          <w:highlight w:val="none"/>
        </w:rPr>
        <w:fldChar w:fldCharType="end"/>
      </w:r>
      <w:r>
        <w:rPr>
          <w:highlight w:val="none"/>
        </w:rPr>
        <w:fldChar w:fldCharType="end"/>
      </w:r>
    </w:p>
    <w:p w14:paraId="5D8C76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"_Toc184723303" </w:instrText>
      </w:r>
      <w:r>
        <w:rPr>
          <w:highlight w:val="none"/>
        </w:rPr>
        <w:fldChar w:fldCharType="separate"/>
      </w:r>
      <w:r>
        <w:rPr>
          <w:rStyle w:val="48"/>
          <w:rFonts w:hint="eastAsia" w:ascii="Times New Roman"/>
          <w:b/>
          <w:highlight w:val="none"/>
        </w:rPr>
        <w:t>第四部分评审办法</w:t>
      </w:r>
      <w:r>
        <w:rPr>
          <w:b/>
          <w:highlight w:val="none"/>
        </w:rPr>
        <w:tab/>
      </w:r>
      <w:r>
        <w:rPr>
          <w:b/>
          <w:highlight w:val="none"/>
        </w:rPr>
        <w:fldChar w:fldCharType="begin"/>
      </w:r>
      <w:r>
        <w:rPr>
          <w:b/>
          <w:highlight w:val="none"/>
        </w:rPr>
        <w:instrText xml:space="preserve"> PAGEREF _Toc184723303 \h </w:instrText>
      </w:r>
      <w:r>
        <w:rPr>
          <w:b/>
          <w:highlight w:val="none"/>
        </w:rPr>
        <w:fldChar w:fldCharType="separate"/>
      </w:r>
      <w:r>
        <w:rPr>
          <w:b/>
          <w:highlight w:val="none"/>
        </w:rPr>
        <w:t>18</w:t>
      </w:r>
      <w:r>
        <w:rPr>
          <w:b/>
          <w:highlight w:val="none"/>
        </w:rPr>
        <w:fldChar w:fldCharType="end"/>
      </w:r>
      <w:r>
        <w:rPr>
          <w:b/>
          <w:highlight w:val="none"/>
        </w:rPr>
        <w:fldChar w:fldCharType="end"/>
      </w:r>
    </w:p>
    <w:p w14:paraId="1D84D002">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"_Toc184723306" </w:instrText>
      </w:r>
      <w:r>
        <w:rPr>
          <w:highlight w:val="none"/>
        </w:rPr>
        <w:fldChar w:fldCharType="separate"/>
      </w:r>
      <w:r>
        <w:rPr>
          <w:rStyle w:val="48"/>
          <w:rFonts w:hint="eastAsia" w:ascii="Times New Roman"/>
          <w:b/>
          <w:highlight w:val="none"/>
        </w:rPr>
        <w:t>第五部分合同书格式</w:t>
      </w:r>
      <w:r>
        <w:rPr>
          <w:b/>
          <w:highlight w:val="none"/>
        </w:rPr>
        <w:tab/>
      </w:r>
      <w:r>
        <w:rPr>
          <w:b/>
          <w:highlight w:val="none"/>
        </w:rPr>
        <w:fldChar w:fldCharType="begin"/>
      </w:r>
      <w:r>
        <w:rPr>
          <w:b/>
          <w:highlight w:val="none"/>
        </w:rPr>
        <w:instrText xml:space="preserve"> PAGEREF _Toc184723306 \h </w:instrText>
      </w:r>
      <w:r>
        <w:rPr>
          <w:b/>
          <w:highlight w:val="none"/>
        </w:rPr>
        <w:fldChar w:fldCharType="separate"/>
      </w:r>
      <w:r>
        <w:rPr>
          <w:b/>
          <w:highlight w:val="none"/>
        </w:rPr>
        <w:t>22</w:t>
      </w:r>
      <w:r>
        <w:rPr>
          <w:b/>
          <w:highlight w:val="none"/>
        </w:rPr>
        <w:fldChar w:fldCharType="end"/>
      </w:r>
      <w:r>
        <w:rPr>
          <w:b/>
          <w:highlight w:val="none"/>
        </w:rPr>
        <w:fldChar w:fldCharType="end"/>
      </w:r>
    </w:p>
    <w:p w14:paraId="104A5399">
      <w:pPr>
        <w:pStyle w:val="30"/>
        <w:spacing w:line="500" w:lineRule="exact"/>
        <w:rPr>
          <w:rFonts w:asciiTheme="minorHAnsi" w:hAnsiTheme="minorHAnsi" w:eastAsiaTheme="minorEastAsia" w:cstheme="minorBidi"/>
          <w:b/>
          <w:bCs w:val="0"/>
          <w:sz w:val="21"/>
          <w:szCs w:val="22"/>
          <w:highlight w:val="none"/>
        </w:rPr>
      </w:pPr>
      <w:r>
        <w:rPr>
          <w:highlight w:val="none"/>
        </w:rPr>
        <w:fldChar w:fldCharType="begin"/>
      </w:r>
      <w:r>
        <w:rPr>
          <w:highlight w:val="none"/>
        </w:rPr>
        <w:instrText xml:space="preserve"> HYPERLINK \l "_Toc184723378" </w:instrText>
      </w:r>
      <w:r>
        <w:rPr>
          <w:highlight w:val="none"/>
        </w:rPr>
        <w:fldChar w:fldCharType="separate"/>
      </w:r>
      <w:r>
        <w:rPr>
          <w:rStyle w:val="48"/>
          <w:rFonts w:hint="eastAsia"/>
          <w:b/>
          <w:highlight w:val="none"/>
        </w:rPr>
        <w:t>第六部分遴选响应文件格式</w:t>
      </w:r>
      <w:r>
        <w:rPr>
          <w:b/>
          <w:highlight w:val="none"/>
        </w:rPr>
        <w:tab/>
      </w:r>
      <w:r>
        <w:rPr>
          <w:b/>
          <w:highlight w:val="none"/>
        </w:rPr>
        <w:fldChar w:fldCharType="begin"/>
      </w:r>
      <w:r>
        <w:rPr>
          <w:b/>
          <w:highlight w:val="none"/>
        </w:rPr>
        <w:instrText xml:space="preserve"> PAGEREF _Toc184723378 \h </w:instrText>
      </w:r>
      <w:r>
        <w:rPr>
          <w:b/>
          <w:highlight w:val="none"/>
        </w:rPr>
        <w:fldChar w:fldCharType="separate"/>
      </w:r>
      <w:r>
        <w:rPr>
          <w:b/>
          <w:highlight w:val="none"/>
        </w:rPr>
        <w:t>28</w:t>
      </w:r>
      <w:r>
        <w:rPr>
          <w:b/>
          <w:highlight w:val="none"/>
        </w:rPr>
        <w:fldChar w:fldCharType="end"/>
      </w:r>
      <w:r>
        <w:rPr>
          <w:b/>
          <w:highlight w:val="none"/>
        </w:rPr>
        <w:fldChar w:fldCharType="end"/>
      </w:r>
    </w:p>
    <w:p w14:paraId="0981D363">
      <w:pPr>
        <w:spacing w:line="500" w:lineRule="exact"/>
        <w:rPr>
          <w:rFonts w:ascii="Times New Roman"/>
          <w:sz w:val="36"/>
          <w:szCs w:val="28"/>
          <w:highlight w:val="none"/>
        </w:rPr>
      </w:pPr>
      <w:r>
        <w:rPr>
          <w:rFonts w:ascii="宋体" w:hAnsi="宋体" w:eastAsia="宋体"/>
          <w:b/>
          <w:sz w:val="24"/>
          <w:szCs w:val="24"/>
          <w:highlight w:val="none"/>
        </w:rPr>
        <w:fldChar w:fldCharType="end"/>
      </w:r>
      <w:bookmarkStart w:id="4" w:name="_Toc51756448"/>
      <w:bookmarkStart w:id="5" w:name="_Toc51939413"/>
      <w:bookmarkStart w:id="6" w:name="_Toc52027882"/>
      <w:bookmarkStart w:id="7" w:name="_Toc52021495"/>
      <w:bookmarkStart w:id="8" w:name="_Toc56352965"/>
      <w:bookmarkStart w:id="9" w:name="_Toc476976153"/>
      <w:bookmarkStart w:id="10" w:name="_Toc467236720"/>
      <w:bookmarkStart w:id="11" w:name="_Toc486671525"/>
      <w:bookmarkStart w:id="12" w:name="_Toc184723187"/>
    </w:p>
    <w:p w14:paraId="51046DB8">
      <w:pPr>
        <w:pStyle w:val="2"/>
        <w:keepNext w:val="0"/>
        <w:keepLines w:val="0"/>
        <w:snapToGrid w:val="0"/>
        <w:spacing w:before="0" w:after="0" w:line="360" w:lineRule="auto"/>
        <w:ind w:firstLine="426" w:firstLineChars="118"/>
        <w:jc w:val="center"/>
        <w:rPr>
          <w:rFonts w:ascii="Times New Roman"/>
          <w:sz w:val="36"/>
          <w:szCs w:val="28"/>
          <w:highlight w:val="none"/>
        </w:rPr>
      </w:pPr>
      <w:r>
        <w:rPr>
          <w:rFonts w:ascii="Times New Roman"/>
          <w:sz w:val="36"/>
          <w:szCs w:val="28"/>
          <w:highlight w:val="none"/>
        </w:rPr>
        <w:t>第一部分</w:t>
      </w:r>
      <w:bookmarkEnd w:id="4"/>
      <w:bookmarkEnd w:id="5"/>
      <w:bookmarkEnd w:id="6"/>
      <w:bookmarkEnd w:id="7"/>
      <w:bookmarkEnd w:id="8"/>
      <w:r>
        <w:rPr>
          <w:rFonts w:hint="eastAsia" w:ascii="Times New Roman"/>
          <w:sz w:val="36"/>
          <w:szCs w:val="28"/>
          <w:highlight w:val="none"/>
        </w:rPr>
        <w:t xml:space="preserve"> 遴选</w:t>
      </w:r>
      <w:bookmarkEnd w:id="0"/>
      <w:bookmarkEnd w:id="9"/>
      <w:bookmarkEnd w:id="10"/>
      <w:bookmarkEnd w:id="11"/>
      <w:r>
        <w:rPr>
          <w:rFonts w:hint="eastAsia" w:ascii="Times New Roman"/>
          <w:sz w:val="36"/>
          <w:szCs w:val="28"/>
          <w:highlight w:val="none"/>
        </w:rPr>
        <w:t>公告</w:t>
      </w:r>
      <w:bookmarkEnd w:id="12"/>
    </w:p>
    <w:p w14:paraId="6A0442DC">
      <w:pPr>
        <w:spacing w:line="360" w:lineRule="auto"/>
        <w:ind w:firstLine="480" w:firstLineChars="200"/>
        <w:rPr>
          <w:rFonts w:ascii="宋体" w:hAnsi="宋体" w:eastAsia="宋体" w:cs="宋体"/>
          <w:sz w:val="24"/>
          <w:szCs w:val="24"/>
          <w:highlight w:val="none"/>
        </w:rPr>
      </w:pPr>
      <w:bookmarkStart w:id="13" w:name="_Hlk169100961"/>
      <w:r>
        <w:rPr>
          <w:rFonts w:hint="eastAsia" w:ascii="宋体" w:hAnsi="宋体" w:eastAsia="宋体"/>
          <w:bCs/>
          <w:sz w:val="24"/>
          <w:szCs w:val="21"/>
          <w:highlight w:val="none"/>
        </w:rPr>
        <w:t>本院因业务开展的需要，将对</w:t>
      </w:r>
      <w:r>
        <w:rPr>
          <w:rFonts w:hint="eastAsia" w:ascii="宋体" w:hAnsi="宋体" w:eastAsia="宋体"/>
          <w:b/>
          <w:bCs/>
          <w:sz w:val="24"/>
          <w:szCs w:val="21"/>
          <w:highlight w:val="none"/>
          <w:lang w:eastAsia="zh-CN"/>
        </w:rPr>
        <w:t>开平市中医院2026-2028年度工程造价咨询服务供应商资格选取项目</w:t>
      </w:r>
      <w:r>
        <w:rPr>
          <w:rFonts w:ascii="宋体" w:hAnsi="宋体" w:eastAsia="宋体"/>
          <w:bCs/>
          <w:sz w:val="24"/>
          <w:szCs w:val="21"/>
          <w:highlight w:val="none"/>
        </w:rPr>
        <w:t>进行</w:t>
      </w:r>
      <w:r>
        <w:rPr>
          <w:rFonts w:hint="eastAsia" w:ascii="宋体" w:hAnsi="宋体" w:eastAsia="宋体"/>
          <w:b/>
          <w:sz w:val="24"/>
          <w:szCs w:val="21"/>
          <w:highlight w:val="none"/>
        </w:rPr>
        <w:t>院内遴选</w:t>
      </w:r>
      <w:r>
        <w:rPr>
          <w:rFonts w:ascii="宋体" w:hAnsi="宋体" w:eastAsia="宋体"/>
          <w:bCs/>
          <w:sz w:val="24"/>
          <w:szCs w:val="21"/>
          <w:highlight w:val="none"/>
        </w:rPr>
        <w:t>采购</w:t>
      </w:r>
      <w:r>
        <w:rPr>
          <w:rFonts w:hint="eastAsia" w:ascii="宋体" w:hAnsi="宋体" w:eastAsia="宋体"/>
          <w:bCs/>
          <w:sz w:val="24"/>
          <w:szCs w:val="21"/>
          <w:highlight w:val="none"/>
        </w:rPr>
        <w:t>，欢迎具备相应资质和符合资格条件的供应商参与遴选。相关事宜公告如下：</w:t>
      </w:r>
    </w:p>
    <w:p w14:paraId="53FE9386">
      <w:pPr>
        <w:numPr>
          <w:ilvl w:val="0"/>
          <w:numId w:val="2"/>
        </w:numPr>
        <w:spacing w:line="360" w:lineRule="auto"/>
        <w:outlineLvl w:val="1"/>
        <w:rPr>
          <w:rFonts w:ascii="宋体" w:hAnsi="宋体" w:eastAsia="宋体"/>
          <w:b/>
          <w:bCs/>
          <w:sz w:val="24"/>
          <w:szCs w:val="21"/>
          <w:highlight w:val="none"/>
        </w:rPr>
      </w:pPr>
      <w:bookmarkStart w:id="14" w:name="_Toc184723188"/>
      <w:r>
        <w:rPr>
          <w:rFonts w:hint="eastAsia" w:ascii="宋体" w:hAnsi="宋体" w:eastAsia="宋体"/>
          <w:b/>
          <w:bCs/>
          <w:sz w:val="24"/>
          <w:szCs w:val="21"/>
          <w:highlight w:val="none"/>
        </w:rPr>
        <w:t>项目基本情况</w:t>
      </w:r>
      <w:bookmarkEnd w:id="14"/>
    </w:p>
    <w:p w14:paraId="08309FBE">
      <w:pPr>
        <w:numPr>
          <w:ilvl w:val="0"/>
          <w:numId w:val="0"/>
        </w:numPr>
        <w:spacing w:line="360" w:lineRule="auto"/>
        <w:ind w:left="482"/>
        <w:rPr>
          <w:rFonts w:hint="eastAsia" w:ascii="宋体" w:hAnsi="宋体" w:eastAsia="宋体"/>
          <w:b/>
          <w:bCs/>
          <w:sz w:val="24"/>
          <w:szCs w:val="21"/>
          <w:highlight w:val="none"/>
          <w:u w:val="single"/>
          <w:lang w:eastAsia="zh-CN"/>
        </w:rPr>
      </w:pPr>
      <w:r>
        <w:rPr>
          <w:rFonts w:hint="eastAsia" w:ascii="宋体" w:hAnsi="宋体" w:eastAsia="宋体" w:cs="Times New Roman"/>
          <w:b/>
          <w:bCs/>
          <w:kern w:val="2"/>
          <w:sz w:val="24"/>
          <w:szCs w:val="21"/>
          <w:highlight w:val="none"/>
          <w:lang w:val="en-US" w:eastAsia="zh-CN" w:bidi="ar-SA"/>
        </w:rPr>
        <w:t>1、</w:t>
      </w:r>
      <w:r>
        <w:rPr>
          <w:rFonts w:hint="eastAsia" w:ascii="宋体" w:hAnsi="宋体" w:eastAsia="宋体"/>
          <w:b/>
          <w:bCs/>
          <w:sz w:val="24"/>
          <w:szCs w:val="21"/>
          <w:highlight w:val="none"/>
        </w:rPr>
        <w:t>采购项目名称：</w:t>
      </w:r>
      <w:r>
        <w:rPr>
          <w:rFonts w:hint="eastAsia" w:ascii="宋体" w:hAnsi="宋体" w:eastAsia="宋体"/>
          <w:b/>
          <w:bCs/>
          <w:sz w:val="24"/>
          <w:szCs w:val="21"/>
          <w:highlight w:val="none"/>
          <w:u w:val="single"/>
          <w:lang w:eastAsia="zh-CN"/>
        </w:rPr>
        <w:t>开平市中医院2026-2028年度工程造价咨询服务供应商资格选取项目</w:t>
      </w:r>
    </w:p>
    <w:p w14:paraId="6A9220DA">
      <w:pPr>
        <w:numPr>
          <w:ilvl w:val="-1"/>
          <w:numId w:val="0"/>
        </w:numPr>
        <w:spacing w:line="360" w:lineRule="auto"/>
        <w:ind w:left="0" w:firstLine="482" w:firstLineChars="200"/>
        <w:rPr>
          <w:rFonts w:hint="default" w:ascii="宋体" w:hAnsi="宋体" w:eastAsia="宋体"/>
          <w:b/>
          <w:bCs/>
          <w:color w:val="auto"/>
          <w:sz w:val="24"/>
          <w:szCs w:val="21"/>
          <w:highlight w:val="none"/>
          <w:lang w:val="en-US" w:eastAsia="zh-CN"/>
        </w:rPr>
      </w:pPr>
      <w:r>
        <w:rPr>
          <w:rFonts w:hint="eastAsia" w:ascii="宋体" w:hAnsi="宋体" w:eastAsia="宋体"/>
          <w:b/>
          <w:bCs/>
          <w:sz w:val="24"/>
          <w:szCs w:val="21"/>
          <w:highlight w:val="none"/>
        </w:rPr>
        <w:t>2、项目编号</w:t>
      </w:r>
      <w:r>
        <w:rPr>
          <w:rFonts w:hint="eastAsia" w:ascii="宋体" w:hAnsi="宋体" w:eastAsia="宋体"/>
          <w:b/>
          <w:bCs/>
          <w:color w:val="auto"/>
          <w:sz w:val="24"/>
          <w:szCs w:val="21"/>
          <w:highlight w:val="none"/>
        </w:rPr>
        <w:t>：</w:t>
      </w:r>
      <w:r>
        <w:rPr>
          <w:rFonts w:hint="eastAsia" w:ascii="宋体" w:hAnsi="宋体" w:eastAsia="宋体"/>
          <w:b/>
          <w:bCs/>
          <w:color w:val="auto"/>
          <w:sz w:val="24"/>
          <w:szCs w:val="21"/>
          <w:highlight w:val="none"/>
          <w:lang w:eastAsia="zh-CN"/>
        </w:rPr>
        <w:t>ZYYCG-202</w:t>
      </w:r>
      <w:r>
        <w:rPr>
          <w:rFonts w:hint="eastAsia" w:ascii="宋体" w:hAnsi="宋体" w:eastAsia="宋体"/>
          <w:b/>
          <w:bCs/>
          <w:color w:val="auto"/>
          <w:sz w:val="24"/>
          <w:szCs w:val="21"/>
          <w:highlight w:val="none"/>
          <w:lang w:val="en-US" w:eastAsia="zh-CN"/>
        </w:rPr>
        <w:t>6</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lang w:val="en-US" w:eastAsia="zh-CN"/>
        </w:rPr>
        <w:t>0104</w:t>
      </w:r>
    </w:p>
    <w:p w14:paraId="24EF0383">
      <w:pPr>
        <w:spacing w:line="360" w:lineRule="auto"/>
        <w:ind w:left="482"/>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3、采购项目预算金额：</w:t>
      </w:r>
      <w:r>
        <w:rPr>
          <w:rFonts w:hint="eastAsia" w:ascii="宋体" w:hAnsi="宋体" w:eastAsia="宋体"/>
          <w:b/>
          <w:bCs/>
          <w:color w:val="auto"/>
          <w:sz w:val="24"/>
          <w:szCs w:val="21"/>
          <w:highlight w:val="none"/>
          <w:u w:val="single"/>
          <w:lang w:val="en-US" w:eastAsia="zh-CN"/>
        </w:rPr>
        <w:t xml:space="preserve"> 0 </w:t>
      </w:r>
      <w:r>
        <w:rPr>
          <w:rFonts w:hint="eastAsia" w:ascii="宋体" w:hAnsi="宋体" w:eastAsia="宋体"/>
          <w:b/>
          <w:bCs/>
          <w:sz w:val="24"/>
          <w:szCs w:val="21"/>
          <w:highlight w:val="none"/>
        </w:rPr>
        <w:t>元</w:t>
      </w:r>
      <w:r>
        <w:rPr>
          <w:rFonts w:hint="eastAsia" w:ascii="宋体" w:hAnsi="宋体" w:eastAsia="宋体"/>
          <w:b/>
          <w:bCs/>
          <w:sz w:val="24"/>
          <w:szCs w:val="21"/>
          <w:highlight w:val="none"/>
          <w:lang w:eastAsia="zh-CN"/>
        </w:rPr>
        <w:t>。</w:t>
      </w:r>
    </w:p>
    <w:p w14:paraId="7CFD4D72">
      <w:pPr>
        <w:spacing w:line="360" w:lineRule="auto"/>
        <w:ind w:left="0" w:firstLine="482" w:firstLineChars="200"/>
        <w:rPr>
          <w:rFonts w:hint="eastAsia" w:ascii="宋体" w:hAnsi="宋体" w:eastAsia="宋体"/>
          <w:b/>
          <w:bCs/>
          <w:sz w:val="24"/>
          <w:szCs w:val="21"/>
          <w:highlight w:val="none"/>
          <w:u w:val="none"/>
        </w:rPr>
      </w:pPr>
      <w:r>
        <w:rPr>
          <w:rFonts w:hint="eastAsia" w:ascii="宋体" w:hAnsi="宋体" w:eastAsia="宋体"/>
          <w:b/>
          <w:bCs/>
          <w:sz w:val="24"/>
          <w:szCs w:val="21"/>
          <w:highlight w:val="none"/>
          <w:u w:val="none"/>
          <w:lang w:val="en-US" w:eastAsia="zh-CN"/>
        </w:rPr>
        <w:t>本项目仅为资格选取，具体服务费用以委托的工程项目造价计算为准</w:t>
      </w:r>
      <w:r>
        <w:rPr>
          <w:rFonts w:hint="eastAsia" w:ascii="宋体" w:hAnsi="宋体" w:eastAsia="宋体"/>
          <w:b/>
          <w:bCs/>
          <w:sz w:val="24"/>
          <w:szCs w:val="21"/>
          <w:highlight w:val="none"/>
          <w:u w:val="none"/>
        </w:rPr>
        <w:t>。</w:t>
      </w:r>
    </w:p>
    <w:p w14:paraId="0C1EB783">
      <w:pPr>
        <w:spacing w:line="360" w:lineRule="auto"/>
        <w:ind w:left="482"/>
        <w:rPr>
          <w:rFonts w:ascii="宋体" w:hAnsi="宋体" w:eastAsia="宋体"/>
          <w:b/>
          <w:bCs/>
          <w:sz w:val="24"/>
          <w:szCs w:val="21"/>
          <w:highlight w:val="none"/>
        </w:rPr>
      </w:pPr>
      <w:r>
        <w:rPr>
          <w:rFonts w:hint="eastAsia" w:ascii="宋体" w:hAnsi="宋体" w:eastAsia="宋体"/>
          <w:b/>
          <w:bCs/>
          <w:sz w:val="24"/>
          <w:szCs w:val="21"/>
          <w:highlight w:val="none"/>
        </w:rPr>
        <w:t>4、采购数量：</w:t>
      </w:r>
      <w:r>
        <w:rPr>
          <w:rFonts w:hint="eastAsia" w:ascii="宋体" w:hAnsi="宋体" w:eastAsia="宋体"/>
          <w:b/>
          <w:bCs/>
          <w:sz w:val="24"/>
          <w:szCs w:val="21"/>
          <w:highlight w:val="none"/>
          <w:u w:val="single"/>
        </w:rPr>
        <w:t xml:space="preserve"> 1 </w:t>
      </w:r>
      <w:r>
        <w:rPr>
          <w:rFonts w:hint="eastAsia" w:ascii="宋体" w:hAnsi="宋体" w:eastAsia="宋体"/>
          <w:b/>
          <w:bCs/>
          <w:sz w:val="24"/>
          <w:szCs w:val="21"/>
          <w:highlight w:val="none"/>
        </w:rPr>
        <w:t xml:space="preserve">项 </w:t>
      </w:r>
    </w:p>
    <w:p w14:paraId="7C779D24">
      <w:pPr>
        <w:spacing w:line="360" w:lineRule="auto"/>
        <w:ind w:left="482"/>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5、</w:t>
      </w:r>
      <w:r>
        <w:rPr>
          <w:rFonts w:hint="eastAsia" w:ascii="宋体" w:hAnsi="宋体" w:eastAsia="宋体"/>
          <w:b/>
          <w:bCs/>
          <w:sz w:val="24"/>
          <w:szCs w:val="21"/>
          <w:highlight w:val="none"/>
          <w:lang w:eastAsia="zh-CN"/>
        </w:rPr>
        <w:t>项目内容及需求：</w:t>
      </w:r>
    </w:p>
    <w:p w14:paraId="195C7D28">
      <w:pPr>
        <w:spacing w:line="360" w:lineRule="auto"/>
        <w:ind w:left="0" w:firstLine="480" w:firstLineChars="200"/>
        <w:rPr>
          <w:rFonts w:hint="default" w:ascii="宋体" w:hAnsi="宋体" w:eastAsia="宋体"/>
          <w:b w:val="0"/>
          <w:bCs w:val="0"/>
          <w:sz w:val="24"/>
          <w:szCs w:val="21"/>
          <w:highlight w:val="none"/>
          <w:u w:val="single"/>
          <w:lang w:val="en-US" w:eastAsia="zh-CN"/>
        </w:rPr>
      </w:pPr>
      <w:r>
        <w:rPr>
          <w:rFonts w:hint="eastAsia" w:ascii="宋体" w:hAnsi="宋体" w:eastAsia="宋体"/>
          <w:b w:val="0"/>
          <w:bCs w:val="0"/>
          <w:sz w:val="24"/>
          <w:szCs w:val="21"/>
          <w:highlight w:val="none"/>
          <w:u w:val="single"/>
          <w:lang w:val="en-US" w:eastAsia="zh-CN"/>
        </w:rPr>
        <w:t>主要内容为满足我院2026-2028年度工程项目需求，通过遴选确定合作的6家工程造价咨询服务供应商。供应商需为我院总投资400万元及以下的工程类项目，提供专业化的造价咨询服务，具体包括但不限于预算编制、预算审核、结算审核等工作；同时还需向我院提供关于工程造价信息的咨询服务，包括但不限于材料或工艺的造价信息及合理化建议。</w:t>
      </w:r>
    </w:p>
    <w:p w14:paraId="6A3314CF">
      <w:pPr>
        <w:spacing w:line="360" w:lineRule="auto"/>
        <w:ind w:firstLine="482" w:firstLineChars="200"/>
        <w:rPr>
          <w:rFonts w:hint="eastAsia" w:ascii="宋体" w:hAnsi="宋体" w:eastAsia="宋体"/>
          <w:b/>
          <w:bCs/>
          <w:sz w:val="24"/>
          <w:szCs w:val="21"/>
          <w:highlight w:val="none"/>
          <w:shd w:val="clear" w:color="auto" w:fill="auto"/>
          <w:lang w:val="en-US" w:eastAsia="zh-CN"/>
        </w:rPr>
      </w:pPr>
      <w:r>
        <w:rPr>
          <w:rFonts w:hint="eastAsia" w:ascii="宋体" w:hAnsi="宋体" w:eastAsia="宋体"/>
          <w:b/>
          <w:bCs/>
          <w:sz w:val="24"/>
          <w:szCs w:val="21"/>
          <w:highlight w:val="none"/>
          <w:shd w:val="clear" w:color="auto" w:fill="auto"/>
        </w:rPr>
        <w:t>6、</w:t>
      </w:r>
      <w:r>
        <w:rPr>
          <w:rFonts w:hint="eastAsia" w:ascii="宋体" w:hAnsi="宋体" w:eastAsia="宋体"/>
          <w:b/>
          <w:bCs/>
          <w:sz w:val="24"/>
          <w:szCs w:val="21"/>
          <w:highlight w:val="none"/>
          <w:shd w:val="clear" w:color="auto" w:fill="auto"/>
          <w:lang w:val="en-US" w:eastAsia="zh-CN"/>
        </w:rPr>
        <w:t>服务期限</w:t>
      </w:r>
      <w:r>
        <w:rPr>
          <w:rFonts w:hint="eastAsia" w:ascii="宋体" w:hAnsi="宋体" w:eastAsia="宋体"/>
          <w:b/>
          <w:bCs/>
          <w:sz w:val="24"/>
          <w:szCs w:val="21"/>
          <w:highlight w:val="none"/>
          <w:shd w:val="clear" w:color="auto" w:fill="auto"/>
          <w:lang w:eastAsia="zh-CN"/>
        </w:rPr>
        <w:t>：</w:t>
      </w:r>
      <w:r>
        <w:rPr>
          <w:rFonts w:hint="eastAsia" w:ascii="宋体" w:hAnsi="宋体" w:eastAsia="宋体"/>
          <w:b/>
          <w:bCs/>
          <w:sz w:val="24"/>
          <w:szCs w:val="21"/>
          <w:highlight w:val="none"/>
          <w:u w:val="single"/>
          <w:shd w:val="clear" w:color="auto" w:fill="auto"/>
          <w:lang w:val="en-US" w:eastAsia="zh-CN"/>
        </w:rPr>
        <w:t xml:space="preserve"> 3 </w:t>
      </w:r>
      <w:r>
        <w:rPr>
          <w:rFonts w:hint="eastAsia" w:ascii="宋体" w:hAnsi="宋体" w:eastAsia="宋体"/>
          <w:b/>
          <w:bCs/>
          <w:sz w:val="24"/>
          <w:szCs w:val="21"/>
          <w:highlight w:val="none"/>
          <w:shd w:val="clear" w:color="auto" w:fill="auto"/>
          <w:lang w:val="en-US" w:eastAsia="zh-CN"/>
        </w:rPr>
        <w:t>年，从协议签订生效之日起开始计算。</w:t>
      </w:r>
    </w:p>
    <w:p w14:paraId="5AC89F36">
      <w:pPr>
        <w:spacing w:line="360" w:lineRule="auto"/>
        <w:ind w:firstLine="480" w:firstLineChars="200"/>
        <w:rPr>
          <w:rFonts w:hint="eastAsia" w:eastAsia="仿宋_GB2312"/>
          <w:b w:val="0"/>
          <w:bCs w:val="0"/>
          <w:highlight w:val="none"/>
          <w:shd w:val="clear" w:color="auto" w:fill="auto"/>
          <w:lang w:eastAsia="zh-CN"/>
        </w:rPr>
      </w:pPr>
      <w:r>
        <w:rPr>
          <w:rFonts w:hint="eastAsia" w:ascii="宋体" w:hAnsi="宋体" w:eastAsia="宋体"/>
          <w:b w:val="0"/>
          <w:bCs w:val="0"/>
          <w:sz w:val="24"/>
          <w:szCs w:val="21"/>
          <w:highlight w:val="none"/>
          <w:shd w:val="clear" w:color="auto" w:fill="auto"/>
          <w:lang w:val="en-US" w:eastAsia="zh-CN"/>
        </w:rPr>
        <w:t>项目服务期限内，每12个月为一年度，项目服务协议采用“一年度一签”方式签订</w:t>
      </w:r>
      <w:r>
        <w:rPr>
          <w:rFonts w:hint="eastAsia" w:ascii="宋体" w:hAnsi="宋体" w:eastAsia="宋体"/>
          <w:b w:val="0"/>
          <w:bCs w:val="0"/>
          <w:sz w:val="24"/>
          <w:szCs w:val="21"/>
          <w:highlight w:val="none"/>
          <w:shd w:val="clear" w:color="auto" w:fill="auto"/>
          <w:lang w:eastAsia="zh-CN"/>
        </w:rPr>
        <w:t>。</w:t>
      </w:r>
      <w:r>
        <w:rPr>
          <w:rFonts w:hint="eastAsia" w:ascii="宋体" w:hAnsi="宋体" w:eastAsia="宋体"/>
          <w:b w:val="0"/>
          <w:bCs w:val="0"/>
          <w:sz w:val="24"/>
          <w:szCs w:val="21"/>
          <w:highlight w:val="none"/>
          <w:shd w:val="clear" w:color="auto" w:fill="auto"/>
          <w:lang w:val="en-US" w:eastAsia="zh-CN"/>
        </w:rPr>
        <w:t>中选</w:t>
      </w:r>
      <w:r>
        <w:rPr>
          <w:rFonts w:hint="eastAsia" w:ascii="宋体" w:hAnsi="宋体" w:eastAsia="宋体"/>
          <w:b w:val="0"/>
          <w:bCs w:val="0"/>
          <w:sz w:val="24"/>
          <w:szCs w:val="21"/>
          <w:highlight w:val="none"/>
          <w:shd w:val="clear" w:color="auto" w:fill="auto"/>
          <w:lang w:eastAsia="zh-CN"/>
        </w:rPr>
        <w:t>供应商在年度协议期内</w:t>
      </w:r>
      <w:r>
        <w:rPr>
          <w:rFonts w:hint="eastAsia" w:ascii="宋体" w:hAnsi="宋体" w:eastAsia="宋体"/>
          <w:b w:val="0"/>
          <w:bCs w:val="0"/>
          <w:sz w:val="24"/>
          <w:szCs w:val="21"/>
          <w:highlight w:val="none"/>
          <w:shd w:val="clear" w:color="auto" w:fill="auto"/>
          <w:lang w:val="en-US" w:eastAsia="zh-CN"/>
        </w:rPr>
        <w:t>考核合格</w:t>
      </w:r>
      <w:r>
        <w:rPr>
          <w:rFonts w:hint="eastAsia" w:ascii="宋体" w:hAnsi="宋体" w:eastAsia="宋体"/>
          <w:b w:val="0"/>
          <w:bCs w:val="0"/>
          <w:sz w:val="24"/>
          <w:szCs w:val="21"/>
          <w:highlight w:val="none"/>
          <w:shd w:val="clear" w:color="auto" w:fill="auto"/>
          <w:lang w:eastAsia="zh-CN"/>
        </w:rPr>
        <w:t>的，该年度协议到期后，可续签下一年协议；如有</w:t>
      </w:r>
      <w:r>
        <w:rPr>
          <w:rFonts w:hint="eastAsia" w:ascii="宋体" w:hAnsi="宋体" w:eastAsia="宋体"/>
          <w:b w:val="0"/>
          <w:bCs w:val="0"/>
          <w:sz w:val="24"/>
          <w:szCs w:val="21"/>
          <w:highlight w:val="none"/>
          <w:shd w:val="clear" w:color="auto" w:fill="auto"/>
          <w:lang w:val="en-US" w:eastAsia="zh-CN"/>
        </w:rPr>
        <w:t>中选</w:t>
      </w:r>
      <w:r>
        <w:rPr>
          <w:rFonts w:hint="eastAsia" w:ascii="宋体" w:hAnsi="宋体" w:eastAsia="宋体"/>
          <w:b w:val="0"/>
          <w:bCs w:val="0"/>
          <w:sz w:val="24"/>
          <w:szCs w:val="21"/>
          <w:highlight w:val="none"/>
          <w:shd w:val="clear" w:color="auto" w:fill="auto"/>
          <w:lang w:eastAsia="zh-CN"/>
        </w:rPr>
        <w:t>供应商在年度协议期内</w:t>
      </w:r>
      <w:r>
        <w:rPr>
          <w:rFonts w:hint="eastAsia" w:ascii="宋体" w:hAnsi="宋体" w:eastAsia="宋体"/>
          <w:b w:val="0"/>
          <w:bCs w:val="0"/>
          <w:sz w:val="24"/>
          <w:szCs w:val="21"/>
          <w:highlight w:val="none"/>
          <w:shd w:val="clear" w:color="auto" w:fill="auto"/>
          <w:lang w:val="en-US" w:eastAsia="zh-CN"/>
        </w:rPr>
        <w:t>考核不合格或</w:t>
      </w:r>
      <w:r>
        <w:rPr>
          <w:rFonts w:hint="eastAsia" w:ascii="宋体" w:hAnsi="宋体" w:eastAsia="宋体"/>
          <w:b w:val="0"/>
          <w:bCs w:val="0"/>
          <w:sz w:val="24"/>
          <w:szCs w:val="21"/>
          <w:highlight w:val="none"/>
          <w:shd w:val="clear" w:color="auto" w:fill="auto"/>
          <w:lang w:eastAsia="zh-CN"/>
        </w:rPr>
        <w:t>有重大违法记录的，我院有权终止协议，并可以从</w:t>
      </w:r>
      <w:r>
        <w:rPr>
          <w:rFonts w:hint="eastAsia" w:ascii="宋体" w:hAnsi="宋体" w:eastAsia="宋体"/>
          <w:b w:val="0"/>
          <w:bCs w:val="0"/>
          <w:sz w:val="24"/>
          <w:szCs w:val="21"/>
          <w:highlight w:val="none"/>
          <w:shd w:val="clear" w:color="auto" w:fill="auto"/>
          <w:lang w:val="en-US" w:eastAsia="zh-CN"/>
        </w:rPr>
        <w:t>中选</w:t>
      </w:r>
      <w:r>
        <w:rPr>
          <w:rFonts w:hint="eastAsia" w:ascii="宋体" w:hAnsi="宋体" w:eastAsia="宋体"/>
          <w:b w:val="0"/>
          <w:bCs w:val="0"/>
          <w:sz w:val="24"/>
          <w:szCs w:val="21"/>
          <w:highlight w:val="none"/>
          <w:shd w:val="clear" w:color="auto" w:fill="auto"/>
          <w:lang w:eastAsia="zh-CN"/>
        </w:rPr>
        <w:t>候选人中按排名顺序另行确定新的</w:t>
      </w:r>
      <w:r>
        <w:rPr>
          <w:rFonts w:hint="eastAsia" w:ascii="宋体" w:hAnsi="宋体" w:eastAsia="宋体"/>
          <w:b w:val="0"/>
          <w:bCs w:val="0"/>
          <w:sz w:val="24"/>
          <w:szCs w:val="21"/>
          <w:highlight w:val="none"/>
          <w:shd w:val="clear" w:color="auto" w:fill="auto"/>
          <w:lang w:val="en-US" w:eastAsia="zh-CN"/>
        </w:rPr>
        <w:t>中选</w:t>
      </w:r>
      <w:r>
        <w:rPr>
          <w:rFonts w:hint="eastAsia" w:ascii="宋体" w:hAnsi="宋体" w:eastAsia="宋体"/>
          <w:b w:val="0"/>
          <w:bCs w:val="0"/>
          <w:sz w:val="24"/>
          <w:szCs w:val="21"/>
          <w:highlight w:val="none"/>
          <w:shd w:val="clear" w:color="auto" w:fill="auto"/>
          <w:lang w:eastAsia="zh-CN"/>
        </w:rPr>
        <w:t>供应商替补</w:t>
      </w:r>
      <w:r>
        <w:rPr>
          <w:rFonts w:hint="eastAsia" w:ascii="宋体" w:hAnsi="宋体" w:eastAsia="宋体"/>
          <w:b w:val="0"/>
          <w:bCs w:val="0"/>
          <w:sz w:val="24"/>
          <w:szCs w:val="21"/>
          <w:highlight w:val="none"/>
          <w:shd w:val="clear" w:color="auto" w:fill="auto"/>
          <w:lang w:val="en-US" w:eastAsia="zh-CN"/>
        </w:rPr>
        <w:t>或公开遴选补充</w:t>
      </w:r>
      <w:r>
        <w:rPr>
          <w:rFonts w:hint="eastAsia" w:ascii="宋体" w:hAnsi="宋体" w:eastAsia="宋体"/>
          <w:b w:val="0"/>
          <w:bCs w:val="0"/>
          <w:sz w:val="24"/>
          <w:szCs w:val="21"/>
          <w:highlight w:val="none"/>
          <w:shd w:val="clear" w:color="auto" w:fill="auto"/>
          <w:lang w:eastAsia="zh-CN"/>
        </w:rPr>
        <w:t>。</w:t>
      </w:r>
      <w:r>
        <w:rPr>
          <w:rFonts w:hint="eastAsia" w:ascii="宋体" w:hAnsi="宋体" w:eastAsia="宋体"/>
          <w:b w:val="0"/>
          <w:bCs w:val="0"/>
          <w:sz w:val="24"/>
          <w:szCs w:val="21"/>
          <w:highlight w:val="none"/>
          <w:shd w:val="clear" w:color="auto" w:fill="auto"/>
          <w:lang w:val="en-US" w:eastAsia="zh-CN"/>
        </w:rPr>
        <w:t xml:space="preserve"> </w:t>
      </w:r>
    </w:p>
    <w:p w14:paraId="51F74233">
      <w:pPr>
        <w:spacing w:line="360" w:lineRule="auto"/>
        <w:ind w:firstLine="482" w:firstLineChars="200"/>
        <w:rPr>
          <w:rFonts w:ascii="宋体" w:hAnsi="宋体" w:eastAsia="宋体"/>
          <w:b w:val="0"/>
          <w:bCs w:val="0"/>
          <w:sz w:val="24"/>
          <w:szCs w:val="21"/>
          <w:highlight w:val="none"/>
        </w:rPr>
      </w:pPr>
      <w:r>
        <w:rPr>
          <w:rFonts w:hint="eastAsia" w:ascii="宋体" w:hAnsi="宋体" w:eastAsia="宋体"/>
          <w:b/>
          <w:bCs/>
          <w:sz w:val="24"/>
          <w:szCs w:val="21"/>
          <w:highlight w:val="none"/>
        </w:rPr>
        <w:t>7、质量要求：</w:t>
      </w:r>
      <w:r>
        <w:rPr>
          <w:rFonts w:hint="eastAsia" w:ascii="宋体" w:hAnsi="宋体" w:eastAsia="宋体"/>
          <w:b w:val="0"/>
          <w:bCs w:val="0"/>
          <w:sz w:val="24"/>
          <w:szCs w:val="21"/>
          <w:highlight w:val="none"/>
        </w:rPr>
        <w:t>符合国家及行业现行有关规范和标准。</w:t>
      </w:r>
    </w:p>
    <w:bookmarkEnd w:id="13"/>
    <w:p w14:paraId="1248C79C">
      <w:pPr>
        <w:numPr>
          <w:ilvl w:val="0"/>
          <w:numId w:val="2"/>
        </w:numPr>
        <w:spacing w:line="360" w:lineRule="auto"/>
        <w:outlineLvl w:val="1"/>
        <w:rPr>
          <w:rFonts w:eastAsia="宋体"/>
          <w:b/>
          <w:bCs/>
          <w:sz w:val="24"/>
          <w:szCs w:val="21"/>
          <w:highlight w:val="none"/>
        </w:rPr>
      </w:pPr>
      <w:bookmarkStart w:id="15" w:name="_Toc184723189"/>
      <w:r>
        <w:rPr>
          <w:rFonts w:hint="eastAsia" w:eastAsia="宋体"/>
          <w:b/>
          <w:bCs/>
          <w:sz w:val="24"/>
          <w:szCs w:val="21"/>
          <w:highlight w:val="none"/>
        </w:rPr>
        <w:t>供应商资格条件</w:t>
      </w:r>
      <w:bookmarkEnd w:id="15"/>
    </w:p>
    <w:p w14:paraId="42264312">
      <w:pPr>
        <w:spacing w:line="360" w:lineRule="auto"/>
        <w:ind w:firstLine="420"/>
        <w:outlineLvl w:val="1"/>
        <w:rPr>
          <w:rFonts w:eastAsia="宋体"/>
          <w:bCs/>
          <w:sz w:val="24"/>
          <w:szCs w:val="21"/>
          <w:highlight w:val="none"/>
        </w:rPr>
      </w:pPr>
      <w:bookmarkStart w:id="16" w:name="_Toc184723190"/>
      <w:r>
        <w:rPr>
          <w:rFonts w:hint="eastAsia" w:eastAsia="宋体"/>
          <w:bCs/>
          <w:sz w:val="24"/>
          <w:szCs w:val="21"/>
          <w:highlight w:val="none"/>
        </w:rPr>
        <w:t>供应商必须满足以下资格要求中的所有条款，并按照相关规定递交资格证明文件。</w:t>
      </w:r>
      <w:bookmarkEnd w:id="16"/>
    </w:p>
    <w:p w14:paraId="2FFFF259">
      <w:pPr>
        <w:spacing w:line="360" w:lineRule="auto"/>
        <w:ind w:firstLine="420"/>
        <w:outlineLvl w:val="1"/>
        <w:rPr>
          <w:rFonts w:hint="eastAsia" w:eastAsia="宋体"/>
          <w:bCs/>
          <w:sz w:val="24"/>
          <w:szCs w:val="21"/>
          <w:highlight w:val="none"/>
          <w:lang w:val="en-US" w:eastAsia="zh-CN"/>
        </w:rPr>
      </w:pPr>
      <w:bookmarkStart w:id="17" w:name="_Toc184723191"/>
      <w:r>
        <w:rPr>
          <w:rFonts w:hint="eastAsia" w:eastAsia="宋体"/>
          <w:bCs/>
          <w:sz w:val="24"/>
          <w:szCs w:val="21"/>
          <w:highlight w:val="none"/>
        </w:rPr>
        <w:t>1、</w:t>
      </w:r>
      <w:r>
        <w:rPr>
          <w:rFonts w:hint="eastAsia" w:ascii="宋体" w:hAnsi="宋体" w:eastAsia="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bookmarkEnd w:id="17"/>
    </w:p>
    <w:p w14:paraId="2BD736E2">
      <w:pPr>
        <w:spacing w:line="360" w:lineRule="auto"/>
        <w:ind w:firstLine="420" w:firstLineChars="0"/>
        <w:outlineLvl w:val="1"/>
        <w:rPr>
          <w:rFonts w:hint="eastAsia"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2、具有履行协议所必需的设备和专业技术能力，具有不少于两名注册造价工程师，其中一名须为一级注册造价工程师。填报设备及专业技术能力情况或提供承诺函（格式自拟），提供上述人员证书复印件及响应截止日前近三个月内任意一个月遴选响应人为上述人员购买社保的社保凭证复印件并加盖遴选响应人单位公章（已达到退休年龄的，则可提供养老保险待遇领取情况资料或《退休证》和单位的返聘证明）。</w:t>
      </w:r>
    </w:p>
    <w:p w14:paraId="5C71FBF1">
      <w:pPr>
        <w:spacing w:line="360" w:lineRule="auto"/>
        <w:ind w:firstLine="420" w:firstLineChars="0"/>
        <w:outlineLvl w:val="1"/>
        <w:rPr>
          <w:rFonts w:hint="eastAsia" w:ascii="宋体" w:hAnsi="宋体" w:eastAsia="宋体"/>
          <w:sz w:val="24"/>
          <w:szCs w:val="21"/>
          <w:highlight w:val="none"/>
        </w:rPr>
      </w:pPr>
      <w:r>
        <w:rPr>
          <w:rFonts w:hint="eastAsia" w:eastAsia="宋体"/>
          <w:bCs/>
          <w:color w:val="auto"/>
          <w:sz w:val="24"/>
          <w:szCs w:val="21"/>
          <w:highlight w:val="none"/>
          <w:shd w:val="clear" w:color="auto" w:fill="auto"/>
          <w:lang w:val="en-US" w:eastAsia="zh-CN"/>
        </w:rPr>
        <w:t>3、进驻广东省网上中介服务超市。（https://ygp.gdzwfw.gov.cn/zjfwcs/gd-zjcs-pub/home→中介服务机构→中介详情截图（须显示响应人全称及工程造价咨询标签））</w:t>
      </w:r>
      <w:r>
        <w:rPr>
          <w:rFonts w:hint="eastAsia" w:ascii="宋体" w:hAnsi="宋体" w:eastAsia="宋体"/>
          <w:sz w:val="24"/>
          <w:szCs w:val="21"/>
          <w:highlight w:val="none"/>
        </w:rPr>
        <w:t>（加盖公章）</w:t>
      </w:r>
    </w:p>
    <w:p w14:paraId="558C8980">
      <w:pPr>
        <w:spacing w:line="360" w:lineRule="auto"/>
        <w:ind w:firstLine="420" w:firstLineChars="0"/>
        <w:outlineLvl w:val="1"/>
        <w:rPr>
          <w:rFonts w:hint="eastAsia" w:eastAsia="宋体"/>
          <w:bCs/>
          <w:sz w:val="24"/>
          <w:szCs w:val="21"/>
          <w:highlight w:val="none"/>
          <w:lang w:val="en-US" w:eastAsia="zh-CN"/>
        </w:rPr>
      </w:pPr>
      <w:bookmarkStart w:id="18" w:name="_Toc184723195"/>
      <w:r>
        <w:rPr>
          <w:rFonts w:hint="eastAsia" w:eastAsia="宋体"/>
          <w:bCs/>
          <w:sz w:val="24"/>
          <w:szCs w:val="21"/>
          <w:highlight w:val="none"/>
          <w:lang w:val="en-US" w:eastAsia="zh-CN"/>
        </w:rPr>
        <w:t>4、具有良好的商业信誉和完善的售后服务体系，提供信誉良好承诺函。</w:t>
      </w:r>
      <w:bookmarkEnd w:id="18"/>
    </w:p>
    <w:p w14:paraId="02DD34F9">
      <w:pPr>
        <w:spacing w:line="360" w:lineRule="auto"/>
        <w:ind w:firstLine="424" w:firstLineChars="177"/>
        <w:outlineLvl w:val="1"/>
        <w:rPr>
          <w:rFonts w:eastAsia="宋体"/>
          <w:bCs/>
          <w:sz w:val="24"/>
          <w:szCs w:val="21"/>
          <w:highlight w:val="none"/>
        </w:rPr>
      </w:pPr>
      <w:bookmarkStart w:id="19" w:name="_Toc184723196"/>
      <w:r>
        <w:rPr>
          <w:rFonts w:hint="eastAsia" w:eastAsia="宋体"/>
          <w:bCs/>
          <w:sz w:val="24"/>
          <w:szCs w:val="21"/>
          <w:highlight w:val="none"/>
          <w:lang w:val="en-US" w:eastAsia="zh-CN"/>
        </w:rPr>
        <w:t>5</w:t>
      </w:r>
      <w:r>
        <w:rPr>
          <w:rFonts w:hint="eastAsia" w:eastAsia="宋体"/>
          <w:bCs/>
          <w:sz w:val="24"/>
          <w:szCs w:val="21"/>
          <w:highlight w:val="none"/>
        </w:rPr>
        <w:t>、不得有商业贿赂和不正当欺诈行为。如遴选响应人被证实有以上行为，将被视为不合格。</w:t>
      </w:r>
      <w:bookmarkEnd w:id="19"/>
    </w:p>
    <w:p w14:paraId="0A2CD3B2">
      <w:pPr>
        <w:spacing w:line="360" w:lineRule="auto"/>
        <w:ind w:firstLine="424" w:firstLineChars="177"/>
        <w:outlineLvl w:val="1"/>
        <w:rPr>
          <w:rFonts w:eastAsia="宋体"/>
          <w:bCs/>
          <w:sz w:val="24"/>
          <w:szCs w:val="21"/>
          <w:highlight w:val="none"/>
        </w:rPr>
      </w:pPr>
      <w:bookmarkStart w:id="20" w:name="_Toc184723197"/>
      <w:r>
        <w:rPr>
          <w:rFonts w:hint="eastAsia" w:eastAsia="宋体"/>
          <w:bCs/>
          <w:sz w:val="24"/>
          <w:szCs w:val="21"/>
          <w:highlight w:val="none"/>
          <w:lang w:val="en-US" w:eastAsia="zh-CN"/>
        </w:rPr>
        <w:t>6</w:t>
      </w:r>
      <w:r>
        <w:rPr>
          <w:rFonts w:hint="eastAsia" w:eastAsia="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bookmarkEnd w:id="20"/>
    </w:p>
    <w:p w14:paraId="0F4C6FDA">
      <w:pPr>
        <w:spacing w:line="360" w:lineRule="auto"/>
        <w:ind w:firstLine="424" w:firstLineChars="177"/>
        <w:outlineLvl w:val="1"/>
        <w:rPr>
          <w:rFonts w:eastAsia="宋体"/>
          <w:bCs/>
          <w:sz w:val="24"/>
          <w:szCs w:val="21"/>
          <w:highlight w:val="none"/>
        </w:rPr>
      </w:pPr>
      <w:bookmarkStart w:id="21" w:name="_Toc184723198"/>
      <w:r>
        <w:rPr>
          <w:rFonts w:hint="eastAsia" w:eastAsia="宋体"/>
          <w:bCs/>
          <w:sz w:val="24"/>
          <w:szCs w:val="21"/>
          <w:highlight w:val="none"/>
          <w:lang w:val="en-US" w:eastAsia="zh-CN"/>
        </w:rPr>
        <w:t>7</w:t>
      </w:r>
      <w:r>
        <w:rPr>
          <w:rFonts w:hint="eastAsia" w:eastAsia="宋体"/>
          <w:bCs/>
          <w:sz w:val="24"/>
          <w:szCs w:val="21"/>
          <w:highlight w:val="none"/>
        </w:rPr>
        <w:t>、如遴选响应人被政府有关部门通报列入黑名单的，禁止参加本项目遴选响应。</w:t>
      </w:r>
      <w:bookmarkEnd w:id="21"/>
    </w:p>
    <w:p w14:paraId="17DBCC1F">
      <w:pPr>
        <w:spacing w:line="360" w:lineRule="auto"/>
        <w:ind w:firstLine="424" w:firstLineChars="177"/>
        <w:outlineLvl w:val="1"/>
        <w:rPr>
          <w:rFonts w:eastAsia="宋体"/>
          <w:bCs/>
          <w:sz w:val="24"/>
          <w:szCs w:val="21"/>
          <w:highlight w:val="none"/>
        </w:rPr>
      </w:pPr>
      <w:bookmarkStart w:id="22" w:name="_Toc184723199"/>
      <w:r>
        <w:rPr>
          <w:rFonts w:hint="eastAsia" w:eastAsia="宋体"/>
          <w:bCs/>
          <w:sz w:val="24"/>
          <w:szCs w:val="21"/>
          <w:highlight w:val="none"/>
          <w:lang w:val="en-US" w:eastAsia="zh-CN"/>
        </w:rPr>
        <w:t>8</w:t>
      </w:r>
      <w:r>
        <w:rPr>
          <w:rFonts w:hint="eastAsia" w:eastAsia="宋体"/>
          <w:bCs/>
          <w:sz w:val="24"/>
          <w:szCs w:val="21"/>
          <w:highlight w:val="none"/>
        </w:rPr>
        <w:t>、单位负责人为同一人或者存在控股、管理关系的不同单位，不得同时参加同一项目的遴选响应。</w:t>
      </w:r>
      <w:bookmarkEnd w:id="22"/>
    </w:p>
    <w:p w14:paraId="410FDD6E">
      <w:pPr>
        <w:spacing w:line="360" w:lineRule="auto"/>
        <w:ind w:firstLine="424" w:firstLineChars="177"/>
        <w:outlineLvl w:val="1"/>
        <w:rPr>
          <w:rFonts w:eastAsia="宋体"/>
          <w:bCs/>
          <w:sz w:val="24"/>
          <w:szCs w:val="21"/>
          <w:highlight w:val="none"/>
        </w:rPr>
      </w:pPr>
      <w:bookmarkStart w:id="23" w:name="_Toc184723200"/>
      <w:r>
        <w:rPr>
          <w:rFonts w:hint="eastAsia" w:eastAsia="宋体"/>
          <w:bCs/>
          <w:sz w:val="24"/>
          <w:szCs w:val="21"/>
          <w:highlight w:val="none"/>
          <w:lang w:val="en-US" w:eastAsia="zh-CN"/>
        </w:rPr>
        <w:t>9</w:t>
      </w:r>
      <w:r>
        <w:rPr>
          <w:rFonts w:hint="eastAsia" w:eastAsia="宋体"/>
          <w:bCs/>
          <w:sz w:val="24"/>
          <w:szCs w:val="21"/>
          <w:highlight w:val="none"/>
        </w:rPr>
        <w:t>、遴选响应人经营行为必须符合国家法律、法规和有关规定。</w:t>
      </w:r>
      <w:bookmarkEnd w:id="23"/>
    </w:p>
    <w:p w14:paraId="74815291">
      <w:pPr>
        <w:spacing w:line="360" w:lineRule="auto"/>
        <w:ind w:firstLine="424" w:firstLineChars="177"/>
        <w:outlineLvl w:val="1"/>
        <w:rPr>
          <w:rFonts w:eastAsia="宋体"/>
          <w:bCs/>
          <w:sz w:val="24"/>
          <w:szCs w:val="21"/>
          <w:highlight w:val="none"/>
        </w:rPr>
      </w:pPr>
      <w:bookmarkStart w:id="24" w:name="_Toc184723201"/>
      <w:r>
        <w:rPr>
          <w:rFonts w:hint="eastAsia" w:eastAsia="宋体"/>
          <w:bCs/>
          <w:sz w:val="24"/>
          <w:szCs w:val="21"/>
          <w:highlight w:val="none"/>
          <w:lang w:val="en-US" w:eastAsia="zh-CN"/>
        </w:rPr>
        <w:t>10</w:t>
      </w:r>
      <w:r>
        <w:rPr>
          <w:rFonts w:hint="eastAsia" w:eastAsia="宋体"/>
          <w:bCs/>
          <w:sz w:val="24"/>
          <w:szCs w:val="21"/>
          <w:highlight w:val="none"/>
        </w:rPr>
        <w:t>、本次遴选不接受联合体遴选响应。</w:t>
      </w:r>
      <w:bookmarkEnd w:id="24"/>
    </w:p>
    <w:p w14:paraId="7591B456">
      <w:pPr>
        <w:spacing w:line="360" w:lineRule="auto"/>
        <w:ind w:firstLine="424" w:firstLineChars="177"/>
        <w:outlineLvl w:val="1"/>
        <w:rPr>
          <w:rFonts w:eastAsia="宋体"/>
          <w:bCs/>
          <w:sz w:val="24"/>
          <w:szCs w:val="21"/>
          <w:highlight w:val="none"/>
        </w:rPr>
      </w:pPr>
      <w:bookmarkStart w:id="25" w:name="_Toc184723202"/>
      <w:r>
        <w:rPr>
          <w:rFonts w:hint="eastAsia" w:eastAsia="宋体"/>
          <w:bCs/>
          <w:sz w:val="24"/>
          <w:szCs w:val="21"/>
          <w:highlight w:val="none"/>
        </w:rPr>
        <w:t>1</w:t>
      </w:r>
      <w:r>
        <w:rPr>
          <w:rFonts w:hint="eastAsia" w:eastAsia="宋体"/>
          <w:bCs/>
          <w:sz w:val="24"/>
          <w:szCs w:val="21"/>
          <w:highlight w:val="none"/>
          <w:lang w:val="en-US" w:eastAsia="zh-CN"/>
        </w:rPr>
        <w:t>1</w:t>
      </w:r>
      <w:r>
        <w:rPr>
          <w:rFonts w:hint="eastAsia" w:eastAsia="宋体"/>
          <w:bCs/>
          <w:sz w:val="24"/>
          <w:szCs w:val="21"/>
          <w:highlight w:val="none"/>
        </w:rPr>
        <w:t>、本次遴选未得到采购人允许，不得转包、分包，否则取消其响应、成交资格，并赔偿采购人全部损失。</w:t>
      </w:r>
      <w:bookmarkEnd w:id="25"/>
    </w:p>
    <w:p w14:paraId="5638ED72">
      <w:pPr>
        <w:spacing w:line="360" w:lineRule="auto"/>
        <w:ind w:firstLine="426" w:firstLineChars="177"/>
        <w:outlineLvl w:val="1"/>
        <w:rPr>
          <w:rFonts w:eastAsia="宋体"/>
          <w:b/>
          <w:bCs/>
          <w:sz w:val="24"/>
          <w:szCs w:val="21"/>
          <w:highlight w:val="none"/>
        </w:rPr>
      </w:pPr>
      <w:bookmarkStart w:id="26" w:name="_Toc184723203"/>
      <w:r>
        <w:rPr>
          <w:rFonts w:hint="eastAsia" w:eastAsia="宋体"/>
          <w:b/>
          <w:bCs/>
          <w:sz w:val="24"/>
          <w:szCs w:val="21"/>
          <w:highlight w:val="none"/>
        </w:rPr>
        <w:t>三．遴选响应资料</w:t>
      </w:r>
      <w:bookmarkEnd w:id="26"/>
    </w:p>
    <w:p w14:paraId="344FD54B">
      <w:pPr>
        <w:spacing w:line="360" w:lineRule="auto"/>
        <w:ind w:firstLine="424" w:firstLineChars="177"/>
        <w:outlineLvl w:val="1"/>
        <w:rPr>
          <w:rFonts w:eastAsia="宋体"/>
          <w:bCs/>
          <w:sz w:val="24"/>
          <w:szCs w:val="21"/>
          <w:highlight w:val="none"/>
        </w:rPr>
      </w:pPr>
      <w:bookmarkStart w:id="27" w:name="_Toc184723204"/>
      <w:r>
        <w:rPr>
          <w:rFonts w:hint="eastAsia" w:eastAsia="宋体"/>
          <w:bCs/>
          <w:sz w:val="24"/>
          <w:szCs w:val="21"/>
          <w:highlight w:val="none"/>
        </w:rPr>
        <w:t>1、报名资料</w:t>
      </w:r>
    </w:p>
    <w:p w14:paraId="219C2E31">
      <w:pPr>
        <w:spacing w:line="360" w:lineRule="auto"/>
        <w:ind w:firstLine="424" w:firstLineChars="177"/>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rPr>
        <w:t>（1）项目报名表；</w:t>
      </w:r>
      <w:bookmarkEnd w:id="27"/>
    </w:p>
    <w:p w14:paraId="032997E6">
      <w:pPr>
        <w:spacing w:line="360" w:lineRule="auto"/>
        <w:ind w:firstLine="424" w:firstLineChars="177"/>
        <w:outlineLvl w:val="1"/>
        <w:rPr>
          <w:rFonts w:hint="eastAsia" w:ascii="宋体" w:hAnsi="宋体" w:eastAsia="宋体" w:cs="宋体"/>
          <w:sz w:val="24"/>
          <w:szCs w:val="21"/>
          <w:highlight w:val="none"/>
        </w:rPr>
      </w:pPr>
      <w:r>
        <w:rPr>
          <w:rFonts w:hint="eastAsia" w:ascii="宋体" w:hAnsi="宋体" w:eastAsia="宋体" w:cs="宋体"/>
          <w:bCs/>
          <w:sz w:val="24"/>
          <w:szCs w:val="21"/>
          <w:highlight w:val="none"/>
        </w:rPr>
        <w:t>（2）</w:t>
      </w:r>
      <w:r>
        <w:rPr>
          <w:rFonts w:hint="eastAsia" w:ascii="宋体" w:hAnsi="宋体" w:eastAsia="宋体" w:cs="宋体"/>
          <w:sz w:val="24"/>
          <w:szCs w:val="21"/>
          <w:highlight w:val="none"/>
        </w:rPr>
        <w:t>法定代表人身份证明文件（法定代表人报名）/法定代表人授权书（委托代理人报名）；</w:t>
      </w:r>
    </w:p>
    <w:p w14:paraId="04A5A88C">
      <w:pPr>
        <w:spacing w:line="360" w:lineRule="auto"/>
        <w:ind w:firstLine="424" w:firstLineChars="177"/>
        <w:outlineLvl w:val="1"/>
        <w:rPr>
          <w:rFonts w:eastAsia="宋体"/>
          <w:bCs/>
          <w:sz w:val="24"/>
          <w:szCs w:val="21"/>
          <w:highlight w:val="none"/>
        </w:rPr>
      </w:pPr>
      <w:r>
        <w:rPr>
          <w:rFonts w:hint="eastAsia" w:ascii="宋体" w:hAnsi="宋体" w:eastAsia="宋体" w:cs="宋体"/>
          <w:sz w:val="24"/>
          <w:szCs w:val="21"/>
          <w:highlight w:val="none"/>
        </w:rPr>
        <w:t>（3）营业执照复印件。</w:t>
      </w:r>
    </w:p>
    <w:p w14:paraId="6CF11C10">
      <w:pPr>
        <w:spacing w:line="360" w:lineRule="auto"/>
        <w:ind w:firstLine="424" w:firstLineChars="177"/>
        <w:outlineLvl w:val="1"/>
        <w:rPr>
          <w:rFonts w:eastAsia="宋体"/>
          <w:bCs/>
          <w:sz w:val="24"/>
          <w:szCs w:val="21"/>
          <w:highlight w:val="none"/>
        </w:rPr>
      </w:pPr>
      <w:bookmarkStart w:id="28" w:name="_Toc184723205"/>
      <w:r>
        <w:rPr>
          <w:rFonts w:hint="eastAsia" w:eastAsia="宋体"/>
          <w:bCs/>
          <w:sz w:val="24"/>
          <w:szCs w:val="21"/>
          <w:highlight w:val="none"/>
        </w:rPr>
        <w:t>2、遴选响应文件</w:t>
      </w:r>
    </w:p>
    <w:p w14:paraId="05ADD9B2">
      <w:pPr>
        <w:spacing w:line="360" w:lineRule="auto"/>
        <w:ind w:firstLine="424" w:firstLineChars="177"/>
        <w:outlineLvl w:val="1"/>
        <w:rPr>
          <w:rFonts w:eastAsia="宋体"/>
          <w:bCs/>
          <w:sz w:val="24"/>
          <w:szCs w:val="21"/>
          <w:highlight w:val="none"/>
        </w:rPr>
      </w:pPr>
      <w:r>
        <w:rPr>
          <w:rFonts w:hint="eastAsia" w:eastAsia="宋体"/>
          <w:bCs/>
          <w:sz w:val="24"/>
          <w:szCs w:val="21"/>
          <w:highlight w:val="none"/>
        </w:rPr>
        <w:t>遴选响应文件（一正四副）, 正本单独密封，所有副本可一起密封，所有密封封皮上注明产品名称及遴选响应人名称，并加盖骑缝章。</w:t>
      </w:r>
      <w:bookmarkEnd w:id="28"/>
    </w:p>
    <w:p w14:paraId="6C5C33E9">
      <w:pPr>
        <w:spacing w:line="360" w:lineRule="auto"/>
        <w:ind w:firstLine="424" w:firstLineChars="177"/>
        <w:outlineLvl w:val="1"/>
        <w:rPr>
          <w:rFonts w:eastAsia="宋体"/>
          <w:bCs/>
          <w:sz w:val="24"/>
          <w:szCs w:val="21"/>
          <w:highlight w:val="none"/>
        </w:rPr>
      </w:pPr>
      <w:bookmarkStart w:id="29" w:name="_Toc184723206"/>
      <w:r>
        <w:rPr>
          <w:rFonts w:hint="eastAsia" w:eastAsia="宋体"/>
          <w:bCs/>
          <w:sz w:val="24"/>
          <w:szCs w:val="21"/>
          <w:highlight w:val="none"/>
        </w:rPr>
        <w:t>以上资料准备完整的供应商方可参加，遴选响应文件和报名表获取方式：本页面底部下载。</w:t>
      </w:r>
      <w:bookmarkEnd w:id="29"/>
    </w:p>
    <w:p w14:paraId="79B5E236">
      <w:pPr>
        <w:spacing w:line="360" w:lineRule="auto"/>
        <w:ind w:firstLine="426" w:firstLineChars="177"/>
        <w:outlineLvl w:val="1"/>
        <w:rPr>
          <w:rFonts w:eastAsia="宋体"/>
          <w:b/>
          <w:bCs/>
          <w:color w:val="auto"/>
          <w:sz w:val="24"/>
          <w:szCs w:val="21"/>
          <w:highlight w:val="none"/>
        </w:rPr>
      </w:pPr>
      <w:bookmarkStart w:id="30" w:name="_Toc184723207"/>
      <w:r>
        <w:rPr>
          <w:rFonts w:hint="eastAsia" w:eastAsia="宋体"/>
          <w:b/>
          <w:bCs/>
          <w:color w:val="auto"/>
          <w:sz w:val="24"/>
          <w:szCs w:val="21"/>
          <w:highlight w:val="none"/>
        </w:rPr>
        <w:t>四、</w:t>
      </w:r>
      <w:r>
        <w:rPr>
          <w:rFonts w:hint="eastAsia" w:eastAsia="宋体"/>
          <w:b/>
          <w:bCs/>
          <w:color w:val="auto"/>
          <w:sz w:val="24"/>
          <w:szCs w:val="21"/>
          <w:highlight w:val="none"/>
          <w:lang w:val="en-US" w:eastAsia="zh-CN"/>
        </w:rPr>
        <w:t>报名</w:t>
      </w:r>
      <w:r>
        <w:rPr>
          <w:rFonts w:hint="eastAsia" w:eastAsia="宋体"/>
          <w:b/>
          <w:bCs/>
          <w:color w:val="auto"/>
          <w:sz w:val="24"/>
          <w:szCs w:val="21"/>
          <w:highlight w:val="none"/>
        </w:rPr>
        <w:t>、资料递交时间、地点、评审办法：</w:t>
      </w:r>
      <w:bookmarkEnd w:id="30"/>
    </w:p>
    <w:p w14:paraId="6C1C65F5">
      <w:pPr>
        <w:spacing w:line="360" w:lineRule="auto"/>
        <w:ind w:firstLine="424" w:firstLineChars="177"/>
        <w:outlineLvl w:val="1"/>
        <w:rPr>
          <w:rFonts w:eastAsia="宋体"/>
          <w:bCs/>
          <w:color w:val="auto"/>
          <w:sz w:val="24"/>
          <w:szCs w:val="21"/>
          <w:highlight w:val="none"/>
        </w:rPr>
      </w:pPr>
      <w:bookmarkStart w:id="31" w:name="_Toc184723208"/>
      <w:r>
        <w:rPr>
          <w:rFonts w:hint="eastAsia" w:eastAsia="宋体"/>
          <w:bCs/>
          <w:color w:val="auto"/>
          <w:sz w:val="24"/>
          <w:szCs w:val="21"/>
          <w:highlight w:val="none"/>
        </w:rPr>
        <w:t>1、报名时间：202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1</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23</w:t>
      </w:r>
      <w:r>
        <w:rPr>
          <w:rFonts w:hint="eastAsia" w:eastAsia="宋体"/>
          <w:bCs/>
          <w:color w:val="auto"/>
          <w:sz w:val="24"/>
          <w:szCs w:val="21"/>
          <w:highlight w:val="none"/>
        </w:rPr>
        <w:t>日-20</w:t>
      </w:r>
      <w:r>
        <w:rPr>
          <w:rFonts w:hint="eastAsia" w:eastAsia="宋体"/>
          <w:bCs/>
          <w:color w:val="auto"/>
          <w:sz w:val="24"/>
          <w:szCs w:val="21"/>
          <w:highlight w:val="none"/>
          <w:lang w:val="en-US" w:eastAsia="zh-CN"/>
        </w:rPr>
        <w:t>26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1</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27</w:t>
      </w:r>
      <w:r>
        <w:rPr>
          <w:rFonts w:hint="eastAsia" w:eastAsia="宋体"/>
          <w:bCs/>
          <w:color w:val="auto"/>
          <w:sz w:val="24"/>
          <w:szCs w:val="21"/>
          <w:highlight w:val="none"/>
        </w:rPr>
        <w:t>日（工作日上午8：30——11:30，下午2:30——5:30，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bookmarkEnd w:id="31"/>
      <w:r>
        <w:rPr>
          <w:rFonts w:hint="eastAsia" w:eastAsia="宋体"/>
          <w:bCs/>
          <w:color w:val="auto"/>
          <w:sz w:val="24"/>
          <w:szCs w:val="21"/>
          <w:highlight w:val="none"/>
        </w:rPr>
        <w:t>。</w:t>
      </w:r>
    </w:p>
    <w:p w14:paraId="6958DEFF">
      <w:pPr>
        <w:spacing w:line="360" w:lineRule="auto"/>
        <w:ind w:firstLine="424" w:firstLineChars="177"/>
        <w:outlineLvl w:val="1"/>
        <w:rPr>
          <w:rFonts w:eastAsia="宋体"/>
          <w:bCs/>
          <w:color w:val="auto"/>
          <w:sz w:val="24"/>
          <w:szCs w:val="21"/>
          <w:highlight w:val="none"/>
        </w:rPr>
      </w:pPr>
      <w:r>
        <w:rPr>
          <w:rFonts w:hint="eastAsia" w:eastAsia="宋体"/>
          <w:bCs/>
          <w:color w:val="auto"/>
          <w:sz w:val="24"/>
          <w:szCs w:val="21"/>
          <w:highlight w:val="none"/>
          <w:lang w:val="en-US" w:eastAsia="zh-CN"/>
        </w:rPr>
        <w:t>2</w:t>
      </w:r>
      <w:r>
        <w:rPr>
          <w:rFonts w:hint="eastAsia" w:eastAsia="宋体"/>
          <w:bCs/>
          <w:color w:val="auto"/>
          <w:sz w:val="24"/>
          <w:szCs w:val="21"/>
          <w:highlight w:val="none"/>
        </w:rPr>
        <w:t>、遴选文件递交时间：202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1</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29</w:t>
      </w:r>
      <w:r>
        <w:rPr>
          <w:rFonts w:hint="eastAsia" w:eastAsia="宋体"/>
          <w:bCs/>
          <w:color w:val="auto"/>
          <w:sz w:val="24"/>
          <w:szCs w:val="21"/>
          <w:highlight w:val="none"/>
        </w:rPr>
        <w:t>日14：30——15:30</w:t>
      </w:r>
      <w:r>
        <w:rPr>
          <w:rFonts w:hint="eastAsia" w:ascii="宋体" w:hAnsi="宋体" w:eastAsia="宋体"/>
          <w:color w:val="auto"/>
          <w:sz w:val="24"/>
          <w:szCs w:val="21"/>
          <w:highlight w:val="none"/>
        </w:rPr>
        <w:t>（北京时间）</w:t>
      </w:r>
      <w:r>
        <w:rPr>
          <w:rFonts w:hint="eastAsia" w:eastAsia="宋体"/>
          <w:bCs/>
          <w:color w:val="auto"/>
          <w:sz w:val="24"/>
          <w:szCs w:val="21"/>
          <w:highlight w:val="none"/>
        </w:rPr>
        <w:t>。</w:t>
      </w:r>
    </w:p>
    <w:p w14:paraId="43FF3245">
      <w:pPr>
        <w:spacing w:line="360" w:lineRule="auto"/>
        <w:ind w:firstLine="424" w:firstLineChars="177"/>
        <w:outlineLvl w:val="1"/>
        <w:rPr>
          <w:rFonts w:eastAsia="宋体"/>
          <w:bCs/>
          <w:sz w:val="24"/>
          <w:szCs w:val="21"/>
          <w:highlight w:val="none"/>
        </w:rPr>
      </w:pPr>
      <w:bookmarkStart w:id="32" w:name="_Toc184723209"/>
      <w:r>
        <w:rPr>
          <w:rFonts w:hint="eastAsia" w:eastAsia="宋体"/>
          <w:bCs/>
          <w:color w:val="auto"/>
          <w:sz w:val="24"/>
          <w:szCs w:val="21"/>
          <w:highlight w:val="none"/>
          <w:lang w:val="en-US" w:eastAsia="zh-CN"/>
        </w:rPr>
        <w:t>3</w:t>
      </w:r>
      <w:r>
        <w:rPr>
          <w:rFonts w:hint="eastAsia" w:eastAsia="宋体"/>
          <w:bCs/>
          <w:color w:val="auto"/>
          <w:sz w:val="24"/>
          <w:szCs w:val="21"/>
          <w:highlight w:val="none"/>
        </w:rPr>
        <w:t>、地点：广东省开平市三埠街道新昌西桥二马路6号，开平市中医院新昌总院2号楼8楼817室</w:t>
      </w:r>
      <w:bookmarkEnd w:id="32"/>
      <w:r>
        <w:rPr>
          <w:rFonts w:hint="eastAsia" w:eastAsia="宋体"/>
          <w:bCs/>
          <w:sz w:val="24"/>
          <w:szCs w:val="21"/>
          <w:highlight w:val="none"/>
        </w:rPr>
        <w:t>。</w:t>
      </w:r>
    </w:p>
    <w:p w14:paraId="417F197E">
      <w:pPr>
        <w:spacing w:line="360" w:lineRule="auto"/>
        <w:ind w:firstLine="424" w:firstLineChars="177"/>
        <w:outlineLvl w:val="1"/>
        <w:rPr>
          <w:rFonts w:hint="eastAsia" w:eastAsia="宋体"/>
          <w:bCs/>
          <w:sz w:val="24"/>
          <w:szCs w:val="21"/>
          <w:highlight w:val="none"/>
        </w:rPr>
      </w:pPr>
      <w:bookmarkStart w:id="33" w:name="_Toc184723212"/>
      <w:r>
        <w:rPr>
          <w:rFonts w:hint="eastAsia" w:eastAsia="宋体"/>
          <w:bCs/>
          <w:sz w:val="24"/>
          <w:szCs w:val="21"/>
          <w:highlight w:val="none"/>
          <w:lang w:val="en-US" w:eastAsia="zh-CN"/>
        </w:rPr>
        <w:t>4</w:t>
      </w:r>
      <w:r>
        <w:rPr>
          <w:rFonts w:hint="eastAsia" w:eastAsia="宋体"/>
          <w:bCs/>
          <w:sz w:val="24"/>
          <w:szCs w:val="21"/>
          <w:highlight w:val="none"/>
        </w:rPr>
        <w:t>、评审办法：综合评分法</w:t>
      </w:r>
      <w:bookmarkEnd w:id="33"/>
    </w:p>
    <w:p w14:paraId="1371145C">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 xml:space="preserve">通过资格评审的供应商数量 ≥ </w:t>
      </w:r>
      <w:r>
        <w:rPr>
          <w:rFonts w:hint="eastAsia" w:eastAsia="宋体"/>
          <w:bCs/>
          <w:sz w:val="24"/>
          <w:szCs w:val="21"/>
          <w:highlight w:val="none"/>
          <w:lang w:val="en-US" w:eastAsia="zh-CN"/>
        </w:rPr>
        <w:t>6</w:t>
      </w:r>
      <w:r>
        <w:rPr>
          <w:rFonts w:hint="eastAsia" w:eastAsia="宋体"/>
          <w:bCs/>
          <w:sz w:val="24"/>
          <w:szCs w:val="21"/>
          <w:highlight w:val="none"/>
        </w:rPr>
        <w:t>家时，按评审得分从高到低排序，选取前</w:t>
      </w:r>
      <w:r>
        <w:rPr>
          <w:rFonts w:hint="eastAsia" w:eastAsia="宋体"/>
          <w:bCs/>
          <w:sz w:val="24"/>
          <w:szCs w:val="21"/>
          <w:highlight w:val="none"/>
          <w:lang w:val="en-US" w:eastAsia="zh-CN"/>
        </w:rPr>
        <w:t>6</w:t>
      </w:r>
      <w:r>
        <w:rPr>
          <w:rFonts w:hint="eastAsia" w:eastAsia="宋体"/>
          <w:bCs/>
          <w:sz w:val="24"/>
          <w:szCs w:val="21"/>
          <w:highlight w:val="none"/>
        </w:rPr>
        <w:t>家作为中选供应商。</w:t>
      </w:r>
    </w:p>
    <w:p w14:paraId="605900FF">
      <w:pPr>
        <w:spacing w:line="360" w:lineRule="auto"/>
        <w:ind w:firstLine="424" w:firstLineChars="177"/>
        <w:outlineLvl w:val="1"/>
        <w:rPr>
          <w:rFonts w:hint="eastAsia" w:eastAsia="宋体"/>
          <w:bCs/>
          <w:sz w:val="24"/>
          <w:szCs w:val="21"/>
          <w:highlight w:val="none"/>
        </w:rPr>
      </w:pPr>
      <w:r>
        <w:rPr>
          <w:rFonts w:hint="eastAsia" w:eastAsia="宋体"/>
          <w:bCs/>
          <w:sz w:val="24"/>
          <w:szCs w:val="21"/>
          <w:highlight w:val="none"/>
        </w:rPr>
        <w:t xml:space="preserve">通过资格评审的供应商数量 </w:t>
      </w:r>
      <w:r>
        <w:rPr>
          <w:rFonts w:hint="eastAsia" w:eastAsia="宋体"/>
          <w:bCs/>
          <w:sz w:val="24"/>
          <w:szCs w:val="21"/>
          <w:highlight w:val="none"/>
          <w:lang w:val="en-US" w:eastAsia="zh-CN"/>
        </w:rPr>
        <w:t>＜</w:t>
      </w:r>
      <w:r>
        <w:rPr>
          <w:rFonts w:hint="eastAsia" w:eastAsia="宋体"/>
          <w:bCs/>
          <w:sz w:val="24"/>
          <w:szCs w:val="21"/>
          <w:highlight w:val="none"/>
        </w:rPr>
        <w:t xml:space="preserve"> </w:t>
      </w:r>
      <w:r>
        <w:rPr>
          <w:rFonts w:hint="eastAsia" w:eastAsia="宋体"/>
          <w:bCs/>
          <w:sz w:val="24"/>
          <w:szCs w:val="21"/>
          <w:highlight w:val="none"/>
          <w:lang w:val="en-US" w:eastAsia="zh-CN"/>
        </w:rPr>
        <w:t>6</w:t>
      </w:r>
      <w:r>
        <w:rPr>
          <w:rFonts w:hint="eastAsia" w:eastAsia="宋体"/>
          <w:bCs/>
          <w:sz w:val="24"/>
          <w:szCs w:val="21"/>
          <w:highlight w:val="none"/>
        </w:rPr>
        <w:t>家时，所有通过评审的供应商均中选。</w:t>
      </w:r>
    </w:p>
    <w:p w14:paraId="0AB73DE0">
      <w:pPr>
        <w:spacing w:line="360" w:lineRule="auto"/>
        <w:ind w:firstLine="420"/>
        <w:outlineLvl w:val="1"/>
        <w:rPr>
          <w:rFonts w:eastAsia="宋体"/>
          <w:bCs/>
          <w:sz w:val="24"/>
          <w:szCs w:val="21"/>
          <w:highlight w:val="none"/>
        </w:rPr>
      </w:pPr>
      <w:bookmarkStart w:id="34" w:name="_Toc184723213"/>
      <w:r>
        <w:rPr>
          <w:rFonts w:hint="eastAsia" w:eastAsia="宋体"/>
          <w:bCs/>
          <w:sz w:val="24"/>
          <w:szCs w:val="21"/>
          <w:highlight w:val="none"/>
          <w:lang w:val="en-US" w:eastAsia="zh-CN"/>
        </w:rPr>
        <w:t>5</w:t>
      </w:r>
      <w:r>
        <w:rPr>
          <w:rFonts w:hint="eastAsia" w:eastAsia="宋体"/>
          <w:bCs/>
          <w:sz w:val="24"/>
          <w:szCs w:val="21"/>
          <w:highlight w:val="none"/>
        </w:rPr>
        <w:t>、遴选结果：开平市卫生健康局官网公示</w:t>
      </w:r>
      <w:bookmarkEnd w:id="34"/>
    </w:p>
    <w:p w14:paraId="224B9D10">
      <w:pPr>
        <w:spacing w:line="360" w:lineRule="auto"/>
        <w:ind w:firstLine="420"/>
        <w:outlineLvl w:val="1"/>
        <w:rPr>
          <w:rFonts w:eastAsia="宋体"/>
          <w:b/>
          <w:bCs/>
          <w:sz w:val="24"/>
          <w:szCs w:val="21"/>
          <w:highlight w:val="none"/>
        </w:rPr>
      </w:pPr>
      <w:bookmarkStart w:id="35" w:name="_Toc184723214"/>
      <w:r>
        <w:rPr>
          <w:rFonts w:hint="eastAsia" w:eastAsia="宋体"/>
          <w:b/>
          <w:bCs/>
          <w:sz w:val="24"/>
          <w:szCs w:val="21"/>
          <w:highlight w:val="none"/>
        </w:rPr>
        <w:t>五、本次遴选相关事宜联系：</w:t>
      </w:r>
      <w:bookmarkEnd w:id="35"/>
    </w:p>
    <w:p w14:paraId="2F692F30">
      <w:pPr>
        <w:spacing w:line="360" w:lineRule="auto"/>
        <w:ind w:firstLine="420"/>
        <w:outlineLvl w:val="1"/>
        <w:rPr>
          <w:rFonts w:eastAsia="宋体"/>
          <w:bCs/>
          <w:sz w:val="24"/>
          <w:szCs w:val="21"/>
          <w:highlight w:val="none"/>
        </w:rPr>
      </w:pPr>
      <w:bookmarkStart w:id="36" w:name="_Toc184723215"/>
      <w:r>
        <w:rPr>
          <w:rFonts w:hint="eastAsia" w:eastAsia="宋体"/>
          <w:bCs/>
          <w:sz w:val="24"/>
          <w:szCs w:val="21"/>
          <w:highlight w:val="none"/>
        </w:rPr>
        <w:t>项目联系人：</w:t>
      </w:r>
      <w:r>
        <w:rPr>
          <w:rFonts w:hint="eastAsia" w:eastAsia="宋体"/>
          <w:bCs/>
          <w:sz w:val="24"/>
          <w:szCs w:val="21"/>
          <w:highlight w:val="none"/>
          <w:lang w:eastAsia="zh-CN"/>
        </w:rPr>
        <w:t>李先生</w:t>
      </w:r>
      <w:r>
        <w:rPr>
          <w:rFonts w:hint="eastAsia" w:eastAsia="宋体"/>
          <w:bCs/>
          <w:sz w:val="24"/>
          <w:szCs w:val="21"/>
          <w:highlight w:val="none"/>
        </w:rPr>
        <w:t>、雷先生，电话：0750-2389697</w:t>
      </w:r>
      <w:bookmarkEnd w:id="36"/>
    </w:p>
    <w:p w14:paraId="50E88D75">
      <w:pPr>
        <w:spacing w:line="360" w:lineRule="auto"/>
        <w:ind w:firstLine="420"/>
        <w:outlineLvl w:val="1"/>
        <w:rPr>
          <w:rFonts w:eastAsia="宋体"/>
          <w:b/>
          <w:bCs/>
          <w:sz w:val="24"/>
          <w:szCs w:val="21"/>
          <w:highlight w:val="none"/>
        </w:rPr>
      </w:pPr>
      <w:bookmarkStart w:id="37" w:name="_Toc184723216"/>
      <w:r>
        <w:rPr>
          <w:rFonts w:hint="eastAsia" w:eastAsia="宋体"/>
          <w:b/>
          <w:bCs/>
          <w:sz w:val="24"/>
          <w:szCs w:val="21"/>
          <w:highlight w:val="none"/>
        </w:rPr>
        <w:t>六、报名须知</w:t>
      </w:r>
      <w:bookmarkEnd w:id="37"/>
    </w:p>
    <w:p w14:paraId="19182348">
      <w:pPr>
        <w:spacing w:line="360" w:lineRule="auto"/>
        <w:ind w:firstLine="420"/>
        <w:outlineLvl w:val="1"/>
        <w:rPr>
          <w:rFonts w:eastAsia="宋体"/>
          <w:bCs/>
          <w:sz w:val="24"/>
          <w:szCs w:val="21"/>
          <w:highlight w:val="none"/>
        </w:rPr>
      </w:pPr>
      <w:bookmarkStart w:id="38" w:name="_Toc184723217"/>
      <w:r>
        <w:rPr>
          <w:rFonts w:hint="eastAsia" w:eastAsia="宋体"/>
          <w:bCs/>
          <w:sz w:val="24"/>
          <w:szCs w:val="21"/>
          <w:highlight w:val="none"/>
        </w:rPr>
        <w:t>1、本次遴选项目仅接受现场资料递交，不接受邮寄等其他方式。</w:t>
      </w:r>
      <w:bookmarkEnd w:id="38"/>
    </w:p>
    <w:p w14:paraId="4F01C05A">
      <w:pPr>
        <w:spacing w:line="360" w:lineRule="auto"/>
        <w:ind w:firstLine="420"/>
        <w:outlineLvl w:val="1"/>
        <w:rPr>
          <w:rFonts w:eastAsia="宋体"/>
          <w:bCs/>
          <w:sz w:val="24"/>
          <w:szCs w:val="21"/>
          <w:highlight w:val="none"/>
        </w:rPr>
      </w:pPr>
      <w:bookmarkStart w:id="39" w:name="_Toc184723218"/>
      <w:r>
        <w:rPr>
          <w:rFonts w:hint="eastAsia" w:eastAsia="宋体"/>
          <w:bCs/>
          <w:sz w:val="24"/>
          <w:szCs w:val="21"/>
          <w:highlight w:val="none"/>
        </w:rPr>
        <w:t>2、违反《遴选响应承诺函》内容的单位及授权人视为失信人，失信人将列为黑名单，取消其响应开平市中医院所有项目的资格。</w:t>
      </w:r>
      <w:bookmarkEnd w:id="39"/>
    </w:p>
    <w:p w14:paraId="4E58BF41">
      <w:pPr>
        <w:spacing w:line="360" w:lineRule="auto"/>
        <w:ind w:firstLine="420"/>
        <w:outlineLvl w:val="1"/>
        <w:rPr>
          <w:rFonts w:eastAsia="宋体"/>
          <w:bCs/>
          <w:sz w:val="24"/>
          <w:szCs w:val="21"/>
          <w:highlight w:val="none"/>
        </w:rPr>
      </w:pPr>
      <w:bookmarkStart w:id="40" w:name="_Toc184723219"/>
      <w:r>
        <w:rPr>
          <w:rFonts w:hint="eastAsia" w:eastAsia="宋体"/>
          <w:bCs/>
          <w:sz w:val="24"/>
          <w:szCs w:val="21"/>
          <w:highlight w:val="none"/>
        </w:rPr>
        <w:t>3、其他视为失信人的情况：</w:t>
      </w:r>
      <w:bookmarkEnd w:id="40"/>
    </w:p>
    <w:p w14:paraId="0AA34BE8">
      <w:pPr>
        <w:spacing w:line="360" w:lineRule="auto"/>
        <w:ind w:firstLine="420"/>
        <w:outlineLvl w:val="1"/>
        <w:rPr>
          <w:rFonts w:eastAsia="宋体"/>
          <w:bCs/>
          <w:sz w:val="24"/>
          <w:szCs w:val="21"/>
          <w:highlight w:val="none"/>
        </w:rPr>
      </w:pPr>
      <w:bookmarkStart w:id="41" w:name="_Toc184723220"/>
      <w:r>
        <w:rPr>
          <w:rFonts w:hint="eastAsia" w:eastAsia="宋体"/>
          <w:bCs/>
          <w:sz w:val="24"/>
          <w:szCs w:val="21"/>
          <w:highlight w:val="none"/>
        </w:rPr>
        <w:t>（1）无故不参与响应或未按时响应的三次及以上；</w:t>
      </w:r>
      <w:bookmarkEnd w:id="41"/>
    </w:p>
    <w:p w14:paraId="18C221A5">
      <w:pPr>
        <w:spacing w:line="360" w:lineRule="auto"/>
        <w:ind w:firstLine="420"/>
        <w:outlineLvl w:val="1"/>
        <w:rPr>
          <w:rFonts w:eastAsia="宋体"/>
          <w:bCs/>
          <w:sz w:val="24"/>
          <w:szCs w:val="21"/>
          <w:highlight w:val="none"/>
        </w:rPr>
      </w:pPr>
      <w:bookmarkStart w:id="42" w:name="_Toc184723221"/>
      <w:r>
        <w:rPr>
          <w:rFonts w:hint="eastAsia" w:eastAsia="宋体"/>
          <w:bCs/>
          <w:sz w:val="24"/>
          <w:szCs w:val="21"/>
          <w:highlight w:val="none"/>
        </w:rPr>
        <w:t>（2）撤销遴选响应未在遴选响应截止前24小时内以书面形式通知采购人三次及以上的；</w:t>
      </w:r>
      <w:bookmarkEnd w:id="42"/>
    </w:p>
    <w:p w14:paraId="4B380382">
      <w:pPr>
        <w:spacing w:line="360" w:lineRule="auto"/>
        <w:ind w:firstLine="420"/>
        <w:outlineLvl w:val="1"/>
        <w:rPr>
          <w:rFonts w:eastAsia="宋体"/>
          <w:bCs/>
          <w:sz w:val="24"/>
          <w:szCs w:val="21"/>
          <w:highlight w:val="none"/>
        </w:rPr>
      </w:pPr>
      <w:bookmarkStart w:id="43" w:name="_Toc184723222"/>
      <w:r>
        <w:rPr>
          <w:rFonts w:hint="eastAsia" w:eastAsia="宋体"/>
          <w:bCs/>
          <w:sz w:val="24"/>
          <w:szCs w:val="21"/>
          <w:highlight w:val="none"/>
        </w:rPr>
        <w:t>（3）遴选响应文件出现严重错误给遴选工作带来影响三次及以上的。</w:t>
      </w:r>
      <w:bookmarkEnd w:id="43"/>
    </w:p>
    <w:p w14:paraId="06BF1D2D">
      <w:pPr>
        <w:spacing w:line="360" w:lineRule="auto"/>
        <w:ind w:firstLine="420"/>
        <w:outlineLvl w:val="1"/>
        <w:rPr>
          <w:rFonts w:eastAsia="宋体"/>
          <w:b/>
          <w:bCs/>
          <w:sz w:val="24"/>
          <w:szCs w:val="21"/>
          <w:highlight w:val="none"/>
        </w:rPr>
      </w:pPr>
      <w:bookmarkStart w:id="44" w:name="_Toc184723224"/>
      <w:r>
        <w:rPr>
          <w:rFonts w:hint="eastAsia" w:eastAsia="宋体"/>
          <w:b/>
          <w:bCs/>
          <w:sz w:val="24"/>
          <w:szCs w:val="21"/>
          <w:highlight w:val="none"/>
        </w:rPr>
        <w:t>七、</w:t>
      </w:r>
      <w:bookmarkEnd w:id="44"/>
      <w:bookmarkStart w:id="45" w:name="_Toc184723226"/>
      <w:r>
        <w:rPr>
          <w:rFonts w:hint="eastAsia" w:eastAsia="宋体"/>
          <w:b/>
          <w:bCs/>
          <w:sz w:val="24"/>
          <w:szCs w:val="21"/>
          <w:highlight w:val="none"/>
        </w:rPr>
        <w:t>遴选响应文件的制作、装订、密封、标记</w:t>
      </w:r>
      <w:bookmarkEnd w:id="45"/>
    </w:p>
    <w:p w14:paraId="19465942">
      <w:pPr>
        <w:spacing w:line="360" w:lineRule="auto"/>
        <w:ind w:firstLine="420"/>
        <w:outlineLvl w:val="1"/>
        <w:rPr>
          <w:rFonts w:eastAsia="宋体"/>
          <w:bCs/>
          <w:sz w:val="24"/>
          <w:szCs w:val="21"/>
          <w:highlight w:val="none"/>
        </w:rPr>
      </w:pPr>
      <w:bookmarkStart w:id="46" w:name="_Toc184723227"/>
      <w:r>
        <w:rPr>
          <w:rFonts w:hint="eastAsia" w:eastAsia="宋体"/>
          <w:bCs/>
          <w:sz w:val="24"/>
          <w:szCs w:val="21"/>
          <w:highlight w:val="none"/>
        </w:rPr>
        <w:t>1、</w:t>
      </w:r>
      <w:bookmarkEnd w:id="46"/>
      <w:bookmarkStart w:id="47" w:name="_Toc184723228"/>
      <w:r>
        <w:rPr>
          <w:rFonts w:hint="eastAsia" w:eastAsia="宋体"/>
          <w:bCs/>
          <w:sz w:val="24"/>
          <w:szCs w:val="21"/>
          <w:highlight w:val="none"/>
        </w:rPr>
        <w:t>遴选响应文件份数：一正四副，并在遴选响应文件右上角处明显标注“正本或副本”字样。</w:t>
      </w:r>
      <w:bookmarkEnd w:id="47"/>
    </w:p>
    <w:p w14:paraId="3F898A49">
      <w:pPr>
        <w:spacing w:line="360" w:lineRule="auto"/>
        <w:ind w:firstLine="420"/>
        <w:outlineLvl w:val="1"/>
        <w:rPr>
          <w:rFonts w:eastAsia="宋体"/>
          <w:bCs/>
          <w:sz w:val="24"/>
          <w:szCs w:val="21"/>
          <w:highlight w:val="none"/>
        </w:rPr>
      </w:pPr>
      <w:bookmarkStart w:id="48" w:name="_Toc184723229"/>
      <w:r>
        <w:rPr>
          <w:rFonts w:hint="eastAsia" w:eastAsia="宋体"/>
          <w:bCs/>
          <w:sz w:val="24"/>
          <w:szCs w:val="21"/>
          <w:highlight w:val="none"/>
        </w:rPr>
        <w:t>2、将遴选响应文件中所需的文件按照顺序进行装订，副本可为正本复印件。</w:t>
      </w:r>
      <w:bookmarkEnd w:id="48"/>
    </w:p>
    <w:p w14:paraId="5970273F">
      <w:pPr>
        <w:spacing w:line="360" w:lineRule="auto"/>
        <w:ind w:firstLine="420"/>
        <w:outlineLvl w:val="1"/>
        <w:rPr>
          <w:rFonts w:eastAsia="宋体"/>
          <w:bCs/>
          <w:sz w:val="24"/>
          <w:szCs w:val="21"/>
          <w:highlight w:val="none"/>
        </w:rPr>
      </w:pPr>
      <w:bookmarkStart w:id="49" w:name="_Toc184723230"/>
      <w:r>
        <w:rPr>
          <w:rFonts w:hint="eastAsia" w:eastAsia="宋体"/>
          <w:bCs/>
          <w:sz w:val="24"/>
          <w:szCs w:val="21"/>
          <w:highlight w:val="none"/>
        </w:rPr>
        <w:t>3、正本单独密封，所有副本可一起密封，所有密封封皮上注明产品名称及遴选响应人名称，并加盖骑缝章。</w:t>
      </w:r>
      <w:bookmarkEnd w:id="49"/>
    </w:p>
    <w:p w14:paraId="1C8912D0">
      <w:pPr>
        <w:spacing w:line="360" w:lineRule="auto"/>
        <w:ind w:firstLine="420"/>
        <w:outlineLvl w:val="1"/>
        <w:rPr>
          <w:rFonts w:eastAsia="宋体"/>
          <w:bCs/>
          <w:sz w:val="24"/>
          <w:szCs w:val="21"/>
          <w:highlight w:val="none"/>
        </w:rPr>
      </w:pPr>
      <w:bookmarkStart w:id="50" w:name="_Toc184723231"/>
      <w:r>
        <w:rPr>
          <w:rFonts w:hint="eastAsia" w:eastAsia="宋体"/>
          <w:bCs/>
          <w:sz w:val="24"/>
          <w:szCs w:val="21"/>
          <w:highlight w:val="none"/>
        </w:rPr>
        <w:t>4、以上所需文件正本均需逐页加盖遴选响应人公章（红章），副本可为正本复印件，封面须盖公章。</w:t>
      </w:r>
      <w:bookmarkEnd w:id="50"/>
    </w:p>
    <w:p w14:paraId="06F332A0">
      <w:pPr>
        <w:spacing w:line="360" w:lineRule="auto"/>
        <w:ind w:firstLine="420"/>
        <w:outlineLvl w:val="1"/>
        <w:rPr>
          <w:rFonts w:eastAsia="宋体"/>
          <w:bCs/>
          <w:sz w:val="24"/>
          <w:szCs w:val="21"/>
          <w:highlight w:val="none"/>
        </w:rPr>
      </w:pPr>
      <w:bookmarkStart w:id="51" w:name="_Toc184723232"/>
      <w:r>
        <w:rPr>
          <w:rFonts w:hint="eastAsia" w:eastAsia="宋体"/>
          <w:bCs/>
          <w:sz w:val="24"/>
          <w:szCs w:val="21"/>
          <w:highlight w:val="none"/>
        </w:rPr>
        <w:t>5、所有密封口处均应用</w:t>
      </w:r>
      <w:r>
        <w:rPr>
          <w:rFonts w:hint="eastAsia" w:eastAsia="宋体"/>
          <w:bCs/>
          <w:color w:val="auto"/>
          <w:sz w:val="24"/>
          <w:szCs w:val="21"/>
          <w:highlight w:val="none"/>
        </w:rPr>
        <w:t>封条密封并加盖遴选响应人公章和法定代表人或其委托代理人印章或签字，并注明“202</w:t>
      </w:r>
      <w:r>
        <w:rPr>
          <w:rFonts w:hint="eastAsia" w:eastAsia="宋体"/>
          <w:bCs/>
          <w:color w:val="auto"/>
          <w:sz w:val="24"/>
          <w:szCs w:val="21"/>
          <w:highlight w:val="none"/>
          <w:lang w:val="en-US" w:eastAsia="zh-CN"/>
        </w:rPr>
        <w:t>6</w:t>
      </w:r>
      <w:r>
        <w:rPr>
          <w:rFonts w:hint="eastAsia" w:eastAsia="宋体"/>
          <w:bCs/>
          <w:color w:val="auto"/>
          <w:sz w:val="24"/>
          <w:szCs w:val="21"/>
          <w:highlight w:val="none"/>
        </w:rPr>
        <w:t>年</w:t>
      </w:r>
      <w:r>
        <w:rPr>
          <w:rFonts w:hint="eastAsia" w:eastAsia="宋体"/>
          <w:bCs/>
          <w:color w:val="auto"/>
          <w:sz w:val="24"/>
          <w:szCs w:val="21"/>
          <w:highlight w:val="none"/>
          <w:lang w:val="en-US" w:eastAsia="zh-CN"/>
        </w:rPr>
        <w:t>1</w:t>
      </w:r>
      <w:r>
        <w:rPr>
          <w:rFonts w:hint="eastAsia" w:eastAsia="宋体"/>
          <w:bCs/>
          <w:color w:val="auto"/>
          <w:sz w:val="24"/>
          <w:szCs w:val="21"/>
          <w:highlight w:val="none"/>
        </w:rPr>
        <w:t>月</w:t>
      </w:r>
      <w:r>
        <w:rPr>
          <w:rFonts w:hint="eastAsia" w:eastAsia="宋体"/>
          <w:bCs/>
          <w:color w:val="auto"/>
          <w:sz w:val="24"/>
          <w:szCs w:val="21"/>
          <w:highlight w:val="none"/>
          <w:lang w:val="en-US" w:eastAsia="zh-CN"/>
        </w:rPr>
        <w:t>29</w:t>
      </w:r>
      <w:r>
        <w:rPr>
          <w:rFonts w:hint="eastAsia" w:eastAsia="宋体"/>
          <w:bCs/>
          <w:color w:val="auto"/>
          <w:sz w:val="24"/>
          <w:szCs w:val="21"/>
          <w:highlight w:val="none"/>
        </w:rPr>
        <w:t>日15时30分前不准启封”</w:t>
      </w:r>
      <w:r>
        <w:rPr>
          <w:rFonts w:hint="eastAsia" w:eastAsia="宋体"/>
          <w:bCs/>
          <w:sz w:val="24"/>
          <w:szCs w:val="21"/>
          <w:highlight w:val="none"/>
        </w:rPr>
        <w:t>的字样。</w:t>
      </w:r>
      <w:bookmarkEnd w:id="51"/>
    </w:p>
    <w:p w14:paraId="6274CBFF">
      <w:pPr>
        <w:spacing w:line="360" w:lineRule="auto"/>
        <w:ind w:firstLine="420"/>
        <w:outlineLvl w:val="1"/>
        <w:rPr>
          <w:rFonts w:eastAsia="宋体"/>
          <w:bCs/>
          <w:sz w:val="24"/>
          <w:szCs w:val="21"/>
          <w:highlight w:val="none"/>
        </w:rPr>
      </w:pPr>
      <w:bookmarkStart w:id="52" w:name="_Toc184723233"/>
      <w:r>
        <w:rPr>
          <w:rFonts w:hint="eastAsia" w:eastAsia="宋体"/>
          <w:bCs/>
          <w:sz w:val="24"/>
          <w:szCs w:val="21"/>
          <w:highlight w:val="none"/>
        </w:rPr>
        <w:t>备注：遴选响应文件中的格式文件，请遴选响应人必须按照遴选文件提供的格式文件进行提供，不得进行修改、涂抹、删除等，否则将按响应无效处理。</w:t>
      </w:r>
      <w:bookmarkEnd w:id="52"/>
    </w:p>
    <w:p w14:paraId="4B0050F3">
      <w:pPr>
        <w:spacing w:line="360" w:lineRule="auto"/>
        <w:ind w:firstLine="480" w:firstLineChars="200"/>
        <w:rPr>
          <w:rFonts w:eastAsia="宋体"/>
          <w:bCs/>
          <w:sz w:val="24"/>
          <w:szCs w:val="21"/>
          <w:highlight w:val="none"/>
        </w:rPr>
      </w:pPr>
    </w:p>
    <w:p w14:paraId="3C3E0A58">
      <w:pPr>
        <w:wordWrap w:val="0"/>
        <w:spacing w:line="360" w:lineRule="auto"/>
        <w:ind w:firstLine="480" w:firstLineChars="200"/>
        <w:jc w:val="right"/>
        <w:rPr>
          <w:rFonts w:eastAsia="宋体"/>
          <w:sz w:val="24"/>
          <w:szCs w:val="21"/>
          <w:highlight w:val="none"/>
        </w:rPr>
      </w:pPr>
      <w:r>
        <w:rPr>
          <w:rFonts w:hint="eastAsia" w:eastAsia="宋体"/>
          <w:sz w:val="24"/>
          <w:szCs w:val="21"/>
          <w:highlight w:val="none"/>
        </w:rPr>
        <w:t>开平市中医院</w:t>
      </w:r>
    </w:p>
    <w:p w14:paraId="2C1D2948">
      <w:pPr>
        <w:spacing w:line="360" w:lineRule="auto"/>
        <w:ind w:left="160"/>
        <w:jc w:val="right"/>
        <w:rPr>
          <w:rFonts w:eastAsia="宋体"/>
          <w:sz w:val="24"/>
          <w:szCs w:val="21"/>
          <w:highlight w:val="none"/>
        </w:rPr>
      </w:pPr>
      <w:r>
        <w:rPr>
          <w:rFonts w:eastAsia="宋体"/>
          <w:sz w:val="24"/>
          <w:szCs w:val="21"/>
          <w:highlight w:val="none"/>
        </w:rPr>
        <w:t xml:space="preserve"> 202</w:t>
      </w:r>
      <w:r>
        <w:rPr>
          <w:rFonts w:hint="eastAsia" w:eastAsia="宋体"/>
          <w:sz w:val="24"/>
          <w:szCs w:val="21"/>
          <w:highlight w:val="none"/>
          <w:lang w:val="en-US" w:eastAsia="zh-CN"/>
        </w:rPr>
        <w:t>6</w:t>
      </w:r>
      <w:r>
        <w:rPr>
          <w:rFonts w:eastAsia="宋体"/>
          <w:sz w:val="24"/>
          <w:szCs w:val="21"/>
          <w:highlight w:val="none"/>
        </w:rPr>
        <w:t>年</w:t>
      </w:r>
      <w:r>
        <w:rPr>
          <w:rFonts w:hint="eastAsia" w:eastAsia="宋体"/>
          <w:sz w:val="24"/>
          <w:szCs w:val="21"/>
          <w:highlight w:val="none"/>
          <w:lang w:val="en-US" w:eastAsia="zh-CN"/>
        </w:rPr>
        <w:t>1</w:t>
      </w:r>
      <w:r>
        <w:rPr>
          <w:rFonts w:hint="eastAsia" w:eastAsia="宋体"/>
          <w:sz w:val="24"/>
          <w:szCs w:val="21"/>
          <w:highlight w:val="none"/>
        </w:rPr>
        <w:t>月</w:t>
      </w:r>
    </w:p>
    <w:p w14:paraId="64A20C4D">
      <w:pPr>
        <w:pStyle w:val="2"/>
        <w:keepNext w:val="0"/>
        <w:keepLines w:val="0"/>
        <w:spacing w:before="0" w:after="0" w:line="360" w:lineRule="auto"/>
        <w:jc w:val="center"/>
        <w:rPr>
          <w:highlight w:val="none"/>
        </w:rPr>
      </w:pPr>
      <w:bookmarkStart w:id="53" w:name="_Toc52021497"/>
      <w:bookmarkStart w:id="54" w:name="_Toc51939415"/>
      <w:bookmarkStart w:id="55" w:name="_Toc458262591"/>
      <w:bookmarkStart w:id="56" w:name="_Toc52027884"/>
      <w:bookmarkStart w:id="57" w:name="_Toc476976154"/>
      <w:bookmarkStart w:id="58" w:name="_Toc51756450"/>
      <w:bookmarkStart w:id="59" w:name="_Toc486671526"/>
      <w:bookmarkStart w:id="60" w:name="_Toc467236722"/>
      <w:bookmarkStart w:id="61" w:name="_Toc56352967"/>
      <w:r>
        <w:rPr>
          <w:highlight w:val="none"/>
        </w:rPr>
        <w:br w:type="page"/>
      </w:r>
      <w:bookmarkStart w:id="62" w:name="_Toc184723234"/>
      <w:r>
        <w:rPr>
          <w:rFonts w:ascii="Times New Roman"/>
          <w:sz w:val="36"/>
          <w:szCs w:val="28"/>
          <w:highlight w:val="none"/>
        </w:rPr>
        <w:t>第二部分</w:t>
      </w:r>
      <w:bookmarkEnd w:id="53"/>
      <w:bookmarkEnd w:id="54"/>
      <w:bookmarkEnd w:id="55"/>
      <w:bookmarkEnd w:id="56"/>
      <w:bookmarkEnd w:id="57"/>
      <w:bookmarkEnd w:id="58"/>
      <w:bookmarkEnd w:id="59"/>
      <w:bookmarkEnd w:id="60"/>
      <w:bookmarkEnd w:id="61"/>
      <w:r>
        <w:rPr>
          <w:rFonts w:ascii="Times New Roman"/>
          <w:sz w:val="36"/>
          <w:szCs w:val="28"/>
          <w:highlight w:val="none"/>
        </w:rPr>
        <w:t>采购需求</w:t>
      </w:r>
      <w:bookmarkEnd w:id="62"/>
      <w:bookmarkStart w:id="63" w:name="_Toc468157518"/>
      <w:bookmarkStart w:id="64" w:name="_Toc480171861"/>
      <w:bookmarkStart w:id="65" w:name="_Toc480021035"/>
      <w:bookmarkStart w:id="66" w:name="_Toc468606011"/>
      <w:bookmarkStart w:id="67" w:name="_Toc480010690"/>
      <w:bookmarkStart w:id="68" w:name="_Toc480020239"/>
      <w:bookmarkStart w:id="69" w:name="_Toc479991564"/>
    </w:p>
    <w:p w14:paraId="1FE8BC86">
      <w:pPr>
        <w:pStyle w:val="23"/>
        <w:spacing w:line="360" w:lineRule="auto"/>
        <w:ind w:firstLine="482"/>
        <w:outlineLvl w:val="1"/>
        <w:rPr>
          <w:rFonts w:hAnsi="宋体"/>
          <w:b/>
          <w:sz w:val="24"/>
          <w:szCs w:val="24"/>
          <w:highlight w:val="none"/>
        </w:rPr>
      </w:pPr>
      <w:bookmarkStart w:id="70" w:name="_Toc184723235"/>
      <w:r>
        <w:rPr>
          <w:rFonts w:hAnsi="宋体"/>
          <w:b/>
          <w:sz w:val="24"/>
          <w:szCs w:val="24"/>
          <w:highlight w:val="none"/>
        </w:rPr>
        <w:t>一、</w:t>
      </w:r>
      <w:r>
        <w:rPr>
          <w:rFonts w:hint="eastAsia" w:hAnsi="宋体"/>
          <w:b/>
          <w:sz w:val="24"/>
          <w:szCs w:val="24"/>
          <w:highlight w:val="none"/>
        </w:rPr>
        <w:t>项目</w:t>
      </w:r>
      <w:r>
        <w:rPr>
          <w:rFonts w:hAnsi="宋体"/>
          <w:b/>
          <w:sz w:val="24"/>
          <w:szCs w:val="24"/>
          <w:highlight w:val="none"/>
        </w:rPr>
        <w:t>概况</w:t>
      </w:r>
      <w:bookmarkEnd w:id="70"/>
    </w:p>
    <w:p w14:paraId="6644679D">
      <w:pPr>
        <w:spacing w:line="360" w:lineRule="auto"/>
        <w:ind w:firstLine="480" w:firstLineChars="200"/>
        <w:rPr>
          <w:rFonts w:hint="eastAsia" w:ascii="宋体" w:hAnsi="Courier New" w:eastAsia="宋体"/>
          <w:b w:val="0"/>
          <w:bCs w:val="0"/>
          <w:sz w:val="24"/>
          <w:szCs w:val="21"/>
          <w:highlight w:val="none"/>
        </w:rPr>
      </w:pPr>
      <w:r>
        <w:rPr>
          <w:rFonts w:hint="eastAsia" w:ascii="宋体" w:hAnsi="宋体" w:eastAsia="宋体"/>
          <w:b w:val="0"/>
          <w:bCs w:val="0"/>
          <w:sz w:val="24"/>
          <w:szCs w:val="21"/>
          <w:highlight w:val="none"/>
          <w:u w:val="none"/>
          <w:lang w:eastAsia="zh-CN"/>
        </w:rPr>
        <w:t>主要内容为满足我院2026-2028年度工程项目需求，通过遴选确定合作的6家造价</w:t>
      </w:r>
      <w:r>
        <w:rPr>
          <w:rFonts w:hint="eastAsia" w:ascii="宋体" w:hAnsi="宋体" w:eastAsia="宋体"/>
          <w:b w:val="0"/>
          <w:bCs w:val="0"/>
          <w:sz w:val="24"/>
          <w:szCs w:val="21"/>
          <w:highlight w:val="none"/>
          <w:u w:val="none"/>
          <w:lang w:val="en-US" w:eastAsia="zh-CN"/>
        </w:rPr>
        <w:t>工程</w:t>
      </w:r>
      <w:r>
        <w:rPr>
          <w:rFonts w:hint="eastAsia" w:ascii="宋体" w:hAnsi="宋体" w:eastAsia="宋体"/>
          <w:b w:val="0"/>
          <w:bCs w:val="0"/>
          <w:sz w:val="24"/>
          <w:szCs w:val="21"/>
          <w:highlight w:val="none"/>
          <w:u w:val="none"/>
          <w:lang w:eastAsia="zh-CN"/>
        </w:rPr>
        <w:t>咨询服务供应商。供应商需为我院</w:t>
      </w:r>
      <w:r>
        <w:rPr>
          <w:rFonts w:hint="eastAsia" w:ascii="宋体" w:hAnsi="宋体" w:eastAsia="宋体"/>
          <w:b w:val="0"/>
          <w:bCs w:val="0"/>
          <w:sz w:val="24"/>
          <w:szCs w:val="21"/>
          <w:highlight w:val="none"/>
          <w:u w:val="none"/>
          <w:lang w:val="en-US" w:eastAsia="zh-CN"/>
        </w:rPr>
        <w:t>总投资400万元及以下</w:t>
      </w:r>
      <w:r>
        <w:rPr>
          <w:rFonts w:hint="eastAsia" w:ascii="宋体" w:hAnsi="宋体" w:eastAsia="宋体"/>
          <w:b w:val="0"/>
          <w:bCs w:val="0"/>
          <w:sz w:val="24"/>
          <w:szCs w:val="21"/>
          <w:highlight w:val="none"/>
          <w:u w:val="none"/>
          <w:lang w:eastAsia="zh-CN"/>
        </w:rPr>
        <w:t>的工程类项目，提供专业化的造价咨询服务，具体包括但不限于预算编制、预算审核、结算审核等工作；同时还需向我院提供关于工程造价信息的咨询服务，包括但不限于材料或工艺的造价信息及合理化建议。</w:t>
      </w:r>
    </w:p>
    <w:p w14:paraId="0825924E">
      <w:pPr>
        <w:spacing w:line="360" w:lineRule="auto"/>
        <w:ind w:firstLine="482" w:firstLineChars="200"/>
        <w:rPr>
          <w:rFonts w:hint="eastAsia" w:ascii="宋体" w:hAnsi="Courier New" w:eastAsia="宋体"/>
          <w:b/>
          <w:bCs/>
          <w:sz w:val="24"/>
          <w:szCs w:val="21"/>
          <w:highlight w:val="none"/>
          <w:u w:val="single"/>
          <w:lang w:val="en-US" w:eastAsia="zh-CN"/>
        </w:rPr>
      </w:pPr>
      <w:r>
        <w:rPr>
          <w:rFonts w:hint="eastAsia" w:ascii="宋体" w:hAnsi="Courier New" w:eastAsia="宋体"/>
          <w:b/>
          <w:bCs/>
          <w:sz w:val="24"/>
          <w:szCs w:val="21"/>
          <w:highlight w:val="none"/>
        </w:rPr>
        <w:t>1、项目地点：</w:t>
      </w:r>
      <w:r>
        <w:rPr>
          <w:rFonts w:hint="eastAsia" w:ascii="宋体" w:hAnsi="Courier New" w:eastAsia="宋体"/>
          <w:b/>
          <w:bCs/>
          <w:sz w:val="24"/>
          <w:szCs w:val="21"/>
          <w:highlight w:val="none"/>
          <w:u w:val="single"/>
          <w:lang w:val="en-US" w:eastAsia="zh-CN"/>
        </w:rPr>
        <w:t xml:space="preserve"> </w:t>
      </w:r>
      <w:r>
        <w:rPr>
          <w:rFonts w:hint="eastAsia" w:ascii="宋体" w:hAnsi="Courier New" w:eastAsia="宋体"/>
          <w:b/>
          <w:bCs/>
          <w:sz w:val="24"/>
          <w:szCs w:val="21"/>
          <w:highlight w:val="none"/>
          <w:u w:val="single"/>
        </w:rPr>
        <w:t>开平市中医院</w:t>
      </w:r>
      <w:r>
        <w:rPr>
          <w:rFonts w:hint="eastAsia" w:ascii="宋体" w:hAnsi="Courier New" w:eastAsia="宋体"/>
          <w:b/>
          <w:bCs/>
          <w:sz w:val="24"/>
          <w:szCs w:val="21"/>
          <w:highlight w:val="none"/>
          <w:u w:val="single"/>
          <w:lang w:val="en-US" w:eastAsia="zh-CN"/>
        </w:rPr>
        <w:t xml:space="preserve"> </w:t>
      </w:r>
    </w:p>
    <w:p w14:paraId="1A927EDE">
      <w:pPr>
        <w:spacing w:line="360" w:lineRule="auto"/>
        <w:ind w:left="0" w:firstLine="482" w:firstLineChars="200"/>
        <w:rPr>
          <w:rFonts w:hint="eastAsia" w:ascii="宋体" w:hAnsi="宋体" w:eastAsia="宋体"/>
          <w:b/>
          <w:bCs/>
          <w:sz w:val="24"/>
          <w:szCs w:val="21"/>
          <w:highlight w:val="none"/>
          <w:lang w:eastAsia="zh-CN"/>
        </w:rPr>
      </w:pPr>
      <w:r>
        <w:rPr>
          <w:rFonts w:hint="eastAsia" w:ascii="宋体" w:hAnsi="宋体" w:eastAsia="宋体"/>
          <w:b/>
          <w:bCs/>
          <w:sz w:val="24"/>
          <w:szCs w:val="21"/>
          <w:highlight w:val="none"/>
        </w:rPr>
        <w:t>2、采购项目预算金额：</w:t>
      </w:r>
      <w:r>
        <w:rPr>
          <w:rFonts w:hint="eastAsia" w:ascii="宋体" w:hAnsi="宋体" w:eastAsia="宋体"/>
          <w:b/>
          <w:bCs/>
          <w:color w:val="auto"/>
          <w:sz w:val="24"/>
          <w:szCs w:val="21"/>
          <w:highlight w:val="none"/>
          <w:u w:val="single"/>
          <w:lang w:val="en-US" w:eastAsia="zh-CN"/>
        </w:rPr>
        <w:t xml:space="preserve"> 0 </w:t>
      </w:r>
      <w:r>
        <w:rPr>
          <w:rFonts w:hint="eastAsia" w:ascii="宋体" w:hAnsi="宋体" w:eastAsia="宋体"/>
          <w:b/>
          <w:bCs/>
          <w:sz w:val="24"/>
          <w:szCs w:val="21"/>
          <w:highlight w:val="none"/>
        </w:rPr>
        <w:t>元</w:t>
      </w:r>
      <w:r>
        <w:rPr>
          <w:rFonts w:hint="eastAsia" w:ascii="宋体" w:hAnsi="宋体" w:eastAsia="宋体"/>
          <w:b/>
          <w:bCs/>
          <w:sz w:val="24"/>
          <w:szCs w:val="21"/>
          <w:highlight w:val="none"/>
          <w:lang w:eastAsia="zh-CN"/>
        </w:rPr>
        <w:t>。</w:t>
      </w:r>
    </w:p>
    <w:p w14:paraId="1612E3B7">
      <w:pPr>
        <w:spacing w:line="360" w:lineRule="auto"/>
        <w:ind w:left="0" w:firstLine="482" w:firstLineChars="200"/>
        <w:rPr>
          <w:rFonts w:hint="eastAsia" w:ascii="宋体" w:hAnsi="宋体" w:eastAsia="宋体"/>
          <w:b/>
          <w:bCs/>
          <w:sz w:val="24"/>
          <w:szCs w:val="21"/>
          <w:highlight w:val="none"/>
          <w:u w:val="none"/>
          <w:lang w:val="en-US" w:eastAsia="zh-CN"/>
        </w:rPr>
      </w:pPr>
      <w:r>
        <w:rPr>
          <w:rFonts w:hint="eastAsia" w:ascii="宋体" w:hAnsi="宋体" w:eastAsia="宋体"/>
          <w:b/>
          <w:bCs/>
          <w:sz w:val="24"/>
          <w:szCs w:val="21"/>
          <w:highlight w:val="none"/>
          <w:u w:val="none"/>
          <w:lang w:val="en-US" w:eastAsia="zh-CN"/>
        </w:rPr>
        <w:t>本项目仅为资格选取，具体服务费用以委托的工程项目造价计算为准。</w:t>
      </w:r>
    </w:p>
    <w:p w14:paraId="3D152F1E">
      <w:pPr>
        <w:spacing w:line="360" w:lineRule="auto"/>
        <w:ind w:left="0" w:firstLine="482" w:firstLineChars="200"/>
        <w:rPr>
          <w:rFonts w:hint="eastAsia" w:ascii="宋体" w:hAnsi="宋体" w:eastAsia="宋体"/>
          <w:b/>
          <w:bCs/>
          <w:color w:val="auto"/>
          <w:sz w:val="24"/>
          <w:szCs w:val="21"/>
          <w:highlight w:val="none"/>
          <w:lang w:val="en-US" w:eastAsia="zh-CN"/>
        </w:rPr>
      </w:pPr>
      <w:r>
        <w:rPr>
          <w:rFonts w:hint="eastAsia" w:ascii="宋体" w:hAnsi="Courier New" w:eastAsia="宋体"/>
          <w:b/>
          <w:bCs/>
          <w:color w:val="auto"/>
          <w:sz w:val="24"/>
          <w:szCs w:val="21"/>
          <w:highlight w:val="none"/>
        </w:rPr>
        <w:t>3</w:t>
      </w:r>
      <w:r>
        <w:rPr>
          <w:rFonts w:hint="eastAsia" w:ascii="宋体" w:hAnsi="宋体" w:eastAsia="宋体"/>
          <w:b/>
          <w:bCs/>
          <w:color w:val="auto"/>
          <w:sz w:val="24"/>
          <w:szCs w:val="21"/>
          <w:highlight w:val="none"/>
          <w:u w:val="none"/>
          <w:lang w:val="en-US" w:eastAsia="zh-CN"/>
        </w:rPr>
        <w:t xml:space="preserve"> </w:t>
      </w:r>
      <w:r>
        <w:rPr>
          <w:rFonts w:hint="eastAsia" w:ascii="宋体" w:hAnsi="宋体" w:eastAsia="宋体"/>
          <w:b/>
          <w:bCs/>
          <w:color w:val="auto"/>
          <w:sz w:val="24"/>
          <w:szCs w:val="21"/>
          <w:highlight w:val="none"/>
          <w:lang w:val="en-US" w:eastAsia="zh-CN"/>
        </w:rPr>
        <w:t>服务期限</w:t>
      </w:r>
      <w:r>
        <w:rPr>
          <w:rFonts w:hint="eastAsia" w:ascii="宋体" w:hAnsi="宋体" w:eastAsia="宋体"/>
          <w:b/>
          <w:bCs/>
          <w:color w:val="auto"/>
          <w:sz w:val="24"/>
          <w:szCs w:val="21"/>
          <w:highlight w:val="none"/>
          <w:lang w:eastAsia="zh-CN"/>
        </w:rPr>
        <w:t>：</w:t>
      </w:r>
      <w:r>
        <w:rPr>
          <w:rFonts w:hint="eastAsia" w:ascii="宋体" w:hAnsi="宋体" w:eastAsia="宋体"/>
          <w:b/>
          <w:bCs/>
          <w:color w:val="auto"/>
          <w:sz w:val="24"/>
          <w:szCs w:val="21"/>
          <w:highlight w:val="none"/>
          <w:u w:val="single"/>
          <w:lang w:val="en-US" w:eastAsia="zh-CN"/>
        </w:rPr>
        <w:t xml:space="preserve"> 3 </w:t>
      </w:r>
      <w:r>
        <w:rPr>
          <w:rFonts w:hint="eastAsia" w:ascii="宋体" w:hAnsi="宋体" w:eastAsia="宋体"/>
          <w:b/>
          <w:bCs/>
          <w:color w:val="auto"/>
          <w:sz w:val="24"/>
          <w:szCs w:val="21"/>
          <w:highlight w:val="none"/>
          <w:lang w:val="en-US" w:eastAsia="zh-CN"/>
        </w:rPr>
        <w:t>年，从协议签订生效之日起开始计算。</w:t>
      </w:r>
    </w:p>
    <w:p w14:paraId="1F80DF9B">
      <w:pPr>
        <w:spacing w:line="360" w:lineRule="auto"/>
        <w:ind w:firstLine="480" w:firstLineChars="200"/>
        <w:rPr>
          <w:rFonts w:ascii="宋体" w:hAnsi="Courier New" w:eastAsia="宋体"/>
          <w:b/>
          <w:bCs/>
          <w:color w:val="auto"/>
          <w:sz w:val="24"/>
          <w:szCs w:val="21"/>
          <w:highlight w:val="none"/>
        </w:rPr>
      </w:pPr>
      <w:r>
        <w:rPr>
          <w:rFonts w:hint="eastAsia" w:ascii="宋体" w:hAnsi="宋体" w:eastAsia="宋体"/>
          <w:b w:val="0"/>
          <w:bCs w:val="0"/>
          <w:sz w:val="24"/>
          <w:szCs w:val="21"/>
          <w:highlight w:val="none"/>
          <w:shd w:val="clear" w:color="auto" w:fill="auto"/>
          <w:lang w:val="en-US" w:eastAsia="zh-CN"/>
        </w:rPr>
        <w:t>项目服务期限内，每12个月为一年度，项目服务协议采用“一年度一签”方式签订</w:t>
      </w:r>
      <w:r>
        <w:rPr>
          <w:rFonts w:hint="eastAsia" w:ascii="宋体" w:hAnsi="宋体" w:eastAsia="宋体"/>
          <w:b w:val="0"/>
          <w:bCs w:val="0"/>
          <w:sz w:val="24"/>
          <w:szCs w:val="21"/>
          <w:highlight w:val="none"/>
          <w:shd w:val="clear" w:color="auto" w:fill="auto"/>
          <w:lang w:eastAsia="zh-CN"/>
        </w:rPr>
        <w:t>。</w:t>
      </w:r>
      <w:r>
        <w:rPr>
          <w:rFonts w:hint="eastAsia" w:ascii="宋体" w:hAnsi="宋体" w:eastAsia="宋体"/>
          <w:b w:val="0"/>
          <w:bCs w:val="0"/>
          <w:sz w:val="24"/>
          <w:szCs w:val="21"/>
          <w:highlight w:val="none"/>
          <w:shd w:val="clear" w:color="auto" w:fill="auto"/>
          <w:lang w:val="en-US" w:eastAsia="zh-CN"/>
        </w:rPr>
        <w:t>中选</w:t>
      </w:r>
      <w:r>
        <w:rPr>
          <w:rFonts w:hint="eastAsia" w:ascii="宋体" w:hAnsi="宋体" w:eastAsia="宋体"/>
          <w:b w:val="0"/>
          <w:bCs w:val="0"/>
          <w:sz w:val="24"/>
          <w:szCs w:val="21"/>
          <w:highlight w:val="none"/>
          <w:shd w:val="clear" w:color="auto" w:fill="auto"/>
          <w:lang w:eastAsia="zh-CN"/>
        </w:rPr>
        <w:t>供应商在年度协议期内</w:t>
      </w:r>
      <w:r>
        <w:rPr>
          <w:rFonts w:hint="eastAsia" w:ascii="宋体" w:hAnsi="宋体" w:eastAsia="宋体"/>
          <w:b w:val="0"/>
          <w:bCs w:val="0"/>
          <w:sz w:val="24"/>
          <w:szCs w:val="21"/>
          <w:highlight w:val="none"/>
          <w:shd w:val="clear" w:color="auto" w:fill="auto"/>
          <w:lang w:val="en-US" w:eastAsia="zh-CN"/>
        </w:rPr>
        <w:t>考核合格</w:t>
      </w:r>
      <w:r>
        <w:rPr>
          <w:rFonts w:hint="eastAsia" w:ascii="宋体" w:hAnsi="宋体" w:eastAsia="宋体"/>
          <w:b w:val="0"/>
          <w:bCs w:val="0"/>
          <w:sz w:val="24"/>
          <w:szCs w:val="21"/>
          <w:highlight w:val="none"/>
          <w:shd w:val="clear" w:color="auto" w:fill="auto"/>
          <w:lang w:eastAsia="zh-CN"/>
        </w:rPr>
        <w:t>的，该年度协议到期后，可续签下一年协议；如有</w:t>
      </w:r>
      <w:r>
        <w:rPr>
          <w:rFonts w:hint="eastAsia" w:ascii="宋体" w:hAnsi="宋体" w:eastAsia="宋体"/>
          <w:b w:val="0"/>
          <w:bCs w:val="0"/>
          <w:sz w:val="24"/>
          <w:szCs w:val="21"/>
          <w:highlight w:val="none"/>
          <w:shd w:val="clear" w:color="auto" w:fill="auto"/>
          <w:lang w:val="en-US" w:eastAsia="zh-CN"/>
        </w:rPr>
        <w:t>中选</w:t>
      </w:r>
      <w:r>
        <w:rPr>
          <w:rFonts w:hint="eastAsia" w:ascii="宋体" w:hAnsi="宋体" w:eastAsia="宋体"/>
          <w:b w:val="0"/>
          <w:bCs w:val="0"/>
          <w:sz w:val="24"/>
          <w:szCs w:val="21"/>
          <w:highlight w:val="none"/>
          <w:shd w:val="clear" w:color="auto" w:fill="auto"/>
          <w:lang w:eastAsia="zh-CN"/>
        </w:rPr>
        <w:t>供应商在年度协议期内</w:t>
      </w:r>
      <w:r>
        <w:rPr>
          <w:rFonts w:hint="eastAsia" w:ascii="宋体" w:hAnsi="宋体" w:eastAsia="宋体"/>
          <w:b w:val="0"/>
          <w:bCs w:val="0"/>
          <w:sz w:val="24"/>
          <w:szCs w:val="21"/>
          <w:highlight w:val="none"/>
          <w:shd w:val="clear" w:color="auto" w:fill="auto"/>
          <w:lang w:val="en-US" w:eastAsia="zh-CN"/>
        </w:rPr>
        <w:t>考核不合格或</w:t>
      </w:r>
      <w:r>
        <w:rPr>
          <w:rFonts w:hint="eastAsia" w:ascii="宋体" w:hAnsi="宋体" w:eastAsia="宋体"/>
          <w:b w:val="0"/>
          <w:bCs w:val="0"/>
          <w:sz w:val="24"/>
          <w:szCs w:val="21"/>
          <w:highlight w:val="none"/>
          <w:shd w:val="clear" w:color="auto" w:fill="auto"/>
          <w:lang w:eastAsia="zh-CN"/>
        </w:rPr>
        <w:t>有重大违法记录的，我院有权终止协议，并可以从</w:t>
      </w:r>
      <w:r>
        <w:rPr>
          <w:rFonts w:hint="eastAsia" w:ascii="宋体" w:hAnsi="宋体" w:eastAsia="宋体"/>
          <w:b w:val="0"/>
          <w:bCs w:val="0"/>
          <w:sz w:val="24"/>
          <w:szCs w:val="21"/>
          <w:highlight w:val="none"/>
          <w:shd w:val="clear" w:color="auto" w:fill="auto"/>
          <w:lang w:val="en-US" w:eastAsia="zh-CN"/>
        </w:rPr>
        <w:t>中选</w:t>
      </w:r>
      <w:r>
        <w:rPr>
          <w:rFonts w:hint="eastAsia" w:ascii="宋体" w:hAnsi="宋体" w:eastAsia="宋体"/>
          <w:b w:val="0"/>
          <w:bCs w:val="0"/>
          <w:sz w:val="24"/>
          <w:szCs w:val="21"/>
          <w:highlight w:val="none"/>
          <w:shd w:val="clear" w:color="auto" w:fill="auto"/>
          <w:lang w:eastAsia="zh-CN"/>
        </w:rPr>
        <w:t>候选人中按排名顺序另行确定新的</w:t>
      </w:r>
      <w:r>
        <w:rPr>
          <w:rFonts w:hint="eastAsia" w:ascii="宋体" w:hAnsi="宋体" w:eastAsia="宋体"/>
          <w:b w:val="0"/>
          <w:bCs w:val="0"/>
          <w:sz w:val="24"/>
          <w:szCs w:val="21"/>
          <w:highlight w:val="none"/>
          <w:shd w:val="clear" w:color="auto" w:fill="auto"/>
          <w:lang w:val="en-US" w:eastAsia="zh-CN"/>
        </w:rPr>
        <w:t>中选</w:t>
      </w:r>
      <w:r>
        <w:rPr>
          <w:rFonts w:hint="eastAsia" w:ascii="宋体" w:hAnsi="宋体" w:eastAsia="宋体"/>
          <w:b w:val="0"/>
          <w:bCs w:val="0"/>
          <w:sz w:val="24"/>
          <w:szCs w:val="21"/>
          <w:highlight w:val="none"/>
          <w:shd w:val="clear" w:color="auto" w:fill="auto"/>
          <w:lang w:eastAsia="zh-CN"/>
        </w:rPr>
        <w:t>供应商替补</w:t>
      </w:r>
      <w:r>
        <w:rPr>
          <w:rFonts w:hint="eastAsia" w:ascii="宋体" w:hAnsi="宋体" w:eastAsia="宋体"/>
          <w:b w:val="0"/>
          <w:bCs w:val="0"/>
          <w:sz w:val="24"/>
          <w:szCs w:val="21"/>
          <w:highlight w:val="none"/>
          <w:shd w:val="clear" w:color="auto" w:fill="auto"/>
          <w:lang w:val="en-US" w:eastAsia="zh-CN"/>
        </w:rPr>
        <w:t>或公开遴选补充</w:t>
      </w:r>
      <w:r>
        <w:rPr>
          <w:rFonts w:hint="eastAsia" w:ascii="宋体" w:hAnsi="宋体" w:eastAsia="宋体"/>
          <w:b w:val="0"/>
          <w:bCs w:val="0"/>
          <w:sz w:val="24"/>
          <w:szCs w:val="21"/>
          <w:highlight w:val="none"/>
          <w:shd w:val="clear" w:color="auto" w:fill="auto"/>
          <w:lang w:eastAsia="zh-CN"/>
        </w:rPr>
        <w:t>。</w:t>
      </w:r>
      <w:r>
        <w:rPr>
          <w:rFonts w:hint="eastAsia" w:ascii="宋体" w:hAnsi="宋体" w:eastAsia="宋体"/>
          <w:b w:val="0"/>
          <w:bCs w:val="0"/>
          <w:color w:val="auto"/>
          <w:sz w:val="24"/>
          <w:szCs w:val="21"/>
          <w:highlight w:val="none"/>
          <w:lang w:val="en-US" w:eastAsia="zh-CN"/>
        </w:rPr>
        <w:t xml:space="preserve"> </w:t>
      </w:r>
      <w:r>
        <w:rPr>
          <w:rFonts w:hint="eastAsia" w:ascii="宋体" w:hAnsi="宋体" w:eastAsia="宋体"/>
          <w:b/>
          <w:bCs/>
          <w:color w:val="auto"/>
          <w:sz w:val="24"/>
          <w:szCs w:val="21"/>
          <w:highlight w:val="none"/>
          <w:lang w:val="en-US" w:eastAsia="zh-CN"/>
        </w:rPr>
        <w:t xml:space="preserve"> </w:t>
      </w:r>
      <w:r>
        <w:rPr>
          <w:rFonts w:hint="eastAsia" w:ascii="宋体" w:hAnsi="Courier New" w:eastAsia="宋体"/>
          <w:b/>
          <w:bCs/>
          <w:color w:val="auto"/>
          <w:sz w:val="24"/>
          <w:szCs w:val="21"/>
          <w:highlight w:val="none"/>
          <w:lang w:val="en-US" w:eastAsia="zh-CN"/>
        </w:rPr>
        <w:t xml:space="preserve"> </w:t>
      </w:r>
    </w:p>
    <w:p w14:paraId="0CEC8CA6">
      <w:pPr>
        <w:spacing w:line="360" w:lineRule="auto"/>
        <w:ind w:firstLine="482" w:firstLineChars="200"/>
        <w:rPr>
          <w:rFonts w:ascii="宋体" w:hAnsi="Courier New" w:eastAsia="宋体"/>
          <w:b w:val="0"/>
          <w:bCs w:val="0"/>
          <w:sz w:val="24"/>
          <w:szCs w:val="21"/>
          <w:highlight w:val="none"/>
        </w:rPr>
      </w:pPr>
      <w:r>
        <w:rPr>
          <w:rFonts w:hint="eastAsia" w:ascii="宋体" w:hAnsi="Courier New" w:eastAsia="宋体"/>
          <w:b/>
          <w:bCs/>
          <w:sz w:val="24"/>
          <w:szCs w:val="21"/>
          <w:highlight w:val="none"/>
        </w:rPr>
        <w:t>4、质量要求：</w:t>
      </w:r>
      <w:r>
        <w:rPr>
          <w:rFonts w:hint="eastAsia" w:ascii="宋体" w:hAnsi="Courier New" w:eastAsia="宋体"/>
          <w:b w:val="0"/>
          <w:bCs w:val="0"/>
          <w:sz w:val="24"/>
          <w:szCs w:val="21"/>
          <w:highlight w:val="none"/>
        </w:rPr>
        <w:t>符合国际或国家相应的标准要求。</w:t>
      </w:r>
    </w:p>
    <w:p w14:paraId="12B4D064">
      <w:pPr>
        <w:pStyle w:val="23"/>
        <w:spacing w:line="360" w:lineRule="auto"/>
        <w:ind w:firstLine="482"/>
        <w:outlineLvl w:val="1"/>
        <w:rPr>
          <w:rFonts w:hAnsi="宋体"/>
          <w:b/>
          <w:sz w:val="24"/>
          <w:szCs w:val="24"/>
          <w:highlight w:val="none"/>
        </w:rPr>
      </w:pPr>
      <w:bookmarkStart w:id="71" w:name="_Toc184723236"/>
      <w:r>
        <w:rPr>
          <w:rFonts w:hint="eastAsia" w:hAnsi="宋体"/>
          <w:b/>
          <w:sz w:val="24"/>
          <w:szCs w:val="24"/>
          <w:highlight w:val="none"/>
        </w:rPr>
        <w:t>二、</w:t>
      </w:r>
      <w:bookmarkStart w:id="72" w:name="_Hlk96871101"/>
      <w:r>
        <w:rPr>
          <w:rFonts w:hint="eastAsia" w:hAnsi="宋体"/>
          <w:b/>
          <w:sz w:val="24"/>
          <w:szCs w:val="24"/>
          <w:highlight w:val="none"/>
        </w:rPr>
        <w:t>供应商资格条件</w:t>
      </w:r>
      <w:bookmarkEnd w:id="71"/>
      <w:bookmarkEnd w:id="72"/>
    </w:p>
    <w:p w14:paraId="66585E68">
      <w:pPr>
        <w:spacing w:line="360" w:lineRule="auto"/>
        <w:ind w:firstLine="420"/>
        <w:outlineLvl w:val="1"/>
        <w:rPr>
          <w:rFonts w:hint="eastAsia" w:ascii="宋体" w:hAnsi="宋体" w:eastAsia="宋体" w:cs="宋体"/>
          <w:bCs/>
          <w:sz w:val="24"/>
          <w:szCs w:val="21"/>
          <w:highlight w:val="none"/>
        </w:rPr>
      </w:pPr>
      <w:bookmarkStart w:id="73" w:name="_Toc184723237"/>
      <w:bookmarkStart w:id="74" w:name="_Toc81905139"/>
      <w:bookmarkStart w:id="75" w:name="_Toc53651885"/>
      <w:r>
        <w:rPr>
          <w:rFonts w:hint="eastAsia" w:ascii="宋体" w:hAnsi="宋体" w:eastAsia="宋体" w:cs="宋体"/>
          <w:bCs/>
          <w:sz w:val="24"/>
          <w:szCs w:val="21"/>
          <w:highlight w:val="none"/>
        </w:rPr>
        <w:t>供应商必须满足以下资格要求中的所有条款，并按照相关规定递交资格证明文件。</w:t>
      </w:r>
      <w:bookmarkEnd w:id="73"/>
    </w:p>
    <w:bookmarkEnd w:id="74"/>
    <w:bookmarkEnd w:id="75"/>
    <w:p w14:paraId="032B0067">
      <w:pPr>
        <w:spacing w:line="360" w:lineRule="auto"/>
        <w:ind w:firstLine="420"/>
        <w:outlineLvl w:val="1"/>
        <w:rPr>
          <w:rFonts w:hint="eastAsia" w:ascii="宋体" w:hAnsi="宋体" w:eastAsia="宋体" w:cs="宋体"/>
          <w:bCs/>
          <w:sz w:val="24"/>
          <w:szCs w:val="21"/>
          <w:highlight w:val="none"/>
          <w:lang w:val="en-US" w:eastAsia="zh-CN"/>
        </w:rPr>
      </w:pPr>
      <w:r>
        <w:rPr>
          <w:rFonts w:hint="eastAsia" w:ascii="宋体" w:hAnsi="宋体" w:eastAsia="宋体" w:cs="宋体"/>
          <w:bCs/>
          <w:sz w:val="24"/>
          <w:szCs w:val="21"/>
          <w:highlight w:val="none"/>
        </w:rPr>
        <w:t>1、</w:t>
      </w:r>
      <w:r>
        <w:rPr>
          <w:rFonts w:hint="eastAsia" w:ascii="宋体" w:hAnsi="宋体" w:eastAsia="宋体" w:cs="宋体"/>
          <w:sz w:val="24"/>
          <w:szCs w:val="21"/>
          <w:highlight w:val="none"/>
        </w:rPr>
        <w:t>在中华人民共和国境内注册的法人或其他组织或自然人，财务状况良好，依法缴纳税收和社会保障资金,遴选响应文件中提供有效的营业执照（或事业法人登记证或身份证等相关证明）复印件（加盖公章）。</w:t>
      </w:r>
    </w:p>
    <w:p w14:paraId="042D3380">
      <w:pPr>
        <w:spacing w:line="360" w:lineRule="auto"/>
        <w:ind w:firstLine="420"/>
        <w:outlineLvl w:val="1"/>
        <w:rPr>
          <w:rFonts w:hint="eastAsia" w:ascii="宋体" w:hAnsi="宋体" w:eastAsia="宋体" w:cs="宋体"/>
          <w:bCs/>
          <w:color w:val="auto"/>
          <w:sz w:val="24"/>
          <w:szCs w:val="21"/>
          <w:highlight w:val="none"/>
          <w:lang w:val="en-US" w:eastAsia="zh-CN"/>
        </w:rPr>
      </w:pPr>
      <w:r>
        <w:rPr>
          <w:rFonts w:hint="eastAsia" w:ascii="宋体" w:hAnsi="宋体" w:eastAsia="宋体" w:cs="宋体"/>
          <w:bCs/>
          <w:color w:val="auto"/>
          <w:sz w:val="24"/>
          <w:szCs w:val="21"/>
          <w:highlight w:val="none"/>
          <w:lang w:val="en-US" w:eastAsia="zh-CN"/>
        </w:rPr>
        <w:t>2、具有履行协议所必需的设备和专业技术能力，具有不少于两名注册造价工程师，其中一名须为一级注册造价工程师。填报设备及专业技术能力情况或提供承诺函（格式自拟），提供上述人员证书复印件及响应截止日前近三个月内任意一个月遴选响应人为上述人员购买社保的社保凭证复印件并加盖遴选响应人单位公章（已达到退休年龄的，则可提供养老保险待遇领取情况资料或《退休证》和单位的返聘证明）。</w:t>
      </w:r>
    </w:p>
    <w:p w14:paraId="00A13817">
      <w:pPr>
        <w:spacing w:line="360" w:lineRule="auto"/>
        <w:ind w:firstLine="420" w:firstLineChars="0"/>
        <w:outlineLvl w:val="1"/>
        <w:rPr>
          <w:rFonts w:hint="eastAsia" w:ascii="宋体" w:hAnsi="宋体" w:eastAsia="宋体" w:cs="宋体"/>
          <w:bCs/>
          <w:color w:val="auto"/>
          <w:sz w:val="24"/>
          <w:szCs w:val="21"/>
          <w:highlight w:val="none"/>
          <w:shd w:val="clear" w:color="auto" w:fill="auto"/>
          <w:lang w:val="en-US" w:eastAsia="zh-CN"/>
        </w:rPr>
      </w:pPr>
      <w:r>
        <w:rPr>
          <w:rFonts w:hint="eastAsia" w:eastAsia="宋体"/>
          <w:bCs/>
          <w:color w:val="auto"/>
          <w:sz w:val="24"/>
          <w:szCs w:val="21"/>
          <w:highlight w:val="none"/>
          <w:shd w:val="clear" w:color="auto" w:fill="auto"/>
          <w:lang w:val="en-US" w:eastAsia="zh-CN"/>
        </w:rPr>
        <w:t>3、进驻广东省网上中介服务超市。（https://ygp.gdzwfw.gov.cn/zjfwcs/gd-zjcs-pub/home→中介服务机构→中介详情截图（须显示响应人全称及工程造价咨询标签））</w:t>
      </w:r>
      <w:r>
        <w:rPr>
          <w:rFonts w:hint="eastAsia" w:ascii="宋体" w:hAnsi="宋体" w:eastAsia="宋体"/>
          <w:sz w:val="24"/>
          <w:szCs w:val="21"/>
          <w:highlight w:val="none"/>
        </w:rPr>
        <w:t>（加盖公章）</w:t>
      </w:r>
    </w:p>
    <w:p w14:paraId="353BBBE8">
      <w:pPr>
        <w:spacing w:line="360" w:lineRule="auto"/>
        <w:ind w:firstLine="480" w:firstLineChars="200"/>
        <w:outlineLvl w:val="1"/>
        <w:rPr>
          <w:rFonts w:hint="eastAsia" w:ascii="宋体" w:hAnsi="宋体" w:eastAsia="宋体" w:cs="宋体"/>
          <w:bCs/>
          <w:sz w:val="24"/>
          <w:szCs w:val="21"/>
          <w:highlight w:val="none"/>
          <w:lang w:val="en-US" w:eastAsia="zh-CN"/>
        </w:rPr>
      </w:pPr>
      <w:r>
        <w:rPr>
          <w:rFonts w:hint="eastAsia" w:ascii="宋体" w:hAnsi="宋体" w:eastAsia="宋体" w:cs="宋体"/>
          <w:bCs/>
          <w:sz w:val="24"/>
          <w:szCs w:val="21"/>
          <w:highlight w:val="none"/>
          <w:lang w:val="en-US" w:eastAsia="zh-CN"/>
        </w:rPr>
        <w:t>4、具有良好的商业信誉和完善的售后服务体系，提供信誉良好承诺函。</w:t>
      </w:r>
    </w:p>
    <w:p w14:paraId="3745A369">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5</w:t>
      </w:r>
      <w:r>
        <w:rPr>
          <w:rFonts w:hint="eastAsia" w:ascii="宋体" w:hAnsi="宋体" w:eastAsia="宋体" w:cs="宋体"/>
          <w:bCs/>
          <w:sz w:val="24"/>
          <w:szCs w:val="21"/>
          <w:highlight w:val="none"/>
        </w:rPr>
        <w:t>、不得有商业贿赂和不正当欺诈行为。如遴选响应人被证实有以上行为，将被视为不合格。</w:t>
      </w:r>
    </w:p>
    <w:p w14:paraId="2219BF2C">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6</w:t>
      </w:r>
      <w:r>
        <w:rPr>
          <w:rFonts w:hint="eastAsia" w:ascii="宋体" w:hAnsi="宋体" w:eastAsia="宋体" w:cs="宋体"/>
          <w:bCs/>
          <w:sz w:val="24"/>
          <w:szCs w:val="21"/>
          <w:highlight w:val="none"/>
        </w:rPr>
        <w:t>、参加采购活动前3年内，在经营活动中没有重大违法记录。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3E81513D">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7</w:t>
      </w:r>
      <w:r>
        <w:rPr>
          <w:rFonts w:hint="eastAsia" w:ascii="宋体" w:hAnsi="宋体" w:eastAsia="宋体" w:cs="宋体"/>
          <w:bCs/>
          <w:sz w:val="24"/>
          <w:szCs w:val="21"/>
          <w:highlight w:val="none"/>
        </w:rPr>
        <w:t>、如遴选响应人被政府有关部门通报列入黑名单的，禁止参加本项目遴选响应。</w:t>
      </w:r>
    </w:p>
    <w:p w14:paraId="3D6BA07A">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8</w:t>
      </w:r>
      <w:r>
        <w:rPr>
          <w:rFonts w:hint="eastAsia" w:ascii="宋体" w:hAnsi="宋体" w:eastAsia="宋体" w:cs="宋体"/>
          <w:bCs/>
          <w:sz w:val="24"/>
          <w:szCs w:val="21"/>
          <w:highlight w:val="none"/>
        </w:rPr>
        <w:t>、单位负责人为同一人或者存在控股、管理关系的不同单位，不得同时参加同一项目的遴选响应。</w:t>
      </w:r>
    </w:p>
    <w:p w14:paraId="40B7A6B4">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9</w:t>
      </w:r>
      <w:r>
        <w:rPr>
          <w:rFonts w:hint="eastAsia" w:ascii="宋体" w:hAnsi="宋体" w:eastAsia="宋体" w:cs="宋体"/>
          <w:bCs/>
          <w:sz w:val="24"/>
          <w:szCs w:val="21"/>
          <w:highlight w:val="none"/>
        </w:rPr>
        <w:t>、遴选响应人经营行为必须符合国家法律、法规和有关规定。</w:t>
      </w:r>
    </w:p>
    <w:p w14:paraId="69D854D1">
      <w:pPr>
        <w:spacing w:line="360" w:lineRule="auto"/>
        <w:ind w:firstLine="480" w:firstLineChars="200"/>
        <w:outlineLvl w:val="1"/>
        <w:rPr>
          <w:rFonts w:hint="eastAsia" w:ascii="宋体" w:hAnsi="宋体" w:eastAsia="宋体" w:cs="宋体"/>
          <w:bCs/>
          <w:sz w:val="24"/>
          <w:szCs w:val="21"/>
          <w:highlight w:val="none"/>
        </w:rPr>
      </w:pPr>
      <w:r>
        <w:rPr>
          <w:rFonts w:hint="eastAsia" w:ascii="宋体" w:hAnsi="宋体" w:eastAsia="宋体" w:cs="宋体"/>
          <w:bCs/>
          <w:sz w:val="24"/>
          <w:szCs w:val="21"/>
          <w:highlight w:val="none"/>
          <w:lang w:val="en-US" w:eastAsia="zh-CN"/>
        </w:rPr>
        <w:t>10</w:t>
      </w:r>
      <w:r>
        <w:rPr>
          <w:rFonts w:hint="eastAsia" w:ascii="宋体" w:hAnsi="宋体" w:eastAsia="宋体" w:cs="宋体"/>
          <w:bCs/>
          <w:sz w:val="24"/>
          <w:szCs w:val="21"/>
          <w:highlight w:val="none"/>
        </w:rPr>
        <w:t>、本次遴选不接受联合体遴选响应。</w:t>
      </w:r>
    </w:p>
    <w:p w14:paraId="2552659E">
      <w:pPr>
        <w:pStyle w:val="23"/>
        <w:spacing w:line="360" w:lineRule="auto"/>
        <w:ind w:firstLine="480" w:firstLineChars="200"/>
        <w:outlineLvl w:val="1"/>
        <w:rPr>
          <w:rFonts w:hint="eastAsia" w:hAnsi="宋体"/>
          <w:b/>
          <w:sz w:val="24"/>
          <w:szCs w:val="24"/>
          <w:highlight w:val="none"/>
        </w:rPr>
      </w:pPr>
      <w:r>
        <w:rPr>
          <w:rFonts w:hint="eastAsia" w:ascii="宋体" w:hAnsi="宋体" w:eastAsia="宋体" w:cs="宋体"/>
          <w:bCs/>
          <w:sz w:val="24"/>
          <w:szCs w:val="21"/>
          <w:highlight w:val="none"/>
        </w:rPr>
        <w:t>1</w:t>
      </w:r>
      <w:r>
        <w:rPr>
          <w:rFonts w:hint="eastAsia" w:ascii="宋体" w:hAnsi="宋体" w:eastAsia="宋体" w:cs="宋体"/>
          <w:bCs/>
          <w:sz w:val="24"/>
          <w:szCs w:val="21"/>
          <w:highlight w:val="none"/>
          <w:lang w:val="en-US" w:eastAsia="zh-CN"/>
        </w:rPr>
        <w:t>1</w:t>
      </w:r>
      <w:r>
        <w:rPr>
          <w:rFonts w:hint="eastAsia" w:ascii="宋体" w:hAnsi="宋体" w:eastAsia="宋体" w:cs="宋体"/>
          <w:bCs/>
          <w:sz w:val="24"/>
          <w:szCs w:val="21"/>
          <w:highlight w:val="none"/>
        </w:rPr>
        <w:t>、本次遴选未得到采购人允许，不得转包、分包，否则取消其响应、成交资格，并赔偿采购人全部损失。</w:t>
      </w:r>
    </w:p>
    <w:p w14:paraId="0620E40E">
      <w:pPr>
        <w:pStyle w:val="23"/>
        <w:spacing w:line="360" w:lineRule="auto"/>
        <w:ind w:firstLine="482"/>
        <w:outlineLvl w:val="1"/>
        <w:rPr>
          <w:rFonts w:hint="eastAsia" w:hAnsi="宋体"/>
          <w:b/>
          <w:color w:val="auto"/>
          <w:sz w:val="24"/>
          <w:szCs w:val="24"/>
          <w:highlight w:val="none"/>
        </w:rPr>
      </w:pPr>
      <w:r>
        <w:rPr>
          <w:rFonts w:hint="eastAsia" w:hAnsi="宋体"/>
          <w:b/>
          <w:color w:val="auto"/>
          <w:sz w:val="24"/>
          <w:szCs w:val="24"/>
          <w:highlight w:val="none"/>
        </w:rPr>
        <w:t>三、服务要求</w:t>
      </w:r>
    </w:p>
    <w:p w14:paraId="7379562A">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1、</w:t>
      </w:r>
      <w:r>
        <w:rPr>
          <w:rFonts w:hint="eastAsia" w:hAnsi="宋体"/>
          <w:b w:val="0"/>
          <w:bCs/>
          <w:color w:val="auto"/>
          <w:sz w:val="24"/>
          <w:szCs w:val="24"/>
          <w:highlight w:val="none"/>
        </w:rPr>
        <w:t>根据</w:t>
      </w:r>
      <w:r>
        <w:rPr>
          <w:rFonts w:hint="eastAsia" w:hAnsi="宋体"/>
          <w:b w:val="0"/>
          <w:bCs/>
          <w:color w:val="auto"/>
          <w:sz w:val="24"/>
          <w:szCs w:val="24"/>
          <w:highlight w:val="none"/>
          <w:lang w:val="en-US" w:eastAsia="zh-CN"/>
        </w:rPr>
        <w:t>项目现场实际情况或</w:t>
      </w:r>
      <w:r>
        <w:rPr>
          <w:rFonts w:hint="eastAsia" w:hAnsi="宋体"/>
          <w:b w:val="0"/>
          <w:bCs/>
          <w:color w:val="auto"/>
          <w:sz w:val="24"/>
          <w:szCs w:val="24"/>
          <w:highlight w:val="none"/>
        </w:rPr>
        <w:t>施工图纸</w:t>
      </w:r>
      <w:r>
        <w:rPr>
          <w:rFonts w:hint="eastAsia" w:hAnsi="宋体"/>
          <w:b w:val="0"/>
          <w:bCs/>
          <w:color w:val="auto"/>
          <w:sz w:val="24"/>
          <w:szCs w:val="24"/>
          <w:highlight w:val="none"/>
          <w:lang w:eastAsia="zh-CN"/>
        </w:rPr>
        <w:t>，</w:t>
      </w:r>
      <w:r>
        <w:rPr>
          <w:rFonts w:hint="eastAsia" w:hAnsi="宋体"/>
          <w:b w:val="0"/>
          <w:bCs/>
          <w:color w:val="auto"/>
          <w:sz w:val="24"/>
          <w:szCs w:val="24"/>
          <w:highlight w:val="none"/>
          <w:lang w:val="en-US" w:eastAsia="zh-CN"/>
        </w:rPr>
        <w:t>依据</w:t>
      </w:r>
      <w:r>
        <w:rPr>
          <w:rFonts w:hint="eastAsia" w:hAnsi="宋体"/>
          <w:b w:val="0"/>
          <w:bCs/>
          <w:color w:val="auto"/>
          <w:sz w:val="24"/>
          <w:szCs w:val="24"/>
          <w:highlight w:val="none"/>
        </w:rPr>
        <w:t>工程量清单计价规范及市场价格信息，精准编制或审核施工图预算、工程量清单及招标控制价，保证清单项目完整、工程量准确、组价合理，满足招标采购需求；</w:t>
      </w:r>
    </w:p>
    <w:p w14:paraId="4247192B">
      <w:pPr>
        <w:pStyle w:val="23"/>
        <w:spacing w:line="360" w:lineRule="auto"/>
        <w:ind w:firstLine="482"/>
        <w:outlineLvl w:val="1"/>
        <w:rPr>
          <w:rFonts w:hint="eastAsia" w:hAnsi="宋体"/>
          <w:b w:val="0"/>
          <w:bCs/>
          <w:color w:val="auto"/>
          <w:sz w:val="24"/>
          <w:szCs w:val="24"/>
          <w:highlight w:val="none"/>
        </w:rPr>
      </w:pPr>
      <w:r>
        <w:rPr>
          <w:rFonts w:hint="eastAsia" w:hAnsi="宋体"/>
          <w:b w:val="0"/>
          <w:bCs/>
          <w:color w:val="auto"/>
          <w:sz w:val="24"/>
          <w:szCs w:val="24"/>
          <w:highlight w:val="none"/>
          <w:lang w:val="en-US" w:eastAsia="zh-CN"/>
        </w:rPr>
        <w:t>2、</w:t>
      </w:r>
      <w:r>
        <w:rPr>
          <w:rFonts w:hint="eastAsia" w:hAnsi="宋体"/>
          <w:b w:val="0"/>
          <w:bCs/>
          <w:color w:val="auto"/>
          <w:sz w:val="24"/>
          <w:szCs w:val="24"/>
          <w:highlight w:val="none"/>
        </w:rPr>
        <w:t>接收施工单位提交的竣工结算资料，全面审核结算书的真实性、准确性、合规性，核对工程量、综合单价、取费标准、材料价格等，编制或审核竣工结算报告；协助医院开展结算争议协调、审计对接工作；</w:t>
      </w:r>
    </w:p>
    <w:p w14:paraId="039B7BEA">
      <w:pPr>
        <w:pStyle w:val="23"/>
        <w:spacing w:line="360" w:lineRule="auto"/>
        <w:ind w:firstLine="482"/>
        <w:outlineLvl w:val="1"/>
        <w:rPr>
          <w:rFonts w:hint="eastAsia" w:hAnsi="宋体"/>
          <w:b w:val="0"/>
          <w:bCs/>
          <w:color w:val="auto"/>
          <w:sz w:val="24"/>
          <w:szCs w:val="24"/>
          <w:highlight w:val="none"/>
          <w:lang w:eastAsia="zh-CN"/>
        </w:rPr>
      </w:pPr>
      <w:r>
        <w:rPr>
          <w:rFonts w:hint="eastAsia" w:hAnsi="宋体"/>
          <w:b w:val="0"/>
          <w:bCs/>
          <w:color w:val="auto"/>
          <w:sz w:val="24"/>
          <w:szCs w:val="24"/>
          <w:highlight w:val="none"/>
          <w:lang w:val="en-US" w:eastAsia="zh-CN"/>
        </w:rPr>
        <w:t>3、</w:t>
      </w:r>
      <w:r>
        <w:rPr>
          <w:rFonts w:hint="eastAsia" w:hAnsi="宋体"/>
          <w:b w:val="0"/>
          <w:bCs/>
          <w:color w:val="auto"/>
          <w:sz w:val="24"/>
          <w:szCs w:val="24"/>
          <w:highlight w:val="none"/>
        </w:rPr>
        <w:t>提供工程造价政策法规咨询、市场价格信息调研、造价管理专题培训、项目造价后评价等服务；根据医院需求，参与工程相关会议并提供造价专业意见</w:t>
      </w:r>
      <w:r>
        <w:rPr>
          <w:rFonts w:hint="eastAsia" w:hAnsi="宋体"/>
          <w:b w:val="0"/>
          <w:bCs/>
          <w:color w:val="auto"/>
          <w:sz w:val="24"/>
          <w:szCs w:val="24"/>
          <w:highlight w:val="none"/>
          <w:lang w:eastAsia="zh-CN"/>
        </w:rPr>
        <w:t>。</w:t>
      </w:r>
    </w:p>
    <w:p w14:paraId="7E0B7B4F">
      <w:pPr>
        <w:pStyle w:val="23"/>
        <w:spacing w:line="360" w:lineRule="auto"/>
        <w:ind w:firstLine="482"/>
        <w:outlineLvl w:val="1"/>
        <w:rPr>
          <w:rFonts w:hint="eastAsia" w:hAnsi="宋体"/>
          <w:b/>
          <w:color w:val="auto"/>
          <w:sz w:val="24"/>
          <w:szCs w:val="24"/>
          <w:highlight w:val="none"/>
          <w:lang w:val="en-US" w:eastAsia="zh-CN"/>
        </w:rPr>
      </w:pPr>
      <w:r>
        <w:rPr>
          <w:rFonts w:hint="eastAsia" w:hAnsi="宋体"/>
          <w:b/>
          <w:color w:val="auto"/>
          <w:sz w:val="24"/>
          <w:szCs w:val="24"/>
          <w:highlight w:val="none"/>
          <w:lang w:val="en-US" w:eastAsia="zh-CN"/>
        </w:rPr>
        <w:t>四、服务质量要求</w:t>
      </w:r>
    </w:p>
    <w:p w14:paraId="46FD1F14">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（一）合规性要求</w:t>
      </w:r>
    </w:p>
    <w:p w14:paraId="70A0F360">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所有咨询服务成果必须严格遵守国家、省、市相关法律法规、工程造价管理办法、计价规范及标准，符合医院内部工程管理相关制度要求；确保成果文件的合法性、合规性、完整性。</w:t>
      </w:r>
    </w:p>
    <w:p w14:paraId="50D38456">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（二）精准性要求</w:t>
      </w:r>
    </w:p>
    <w:p w14:paraId="00A0EFAC">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1、</w:t>
      </w:r>
      <w:r>
        <w:rPr>
          <w:rFonts w:hint="default" w:hAnsi="宋体"/>
          <w:b w:val="0"/>
          <w:bCs/>
          <w:color w:val="auto"/>
          <w:sz w:val="24"/>
          <w:szCs w:val="24"/>
          <w:highlight w:val="none"/>
          <w:lang w:val="en-US" w:eastAsia="zh-CN"/>
        </w:rPr>
        <w:t>施工图预算、结算审核等成果文件的误差率需控制在国家及行业规定范围内（如预算编制误差率不超过±3%，结算审核误差率不超过±1%，具体以相关规范为准）；</w:t>
      </w:r>
    </w:p>
    <w:p w14:paraId="428A6145">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2、</w:t>
      </w:r>
      <w:r>
        <w:rPr>
          <w:rFonts w:hint="default" w:hAnsi="宋体"/>
          <w:b w:val="0"/>
          <w:bCs/>
          <w:color w:val="auto"/>
          <w:sz w:val="24"/>
          <w:szCs w:val="24"/>
          <w:highlight w:val="none"/>
          <w:lang w:val="en-US" w:eastAsia="zh-CN"/>
        </w:rPr>
        <w:t>工程量清单编制需全面覆盖施工图纸内容，无漏项、错项；综合单价组价需准确套用定额或依据市场合理价格，清晰反映项目成本构成；</w:t>
      </w:r>
    </w:p>
    <w:p w14:paraId="5EDEB044">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（三）时效性要求</w:t>
      </w:r>
    </w:p>
    <w:p w14:paraId="42676407">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供应商需根据项目进度要求及医院通知，在规定时间内完成各类咨询服务成果交付，具体时限要求如下：</w:t>
      </w:r>
    </w:p>
    <w:p w14:paraId="69EC6AD0">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1、</w:t>
      </w:r>
      <w:r>
        <w:rPr>
          <w:rFonts w:hint="default" w:hAnsi="宋体"/>
          <w:b w:val="0"/>
          <w:bCs/>
          <w:color w:val="auto"/>
          <w:sz w:val="24"/>
          <w:szCs w:val="24"/>
          <w:highlight w:val="none"/>
          <w:lang w:val="en-US" w:eastAsia="zh-CN"/>
        </w:rPr>
        <w:t>预算、工程量清单及招标控制价编制/审核：</w:t>
      </w:r>
      <w:r>
        <w:rPr>
          <w:rFonts w:hint="eastAsia" w:hAnsi="宋体"/>
          <w:b w:val="0"/>
          <w:bCs/>
          <w:color w:val="auto"/>
          <w:sz w:val="24"/>
          <w:szCs w:val="24"/>
          <w:highlight w:val="none"/>
          <w:lang w:val="en-US" w:eastAsia="zh-CN"/>
        </w:rPr>
        <w:t>项目估算30万元以下的工程，在勘察现场或</w:t>
      </w:r>
      <w:r>
        <w:rPr>
          <w:rFonts w:hint="default" w:hAnsi="宋体"/>
          <w:b w:val="0"/>
          <w:bCs/>
          <w:color w:val="auto"/>
          <w:sz w:val="24"/>
          <w:szCs w:val="24"/>
          <w:highlight w:val="none"/>
          <w:lang w:val="en-US" w:eastAsia="zh-CN"/>
        </w:rPr>
        <w:t>收到完整施工图纸及相关资料</w:t>
      </w:r>
      <w:r>
        <w:rPr>
          <w:rFonts w:hint="eastAsia" w:hAnsi="宋体"/>
          <w:b w:val="0"/>
          <w:bCs/>
          <w:color w:val="auto"/>
          <w:sz w:val="24"/>
          <w:szCs w:val="24"/>
          <w:highlight w:val="none"/>
          <w:lang w:val="en-US" w:eastAsia="zh-CN"/>
        </w:rPr>
        <w:t>5</w:t>
      </w:r>
      <w:r>
        <w:rPr>
          <w:rFonts w:hint="default" w:hAnsi="宋体"/>
          <w:b w:val="0"/>
          <w:bCs/>
          <w:color w:val="auto"/>
          <w:sz w:val="24"/>
          <w:szCs w:val="24"/>
          <w:highlight w:val="none"/>
          <w:lang w:val="en-US" w:eastAsia="zh-CN"/>
        </w:rPr>
        <w:t>个工作日内提交初步成果，修改完善后3个工作日内提交最终成果；</w:t>
      </w:r>
      <w:r>
        <w:rPr>
          <w:rFonts w:hint="eastAsia" w:hAnsi="宋体"/>
          <w:b w:val="0"/>
          <w:bCs/>
          <w:color w:val="auto"/>
          <w:sz w:val="24"/>
          <w:szCs w:val="24"/>
          <w:highlight w:val="none"/>
          <w:lang w:val="en-US" w:eastAsia="zh-CN"/>
        </w:rPr>
        <w:t>项目估算30万元及以上的工程，在</w:t>
      </w:r>
      <w:r>
        <w:rPr>
          <w:rFonts w:hint="default" w:hAnsi="宋体"/>
          <w:b w:val="0"/>
          <w:bCs/>
          <w:color w:val="auto"/>
          <w:sz w:val="24"/>
          <w:szCs w:val="24"/>
          <w:highlight w:val="none"/>
          <w:lang w:val="en-US" w:eastAsia="zh-CN"/>
        </w:rPr>
        <w:t>收到完整施工图纸及相关资料</w:t>
      </w:r>
      <w:r>
        <w:rPr>
          <w:rFonts w:hint="eastAsia" w:hAnsi="宋体"/>
          <w:b w:val="0"/>
          <w:bCs/>
          <w:color w:val="auto"/>
          <w:sz w:val="24"/>
          <w:szCs w:val="24"/>
          <w:highlight w:val="none"/>
          <w:lang w:val="en-US" w:eastAsia="zh-CN"/>
        </w:rPr>
        <w:t>10</w:t>
      </w:r>
      <w:r>
        <w:rPr>
          <w:rFonts w:hint="default" w:hAnsi="宋体"/>
          <w:b w:val="0"/>
          <w:bCs/>
          <w:color w:val="auto"/>
          <w:sz w:val="24"/>
          <w:szCs w:val="24"/>
          <w:highlight w:val="none"/>
          <w:lang w:val="en-US" w:eastAsia="zh-CN"/>
        </w:rPr>
        <w:t>个工作日内提交初步成果，修改完善后</w:t>
      </w:r>
      <w:r>
        <w:rPr>
          <w:rFonts w:hint="eastAsia" w:hAnsi="宋体"/>
          <w:b w:val="0"/>
          <w:bCs/>
          <w:color w:val="auto"/>
          <w:sz w:val="24"/>
          <w:szCs w:val="24"/>
          <w:highlight w:val="none"/>
          <w:lang w:val="en-US" w:eastAsia="zh-CN"/>
        </w:rPr>
        <w:t>5</w:t>
      </w:r>
      <w:r>
        <w:rPr>
          <w:rFonts w:hint="default" w:hAnsi="宋体"/>
          <w:b w:val="0"/>
          <w:bCs/>
          <w:color w:val="auto"/>
          <w:sz w:val="24"/>
          <w:szCs w:val="24"/>
          <w:highlight w:val="none"/>
          <w:lang w:val="en-US" w:eastAsia="zh-CN"/>
        </w:rPr>
        <w:t>个工作日内提交最终成果；</w:t>
      </w:r>
    </w:p>
    <w:p w14:paraId="4F1D8BFC">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2、</w:t>
      </w:r>
      <w:r>
        <w:rPr>
          <w:rFonts w:hint="default" w:hAnsi="宋体"/>
          <w:b w:val="0"/>
          <w:bCs/>
          <w:color w:val="auto"/>
          <w:sz w:val="24"/>
          <w:szCs w:val="24"/>
          <w:highlight w:val="none"/>
          <w:lang w:val="en-US" w:eastAsia="zh-CN"/>
        </w:rPr>
        <w:t>竣工结算审核：收到完整结算资料后，</w:t>
      </w:r>
      <w:r>
        <w:rPr>
          <w:rFonts w:hint="eastAsia" w:hAnsi="宋体"/>
          <w:b w:val="0"/>
          <w:bCs/>
          <w:color w:val="auto"/>
          <w:sz w:val="24"/>
          <w:szCs w:val="24"/>
          <w:highlight w:val="none"/>
          <w:lang w:val="en-US" w:eastAsia="zh-CN"/>
        </w:rPr>
        <w:t>送审结算价30万元以下的工程项目</w:t>
      </w:r>
      <w:r>
        <w:rPr>
          <w:rFonts w:hint="default" w:hAnsi="宋体"/>
          <w:b w:val="0"/>
          <w:bCs/>
          <w:color w:val="auto"/>
          <w:sz w:val="24"/>
          <w:szCs w:val="24"/>
          <w:highlight w:val="none"/>
          <w:lang w:val="en-US" w:eastAsia="zh-CN"/>
        </w:rPr>
        <w:t>5个工作日内、</w:t>
      </w:r>
      <w:r>
        <w:rPr>
          <w:rFonts w:hint="eastAsia" w:hAnsi="宋体"/>
          <w:b w:val="0"/>
          <w:bCs/>
          <w:color w:val="auto"/>
          <w:sz w:val="24"/>
          <w:szCs w:val="24"/>
          <w:highlight w:val="none"/>
          <w:lang w:val="en-US" w:eastAsia="zh-CN"/>
        </w:rPr>
        <w:t>送审结算价30万元及以上的工程项目1</w:t>
      </w:r>
      <w:r>
        <w:rPr>
          <w:rFonts w:hint="default" w:hAnsi="宋体"/>
          <w:b w:val="0"/>
          <w:bCs/>
          <w:color w:val="auto"/>
          <w:sz w:val="24"/>
          <w:szCs w:val="24"/>
          <w:highlight w:val="none"/>
          <w:lang w:val="en-US" w:eastAsia="zh-CN"/>
        </w:rPr>
        <w:t>0个工作日内提交初步审核报告，双方核对完成后</w:t>
      </w:r>
      <w:r>
        <w:rPr>
          <w:rFonts w:hint="eastAsia" w:hAnsi="宋体"/>
          <w:b w:val="0"/>
          <w:bCs/>
          <w:color w:val="auto"/>
          <w:sz w:val="24"/>
          <w:szCs w:val="24"/>
          <w:highlight w:val="none"/>
          <w:lang w:val="en-US" w:eastAsia="zh-CN"/>
        </w:rPr>
        <w:t>5</w:t>
      </w:r>
      <w:r>
        <w:rPr>
          <w:rFonts w:hint="default" w:hAnsi="宋体"/>
          <w:b w:val="0"/>
          <w:bCs/>
          <w:color w:val="auto"/>
          <w:sz w:val="24"/>
          <w:szCs w:val="24"/>
          <w:highlight w:val="none"/>
          <w:lang w:val="en-US" w:eastAsia="zh-CN"/>
        </w:rPr>
        <w:t>个工作日内提交最终结算审核报告</w:t>
      </w:r>
      <w:r>
        <w:rPr>
          <w:rFonts w:hint="eastAsia" w:hAnsi="宋体"/>
          <w:b w:val="0"/>
          <w:bCs/>
          <w:color w:val="auto"/>
          <w:sz w:val="24"/>
          <w:szCs w:val="24"/>
          <w:highlight w:val="none"/>
          <w:lang w:val="en-US" w:eastAsia="zh-CN"/>
        </w:rPr>
        <w:t>及结算书</w:t>
      </w:r>
      <w:r>
        <w:rPr>
          <w:rFonts w:hint="default" w:hAnsi="宋体"/>
          <w:b w:val="0"/>
          <w:bCs/>
          <w:color w:val="auto"/>
          <w:sz w:val="24"/>
          <w:szCs w:val="24"/>
          <w:highlight w:val="none"/>
          <w:lang w:val="en-US" w:eastAsia="zh-CN"/>
        </w:rPr>
        <w:t>。</w:t>
      </w:r>
    </w:p>
    <w:p w14:paraId="3AE8F7B7">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3、针对医院突发的紧急维修、应急改造等工程项目，响应人需建立应急响应机制，接到采购人通知后，1小时内响应，4小时内派出专业人员到达现场开展造价咨询相关工作，优先保障应急项目的服务需求，确保项目能够快速推进。</w:t>
      </w:r>
    </w:p>
    <w:p w14:paraId="0D91E63D">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（四）成果文件要求</w:t>
      </w:r>
    </w:p>
    <w:p w14:paraId="240F5140">
      <w:pPr>
        <w:pStyle w:val="23"/>
        <w:spacing w:line="360" w:lineRule="auto"/>
        <w:ind w:firstLine="482"/>
        <w:outlineLvl w:val="1"/>
        <w:rPr>
          <w:rFonts w:hint="default" w:hAnsi="宋体"/>
          <w:b w:val="0"/>
          <w:bCs/>
          <w:color w:val="auto"/>
          <w:sz w:val="24"/>
          <w:szCs w:val="24"/>
          <w:highlight w:val="none"/>
          <w:lang w:val="en-US" w:eastAsia="zh-CN"/>
        </w:rPr>
      </w:pPr>
      <w:r>
        <w:rPr>
          <w:rFonts w:hint="default" w:hAnsi="宋体"/>
          <w:b w:val="0"/>
          <w:bCs/>
          <w:color w:val="auto"/>
          <w:sz w:val="24"/>
          <w:szCs w:val="24"/>
          <w:highlight w:val="none"/>
          <w:lang w:val="en-US" w:eastAsia="zh-CN"/>
        </w:rPr>
        <w:t>所有咨询服务成果需以书面形式（</w:t>
      </w:r>
      <w:r>
        <w:rPr>
          <w:rFonts w:hint="eastAsia" w:hAnsi="宋体"/>
          <w:b w:val="0"/>
          <w:bCs/>
          <w:color w:val="auto"/>
          <w:sz w:val="24"/>
          <w:szCs w:val="24"/>
          <w:highlight w:val="none"/>
          <w:lang w:val="en-US" w:eastAsia="zh-CN"/>
        </w:rPr>
        <w:t>采购人4</w:t>
      </w:r>
      <w:r>
        <w:rPr>
          <w:rFonts w:hint="default" w:hAnsi="宋体"/>
          <w:b w:val="0"/>
          <w:bCs/>
          <w:color w:val="auto"/>
          <w:sz w:val="24"/>
          <w:szCs w:val="24"/>
          <w:highlight w:val="none"/>
          <w:lang w:val="en-US" w:eastAsia="zh-CN"/>
        </w:rPr>
        <w:t>份</w:t>
      </w:r>
      <w:r>
        <w:rPr>
          <w:rFonts w:hint="eastAsia" w:hAnsi="宋体"/>
          <w:b w:val="0"/>
          <w:bCs/>
          <w:color w:val="auto"/>
          <w:sz w:val="24"/>
          <w:szCs w:val="24"/>
          <w:highlight w:val="none"/>
          <w:lang w:val="en-US" w:eastAsia="zh-CN"/>
        </w:rPr>
        <w:t>，响应人根据自身需要确定数量</w:t>
      </w:r>
      <w:r>
        <w:rPr>
          <w:rFonts w:hint="default" w:hAnsi="宋体"/>
          <w:b w:val="0"/>
          <w:bCs/>
          <w:color w:val="auto"/>
          <w:sz w:val="24"/>
          <w:szCs w:val="24"/>
          <w:highlight w:val="none"/>
          <w:lang w:val="en-US" w:eastAsia="zh-CN"/>
        </w:rPr>
        <w:t>）及电子文档形式</w:t>
      </w:r>
      <w:r>
        <w:rPr>
          <w:rFonts w:hint="eastAsia" w:hAnsi="宋体"/>
          <w:b w:val="0"/>
          <w:bCs/>
          <w:color w:val="auto"/>
          <w:sz w:val="24"/>
          <w:szCs w:val="24"/>
          <w:highlight w:val="none"/>
          <w:lang w:val="en-US" w:eastAsia="zh-CN"/>
        </w:rPr>
        <w:t>（包括但不限于Excel版本及计价软件版本）</w:t>
      </w:r>
      <w:r>
        <w:rPr>
          <w:rFonts w:hint="default" w:hAnsi="宋体"/>
          <w:b w:val="0"/>
          <w:bCs/>
          <w:color w:val="auto"/>
          <w:sz w:val="24"/>
          <w:szCs w:val="24"/>
          <w:highlight w:val="none"/>
          <w:lang w:val="en-US" w:eastAsia="zh-CN"/>
        </w:rPr>
        <w:t>提交，成果文件需包含完整的编制说明、计算过程、汇总表、相关依据资料（图纸摘录、定额套用、市场价格调研记录等），并加盖</w:t>
      </w:r>
      <w:r>
        <w:rPr>
          <w:rFonts w:hint="eastAsia" w:hAnsi="宋体"/>
          <w:b w:val="0"/>
          <w:bCs/>
          <w:color w:val="auto"/>
          <w:sz w:val="24"/>
          <w:szCs w:val="24"/>
          <w:highlight w:val="none"/>
          <w:lang w:val="en-US" w:eastAsia="zh-CN"/>
        </w:rPr>
        <w:t>响应人</w:t>
      </w:r>
      <w:r>
        <w:rPr>
          <w:rFonts w:hint="default" w:hAnsi="宋体"/>
          <w:b w:val="0"/>
          <w:bCs/>
          <w:color w:val="auto"/>
          <w:sz w:val="24"/>
          <w:szCs w:val="24"/>
          <w:highlight w:val="none"/>
          <w:lang w:val="en-US" w:eastAsia="zh-CN"/>
        </w:rPr>
        <w:t>公章及注册造价工程师执业印章；成果文件需清晰、规范、逻辑严谨，便于医院审核及后续管理使用。</w:t>
      </w:r>
    </w:p>
    <w:p w14:paraId="0CE678BE">
      <w:pPr>
        <w:pStyle w:val="23"/>
        <w:spacing w:line="360" w:lineRule="auto"/>
        <w:ind w:firstLine="482"/>
        <w:outlineLvl w:val="1"/>
        <w:rPr>
          <w:rFonts w:hint="default" w:hAnsi="宋体"/>
          <w:b/>
          <w:color w:val="auto"/>
          <w:sz w:val="24"/>
          <w:szCs w:val="24"/>
          <w:highlight w:val="none"/>
          <w:lang w:val="en-US" w:eastAsia="zh-CN"/>
        </w:rPr>
      </w:pPr>
      <w:r>
        <w:rPr>
          <w:rFonts w:hint="eastAsia" w:hAnsi="宋体"/>
          <w:b/>
          <w:color w:val="auto"/>
          <w:sz w:val="24"/>
          <w:szCs w:val="24"/>
          <w:highlight w:val="none"/>
          <w:lang w:val="en-US" w:eastAsia="zh-CN"/>
        </w:rPr>
        <w:t>五、其他要求</w:t>
      </w:r>
    </w:p>
    <w:p w14:paraId="7D848427">
      <w:pPr>
        <w:pStyle w:val="23"/>
        <w:spacing w:line="360" w:lineRule="auto"/>
        <w:ind w:firstLine="482"/>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1、服务过程中使用的造价软件需为正版软件，且能够满足医院工程计价需求；</w:t>
      </w:r>
    </w:p>
    <w:p w14:paraId="65861370">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2、供应商需按照医院要求，配合完成各类造价相关的资料整理、备案等工作；</w:t>
      </w:r>
    </w:p>
    <w:p w14:paraId="6133B12F">
      <w:pPr>
        <w:pStyle w:val="23"/>
        <w:spacing w:line="360" w:lineRule="auto"/>
        <w:ind w:firstLine="482"/>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3、本次遴选按评审得分高低排名顺序组成供应商库，采用库内轮序选取服务供应商的方式委托服务，中选供应商须无条件配合采购人在广东省网上中介服务超市完成所有项目的报名工作，如中选供应商不配合完成报名，则取消其本轮或下一轮的委托资格，年度累计不配合完成报名达到3次的，采购人有权终止协议并将其移出本项目供应商库。（如供应商库内有A、B、C、D、E、F共6家供应商，某项目应轮至供应商A接受委托，则供应商A及排其后的供应商B和C均应参与报名，以此类推。）</w:t>
      </w:r>
    </w:p>
    <w:p w14:paraId="1A47CC85">
      <w:pPr>
        <w:pStyle w:val="23"/>
        <w:spacing w:line="360" w:lineRule="auto"/>
        <w:ind w:firstLine="482"/>
        <w:outlineLvl w:val="1"/>
        <w:rPr>
          <w:rFonts w:hint="eastAsia"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4、中选供应商不得因项目金额过小而拒绝提供服务，如确无法提供服务的，可向采购人提出书面申请，经采购人同意后可不接受当次委托，但该供应商将在下一轮委托中暂停一次项目委托。被拒绝提供服务的项目将由排序后一的中选供应商提供服务。供应商年度累计拒绝提供服务达到3次的，采购人有权终止协议并将其移出本项目供应商库。</w:t>
      </w:r>
    </w:p>
    <w:p w14:paraId="513E6C09">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5、服务期限内，采购人有权根据项目实际需求调整服务范围，响应人需积极配合。</w:t>
      </w:r>
    </w:p>
    <w:p w14:paraId="1346DA7A">
      <w:pPr>
        <w:pStyle w:val="23"/>
        <w:spacing w:line="360" w:lineRule="auto"/>
        <w:ind w:firstLine="482"/>
        <w:outlineLvl w:val="1"/>
        <w:rPr>
          <w:rFonts w:hint="eastAsia" w:hAnsi="宋体"/>
          <w:b/>
          <w:color w:val="auto"/>
          <w:sz w:val="24"/>
          <w:szCs w:val="24"/>
          <w:highlight w:val="none"/>
          <w:lang w:val="en-US" w:eastAsia="zh-CN"/>
        </w:rPr>
      </w:pPr>
      <w:bookmarkStart w:id="76" w:name="_Toc184723296"/>
      <w:r>
        <w:rPr>
          <w:rFonts w:hint="eastAsia" w:hAnsi="宋体"/>
          <w:b/>
          <w:color w:val="auto"/>
          <w:sz w:val="24"/>
          <w:szCs w:val="24"/>
          <w:highlight w:val="none"/>
          <w:lang w:val="en-US" w:eastAsia="zh-CN"/>
        </w:rPr>
        <w:t>六</w:t>
      </w:r>
      <w:r>
        <w:rPr>
          <w:rFonts w:hAnsi="宋体"/>
          <w:b/>
          <w:color w:val="auto"/>
          <w:sz w:val="24"/>
          <w:szCs w:val="24"/>
          <w:highlight w:val="none"/>
        </w:rPr>
        <w:t>、</w:t>
      </w:r>
      <w:r>
        <w:rPr>
          <w:rFonts w:hint="eastAsia" w:hAnsi="宋体"/>
          <w:b/>
          <w:color w:val="auto"/>
          <w:sz w:val="24"/>
          <w:szCs w:val="24"/>
          <w:highlight w:val="none"/>
          <w:lang w:val="en-US" w:eastAsia="zh-CN"/>
        </w:rPr>
        <w:t>考核内容及标准</w:t>
      </w:r>
    </w:p>
    <w:p w14:paraId="1E1619A0">
      <w:pPr>
        <w:pStyle w:val="23"/>
        <w:spacing w:line="360" w:lineRule="auto"/>
        <w:ind w:firstLine="482"/>
        <w:outlineLvl w:val="1"/>
        <w:rPr>
          <w:rFonts w:hint="default" w:hAnsi="宋体"/>
          <w:b w:val="0"/>
          <w:bCs/>
          <w:color w:val="auto"/>
          <w:sz w:val="24"/>
          <w:szCs w:val="24"/>
          <w:highlight w:val="none"/>
          <w:lang w:val="en-US" w:eastAsia="zh-CN"/>
        </w:rPr>
      </w:pPr>
      <w:r>
        <w:rPr>
          <w:rFonts w:hint="eastAsia" w:hAnsi="宋体"/>
          <w:b w:val="0"/>
          <w:bCs/>
          <w:color w:val="auto"/>
          <w:sz w:val="24"/>
          <w:szCs w:val="24"/>
          <w:highlight w:val="none"/>
          <w:lang w:val="en-US" w:eastAsia="zh-CN"/>
        </w:rPr>
        <w:t xml:space="preserve">采购人在每个工程项目造价咨询服务完成后，对供应商进行考核，考核内容及评分标准详见附件《开平市中医院工程造价咨询机构服务考核表》。在协议期满前，采购人统计协议期内各工程造价咨询机构所有服务项目的平均得分（所有服务项目的考核总分/服务项目总数），得分高于或等于90分的为合格，被评定为合格的工程造价咨询机构，在该年度协议到期后，可续签下一年协议；如有工程造价咨询机构在年度协议期内考核不合格或有重大违法记录的，采购人有权终止协议，并可以从中标候选人中按排名顺序另行确定新的中标供应商替补或公开遴选补充。 </w:t>
      </w:r>
    </w:p>
    <w:p w14:paraId="72FE201C">
      <w:pPr>
        <w:pStyle w:val="23"/>
        <w:spacing w:line="360" w:lineRule="auto"/>
        <w:ind w:firstLine="482"/>
        <w:outlineLvl w:val="1"/>
        <w:rPr>
          <w:rFonts w:hint="eastAsia" w:hAnsi="宋体"/>
          <w:b/>
          <w:sz w:val="24"/>
          <w:szCs w:val="24"/>
          <w:highlight w:val="none"/>
          <w:lang w:val="en-US" w:eastAsia="zh-CN"/>
        </w:rPr>
      </w:pPr>
      <w:r>
        <w:rPr>
          <w:rFonts w:hint="eastAsia" w:hAnsi="宋体"/>
          <w:b/>
          <w:sz w:val="24"/>
          <w:szCs w:val="24"/>
          <w:highlight w:val="none"/>
          <w:lang w:val="en-US" w:eastAsia="zh-CN"/>
        </w:rPr>
        <w:t>七、报价要求</w:t>
      </w:r>
    </w:p>
    <w:p w14:paraId="144D2E43">
      <w:pPr>
        <w:pStyle w:val="23"/>
        <w:spacing w:line="360" w:lineRule="auto"/>
        <w:ind w:firstLine="482"/>
        <w:outlineLvl w:val="1"/>
        <w:rPr>
          <w:rFonts w:hint="default" w:hAnsi="宋体"/>
          <w:b w:val="0"/>
          <w:bCs/>
          <w:sz w:val="24"/>
          <w:szCs w:val="24"/>
          <w:highlight w:val="none"/>
          <w:lang w:val="en-US" w:eastAsia="zh-CN"/>
        </w:rPr>
      </w:pPr>
      <w:r>
        <w:rPr>
          <w:rFonts w:hint="eastAsia" w:hAnsi="宋体"/>
          <w:b w:val="0"/>
          <w:bCs/>
          <w:sz w:val="24"/>
          <w:szCs w:val="24"/>
          <w:highlight w:val="none"/>
          <w:lang w:val="en-US" w:eastAsia="zh-CN"/>
        </w:rPr>
        <w:t>本项目投报折扣率，供应商所投报折扣率应＞0%且≤100%，否则按无效响应处理。</w:t>
      </w:r>
    </w:p>
    <w:p w14:paraId="52D93217">
      <w:pPr>
        <w:pStyle w:val="23"/>
        <w:spacing w:line="360" w:lineRule="auto"/>
        <w:ind w:firstLine="482"/>
        <w:outlineLvl w:val="1"/>
        <w:rPr>
          <w:rFonts w:hint="default" w:hAnsi="宋体"/>
          <w:b w:val="0"/>
          <w:bCs/>
          <w:sz w:val="24"/>
          <w:szCs w:val="24"/>
          <w:highlight w:val="none"/>
          <w:lang w:val="en-US" w:eastAsia="zh-CN"/>
        </w:rPr>
      </w:pPr>
      <w:r>
        <w:rPr>
          <w:rFonts w:hint="eastAsia" w:ascii="宋体" w:hAnsi="宋体" w:eastAsia="宋体"/>
          <w:b w:val="0"/>
          <w:bCs/>
          <w:sz w:val="24"/>
          <w:highlight w:val="none"/>
          <w:lang w:val="en-US" w:eastAsia="zh-CN"/>
        </w:rPr>
        <w:t>服务费计取原则：单个项目服务费按照开平市卫生健康局《关于加强开平市医疗卫生单位建设工程前期费用及网上中介服务超市规范管理的通知》（开卫字(2019)371号）的封顶比例计算的服务费用为基数，再乘以中选折扣率得出最终服务费用。如最终服务费用小于600元，则按600元支付。</w:t>
      </w:r>
    </w:p>
    <w:p w14:paraId="054287EA">
      <w:pPr>
        <w:pStyle w:val="23"/>
        <w:spacing w:line="360" w:lineRule="auto"/>
        <w:ind w:firstLine="482"/>
        <w:outlineLvl w:val="1"/>
        <w:rPr>
          <w:rFonts w:hAnsi="宋体"/>
          <w:b/>
          <w:sz w:val="24"/>
          <w:szCs w:val="24"/>
          <w:highlight w:val="none"/>
        </w:rPr>
      </w:pPr>
      <w:r>
        <w:rPr>
          <w:rFonts w:hint="eastAsia" w:hAnsi="宋体"/>
          <w:b/>
          <w:sz w:val="24"/>
          <w:szCs w:val="24"/>
          <w:highlight w:val="none"/>
          <w:lang w:val="en-US" w:eastAsia="zh-CN"/>
        </w:rPr>
        <w:t>八、</w:t>
      </w:r>
      <w:r>
        <w:rPr>
          <w:rFonts w:hint="eastAsia" w:hAnsi="宋体"/>
          <w:b/>
          <w:sz w:val="24"/>
          <w:szCs w:val="24"/>
          <w:highlight w:val="none"/>
        </w:rPr>
        <w:t>评审办法和标准</w:t>
      </w:r>
      <w:bookmarkEnd w:id="76"/>
    </w:p>
    <w:p w14:paraId="19F79A2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评审原则：遵循公开、公平、公正的原则，采用综合评分法。</w:t>
      </w:r>
    </w:p>
    <w:p w14:paraId="7DABC0F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通过资格评审的供应商数量 ≥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家时，按评审得分从高到低排序，选取前</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家作为中选供应商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如出现并列情况则按照第四部分“评审办法”处理</w:t>
      </w:r>
      <w:r>
        <w:rPr>
          <w:rFonts w:hint="eastAsia" w:ascii="宋体" w:hAnsi="宋体" w:eastAsia="宋体" w:cs="宋体"/>
          <w:color w:val="auto"/>
          <w:sz w:val="24"/>
          <w:szCs w:val="24"/>
          <w:highlight w:val="none"/>
        </w:rPr>
        <w:t>。</w:t>
      </w:r>
    </w:p>
    <w:p w14:paraId="07A9E6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通过资格评审的供应商数量 </w:t>
      </w:r>
      <w:r>
        <w:rPr>
          <w:rFonts w:hint="eastAsia" w:eastAsia="宋体"/>
          <w:bCs/>
          <w:sz w:val="24"/>
          <w:szCs w:val="21"/>
          <w:highlight w:val="none"/>
          <w:lang w:val="en-US" w:eastAsia="zh-CN"/>
        </w:rPr>
        <w:t xml:space="preserve">＜ </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家时，所有通过评审的供应商均中选。</w:t>
      </w:r>
    </w:p>
    <w:p w14:paraId="77567C24">
      <w:pPr>
        <w:spacing w:line="360" w:lineRule="auto"/>
        <w:ind w:firstLine="480" w:firstLineChars="200"/>
        <w:rPr>
          <w:rFonts w:hint="eastAsia" w:ascii="宋体" w:hAnsi="宋体" w:eastAsia="宋体" w:cs="宋体"/>
          <w:sz w:val="24"/>
          <w:szCs w:val="24"/>
          <w:highlight w:val="none"/>
        </w:rPr>
      </w:pPr>
    </w:p>
    <w:bookmarkEnd w:id="63"/>
    <w:bookmarkEnd w:id="64"/>
    <w:bookmarkEnd w:id="65"/>
    <w:bookmarkEnd w:id="66"/>
    <w:bookmarkEnd w:id="67"/>
    <w:bookmarkEnd w:id="68"/>
    <w:bookmarkEnd w:id="69"/>
    <w:p w14:paraId="3CA712E5">
      <w:pPr>
        <w:spacing w:line="360" w:lineRule="auto"/>
        <w:ind w:firstLine="720" w:firstLineChars="200"/>
        <w:rPr>
          <w:sz w:val="36"/>
          <w:szCs w:val="28"/>
          <w:highlight w:val="none"/>
        </w:rPr>
      </w:pPr>
      <w:bookmarkStart w:id="77" w:name="_Toc51756452"/>
      <w:bookmarkStart w:id="78" w:name="_Toc51939417"/>
      <w:bookmarkStart w:id="79" w:name="_Toc52021499"/>
      <w:bookmarkStart w:id="80" w:name="_Toc56352971"/>
      <w:bookmarkStart w:id="81" w:name="_Toc52027886"/>
      <w:bookmarkStart w:id="82" w:name="_Toc476976155"/>
      <w:bookmarkStart w:id="83" w:name="_Toc467236723"/>
      <w:bookmarkStart w:id="84" w:name="_Toc458262598"/>
      <w:bookmarkStart w:id="85" w:name="_Toc486671527"/>
      <w:r>
        <w:rPr>
          <w:sz w:val="36"/>
          <w:szCs w:val="28"/>
          <w:highlight w:val="none"/>
        </w:rPr>
        <w:br w:type="page"/>
      </w:r>
      <w:bookmarkStart w:id="232" w:name="_GoBack"/>
      <w:bookmarkEnd w:id="232"/>
    </w:p>
    <w:p w14:paraId="203F2DA9">
      <w:pPr>
        <w:pStyle w:val="2"/>
        <w:keepNext w:val="0"/>
        <w:keepLines w:val="0"/>
        <w:spacing w:before="0" w:after="0" w:line="360" w:lineRule="auto"/>
        <w:jc w:val="center"/>
        <w:rPr>
          <w:rFonts w:ascii="Times New Roman"/>
          <w:sz w:val="36"/>
          <w:szCs w:val="28"/>
          <w:highlight w:val="none"/>
        </w:rPr>
      </w:pPr>
      <w:bookmarkStart w:id="86" w:name="_Toc184723298"/>
      <w:r>
        <w:rPr>
          <w:rFonts w:ascii="Times New Roman"/>
          <w:sz w:val="36"/>
          <w:szCs w:val="28"/>
          <w:highlight w:val="none"/>
        </w:rPr>
        <w:t>第三部分</w:t>
      </w:r>
      <w:bookmarkEnd w:id="77"/>
      <w:bookmarkEnd w:id="78"/>
      <w:bookmarkEnd w:id="79"/>
      <w:bookmarkEnd w:id="80"/>
      <w:bookmarkEnd w:id="81"/>
      <w:r>
        <w:rPr>
          <w:rFonts w:ascii="Times New Roman"/>
          <w:sz w:val="36"/>
          <w:szCs w:val="28"/>
          <w:highlight w:val="none"/>
        </w:rPr>
        <w:t xml:space="preserve">  供应商须知</w:t>
      </w:r>
      <w:bookmarkEnd w:id="82"/>
      <w:bookmarkEnd w:id="83"/>
      <w:bookmarkEnd w:id="84"/>
      <w:bookmarkEnd w:id="85"/>
      <w:bookmarkEnd w:id="86"/>
    </w:p>
    <w:p w14:paraId="7E914613">
      <w:pPr>
        <w:pStyle w:val="3"/>
        <w:keepNext w:val="0"/>
        <w:keepLines w:val="0"/>
        <w:spacing w:beforeLines="50" w:after="0" w:line="360" w:lineRule="auto"/>
        <w:jc w:val="center"/>
        <w:rPr>
          <w:rFonts w:ascii="Times New Roman" w:hAnsi="Times New Roman" w:eastAsia="宋体"/>
          <w:sz w:val="24"/>
          <w:szCs w:val="21"/>
          <w:highlight w:val="none"/>
        </w:rPr>
      </w:pPr>
      <w:bookmarkStart w:id="87" w:name="_Toc102277756"/>
      <w:bookmarkStart w:id="88" w:name="_Toc184723299"/>
      <w:bookmarkStart w:id="89" w:name="_Toc466786434"/>
      <w:bookmarkStart w:id="90" w:name="_Toc6968687"/>
      <w:bookmarkStart w:id="91" w:name="_Toc507407359"/>
      <w:bookmarkStart w:id="92" w:name="_Toc6882675"/>
      <w:bookmarkStart w:id="93" w:name="_Toc467987807"/>
      <w:bookmarkStart w:id="94" w:name="_Toc468157520"/>
      <w:bookmarkStart w:id="95" w:name="_Toc467236724"/>
      <w:bookmarkStart w:id="96" w:name="_Toc48207756"/>
      <w:bookmarkStart w:id="97" w:name="_Toc479991566"/>
      <w:bookmarkStart w:id="98" w:name="_Toc458262599"/>
      <w:bookmarkStart w:id="99" w:name="_Toc480021037"/>
      <w:bookmarkStart w:id="100" w:name="_Toc480020241"/>
      <w:bookmarkStart w:id="101" w:name="_Toc480171863"/>
      <w:bookmarkStart w:id="102" w:name="_Toc480010692"/>
      <w:bookmarkStart w:id="103" w:name="_Toc468606013"/>
      <w:r>
        <w:rPr>
          <w:rFonts w:ascii="Times New Roman" w:hAnsi="Times New Roman" w:eastAsia="宋体"/>
          <w:sz w:val="24"/>
          <w:szCs w:val="21"/>
          <w:highlight w:val="none"/>
        </w:rPr>
        <w:t>一、说  明</w:t>
      </w:r>
      <w:bookmarkEnd w:id="87"/>
      <w:bookmarkEnd w:id="88"/>
      <w:bookmarkEnd w:id="89"/>
      <w:bookmarkEnd w:id="90"/>
      <w:bookmarkEnd w:id="91"/>
      <w:bookmarkEnd w:id="92"/>
    </w:p>
    <w:p w14:paraId="2F3462D0">
      <w:pPr>
        <w:pStyle w:val="5"/>
        <w:keepNext w:val="0"/>
        <w:keepLines w:val="0"/>
        <w:adjustRightInd/>
        <w:spacing w:before="0" w:after="0" w:line="360" w:lineRule="auto"/>
        <w:ind w:firstLine="482" w:firstLineChars="200"/>
        <w:rPr>
          <w:rFonts w:ascii="Times New Roman"/>
          <w:b w:val="0"/>
          <w:sz w:val="24"/>
          <w:szCs w:val="21"/>
          <w:highlight w:val="none"/>
        </w:rPr>
      </w:pPr>
      <w:bookmarkStart w:id="104" w:name="_Toc475249114"/>
      <w:r>
        <w:rPr>
          <w:rFonts w:ascii="Times New Roman"/>
          <w:sz w:val="24"/>
          <w:szCs w:val="21"/>
          <w:highlight w:val="none"/>
        </w:rPr>
        <w:t>1.适用范围</w:t>
      </w:r>
      <w:bookmarkEnd w:id="104"/>
    </w:p>
    <w:p w14:paraId="7E730A2F">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1.1本</w:t>
      </w:r>
      <w:r>
        <w:rPr>
          <w:rFonts w:hint="eastAsia" w:eastAsia="宋体"/>
          <w:sz w:val="24"/>
          <w:szCs w:val="21"/>
          <w:highlight w:val="none"/>
        </w:rPr>
        <w:t>遴选</w:t>
      </w:r>
      <w:r>
        <w:rPr>
          <w:rFonts w:eastAsia="宋体"/>
          <w:sz w:val="24"/>
          <w:szCs w:val="21"/>
          <w:highlight w:val="none"/>
        </w:rPr>
        <w:t>文件仅适用于本次采购邀请中所叙述的项目。</w:t>
      </w:r>
    </w:p>
    <w:p w14:paraId="39B2A3D5">
      <w:pPr>
        <w:autoSpaceDE w:val="0"/>
        <w:autoSpaceDN w:val="0"/>
        <w:spacing w:line="360" w:lineRule="auto"/>
        <w:ind w:firstLine="480" w:firstLineChars="200"/>
        <w:jc w:val="left"/>
        <w:textAlignment w:val="baseline"/>
        <w:rPr>
          <w:rFonts w:eastAsia="宋体"/>
          <w:sz w:val="24"/>
          <w:szCs w:val="21"/>
          <w:highlight w:val="none"/>
        </w:rPr>
      </w:pPr>
      <w:r>
        <w:rPr>
          <w:rFonts w:eastAsia="宋体"/>
          <w:sz w:val="24"/>
          <w:szCs w:val="21"/>
          <w:highlight w:val="none"/>
        </w:rPr>
        <w:t>1.2本</w:t>
      </w:r>
      <w:r>
        <w:rPr>
          <w:rFonts w:hint="eastAsia" w:eastAsia="宋体"/>
          <w:sz w:val="24"/>
          <w:szCs w:val="21"/>
          <w:highlight w:val="none"/>
        </w:rPr>
        <w:t>遴选</w:t>
      </w:r>
      <w:r>
        <w:rPr>
          <w:rFonts w:eastAsia="宋体"/>
          <w:sz w:val="24"/>
          <w:szCs w:val="21"/>
          <w:highlight w:val="none"/>
        </w:rPr>
        <w:t>文件的解释权</w:t>
      </w:r>
      <w:r>
        <w:rPr>
          <w:rFonts w:hint="eastAsia" w:eastAsia="宋体"/>
          <w:sz w:val="24"/>
          <w:szCs w:val="21"/>
          <w:highlight w:val="none"/>
        </w:rPr>
        <w:t>归采购人所有</w:t>
      </w:r>
      <w:r>
        <w:rPr>
          <w:rFonts w:eastAsia="宋体"/>
          <w:sz w:val="24"/>
          <w:szCs w:val="21"/>
          <w:highlight w:val="none"/>
        </w:rPr>
        <w:t>。</w:t>
      </w:r>
    </w:p>
    <w:p w14:paraId="06CD5656">
      <w:pPr>
        <w:pStyle w:val="5"/>
        <w:keepNext w:val="0"/>
        <w:keepLines w:val="0"/>
        <w:adjustRightInd/>
        <w:spacing w:before="0" w:after="0" w:line="360" w:lineRule="auto"/>
        <w:ind w:firstLine="482" w:firstLineChars="200"/>
        <w:rPr>
          <w:rFonts w:ascii="Times New Roman"/>
          <w:b w:val="0"/>
          <w:sz w:val="24"/>
          <w:szCs w:val="21"/>
          <w:highlight w:val="none"/>
        </w:rPr>
      </w:pPr>
      <w:bookmarkStart w:id="105" w:name="_Toc475249115"/>
      <w:r>
        <w:rPr>
          <w:rFonts w:ascii="Times New Roman"/>
          <w:sz w:val="24"/>
          <w:szCs w:val="21"/>
          <w:highlight w:val="none"/>
        </w:rPr>
        <w:t>2.定义</w:t>
      </w:r>
      <w:bookmarkEnd w:id="105"/>
    </w:p>
    <w:p w14:paraId="1BCF8C57">
      <w:pPr>
        <w:spacing w:line="360" w:lineRule="auto"/>
        <w:ind w:firstLine="480" w:firstLineChars="200"/>
        <w:outlineLvl w:val="3"/>
        <w:rPr>
          <w:rFonts w:ascii="宋体" w:hAnsi="宋体" w:eastAsia="宋体"/>
          <w:sz w:val="24"/>
          <w:szCs w:val="21"/>
          <w:highlight w:val="none"/>
        </w:rPr>
      </w:pPr>
      <w:r>
        <w:rPr>
          <w:rFonts w:eastAsia="宋体"/>
          <w:sz w:val="24"/>
          <w:szCs w:val="21"/>
          <w:highlight w:val="none"/>
        </w:rPr>
        <w:t>2.1“</w:t>
      </w:r>
      <w:r>
        <w:rPr>
          <w:rFonts w:hint="eastAsia" w:eastAsia="宋体"/>
          <w:sz w:val="24"/>
          <w:szCs w:val="21"/>
          <w:highlight w:val="none"/>
        </w:rPr>
        <w:t>采购人</w:t>
      </w:r>
      <w:r>
        <w:rPr>
          <w:rFonts w:eastAsia="宋体"/>
          <w:sz w:val="24"/>
          <w:szCs w:val="21"/>
          <w:highlight w:val="none"/>
        </w:rPr>
        <w:t>”是指</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5EB797E9">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2</w:t>
      </w:r>
      <w:r>
        <w:rPr>
          <w:rFonts w:eastAsia="宋体"/>
          <w:sz w:val="24"/>
          <w:szCs w:val="21"/>
          <w:highlight w:val="none"/>
        </w:rPr>
        <w:t>“供应商”指向</w:t>
      </w:r>
      <w:r>
        <w:rPr>
          <w:rFonts w:hint="eastAsia" w:eastAsia="宋体"/>
          <w:sz w:val="24"/>
          <w:szCs w:val="21"/>
          <w:highlight w:val="none"/>
        </w:rPr>
        <w:t>采购人</w:t>
      </w:r>
      <w:r>
        <w:rPr>
          <w:rFonts w:eastAsia="宋体"/>
          <w:sz w:val="24"/>
          <w:szCs w:val="21"/>
          <w:highlight w:val="none"/>
        </w:rPr>
        <w:t>提交响应文件的法人、其他组织或自然人。</w:t>
      </w:r>
    </w:p>
    <w:p w14:paraId="5C131286">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3</w:t>
      </w:r>
      <w:r>
        <w:rPr>
          <w:rFonts w:eastAsia="宋体"/>
          <w:sz w:val="24"/>
          <w:szCs w:val="21"/>
          <w:highlight w:val="none"/>
        </w:rPr>
        <w:t>服务：</w:t>
      </w:r>
      <w:r>
        <w:rPr>
          <w:rFonts w:hint="eastAsia" w:eastAsia="宋体"/>
          <w:sz w:val="24"/>
          <w:szCs w:val="21"/>
          <w:highlight w:val="none"/>
        </w:rPr>
        <w:t>遴选</w:t>
      </w:r>
      <w:r>
        <w:rPr>
          <w:rFonts w:eastAsia="宋体"/>
          <w:sz w:val="24"/>
          <w:szCs w:val="21"/>
          <w:highlight w:val="none"/>
        </w:rPr>
        <w:t>文件规定卖方必须承担的咨询、技术协助及其它相关义务。</w:t>
      </w:r>
    </w:p>
    <w:p w14:paraId="76F8C252">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4</w:t>
      </w:r>
      <w:r>
        <w:rPr>
          <w:rFonts w:eastAsia="宋体"/>
          <w:sz w:val="24"/>
          <w:szCs w:val="21"/>
          <w:highlight w:val="none"/>
        </w:rPr>
        <w:t>语言：采购文件的语言为简体中文。</w:t>
      </w:r>
    </w:p>
    <w:p w14:paraId="68C991A8">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5</w:t>
      </w:r>
      <w:r>
        <w:rPr>
          <w:rFonts w:eastAsia="宋体"/>
          <w:sz w:val="24"/>
          <w:szCs w:val="21"/>
          <w:highlight w:val="none"/>
        </w:rPr>
        <w:t>日期：指公历日。</w:t>
      </w:r>
    </w:p>
    <w:p w14:paraId="62A12EC7">
      <w:pPr>
        <w:spacing w:line="360" w:lineRule="auto"/>
        <w:ind w:firstLine="480" w:firstLineChars="200"/>
        <w:rPr>
          <w:rFonts w:eastAsia="宋体"/>
          <w:sz w:val="24"/>
          <w:szCs w:val="21"/>
          <w:highlight w:val="none"/>
        </w:rPr>
      </w:pPr>
      <w:r>
        <w:rPr>
          <w:rFonts w:eastAsia="宋体"/>
          <w:sz w:val="24"/>
          <w:szCs w:val="21"/>
          <w:highlight w:val="none"/>
        </w:rPr>
        <w:t>2.</w:t>
      </w:r>
      <w:r>
        <w:rPr>
          <w:rFonts w:hint="eastAsia" w:eastAsia="宋体"/>
          <w:sz w:val="24"/>
          <w:szCs w:val="21"/>
          <w:highlight w:val="none"/>
        </w:rPr>
        <w:t>6</w:t>
      </w:r>
      <w:r>
        <w:rPr>
          <w:rFonts w:eastAsia="宋体"/>
          <w:sz w:val="24"/>
          <w:szCs w:val="21"/>
          <w:highlight w:val="none"/>
        </w:rPr>
        <w:t>时间：指北京时间。</w:t>
      </w:r>
    </w:p>
    <w:p w14:paraId="44DAD0DA">
      <w:pPr>
        <w:pStyle w:val="5"/>
        <w:keepNext w:val="0"/>
        <w:keepLines w:val="0"/>
        <w:adjustRightInd/>
        <w:spacing w:before="0" w:after="0" w:line="360" w:lineRule="auto"/>
        <w:ind w:firstLine="482" w:firstLineChars="200"/>
        <w:rPr>
          <w:rFonts w:ascii="Times New Roman"/>
          <w:sz w:val="24"/>
          <w:szCs w:val="21"/>
          <w:highlight w:val="none"/>
        </w:rPr>
      </w:pPr>
      <w:bookmarkStart w:id="106" w:name="_Toc110953831"/>
      <w:bookmarkStart w:id="107" w:name="_Toc102277757"/>
      <w:bookmarkStart w:id="108" w:name="_Toc6882676"/>
      <w:bookmarkStart w:id="109" w:name="_Toc6968688"/>
      <w:bookmarkStart w:id="110" w:name="_Toc466786435"/>
      <w:bookmarkStart w:id="111" w:name="_Toc507407360"/>
      <w:r>
        <w:rPr>
          <w:rFonts w:ascii="Times New Roman"/>
          <w:sz w:val="24"/>
          <w:szCs w:val="21"/>
          <w:highlight w:val="none"/>
        </w:rPr>
        <w:t>3.适用法律</w:t>
      </w:r>
      <w:bookmarkEnd w:id="106"/>
    </w:p>
    <w:p w14:paraId="62168234">
      <w:pPr>
        <w:spacing w:line="360" w:lineRule="auto"/>
        <w:ind w:firstLine="480" w:firstLineChars="200"/>
        <w:rPr>
          <w:rFonts w:eastAsia="宋体"/>
          <w:sz w:val="24"/>
          <w:szCs w:val="21"/>
          <w:highlight w:val="none"/>
        </w:rPr>
      </w:pPr>
      <w:r>
        <w:rPr>
          <w:rFonts w:hint="eastAsia" w:eastAsia="宋体"/>
          <w:sz w:val="24"/>
          <w:szCs w:val="21"/>
          <w:highlight w:val="none"/>
        </w:rPr>
        <w:t>采购人和</w:t>
      </w:r>
      <w:r>
        <w:rPr>
          <w:rFonts w:eastAsia="宋体"/>
          <w:sz w:val="24"/>
          <w:szCs w:val="21"/>
          <w:highlight w:val="none"/>
        </w:rPr>
        <w:t>供应商均应当遵守《中华人民共和国政府采购法》、《中华人民共和国政府采购法实施条例》及相关法律法规。</w:t>
      </w:r>
    </w:p>
    <w:p w14:paraId="64205572">
      <w:pPr>
        <w:pStyle w:val="5"/>
        <w:keepNext w:val="0"/>
        <w:keepLines w:val="0"/>
        <w:adjustRightInd/>
        <w:spacing w:before="0" w:after="0" w:line="360" w:lineRule="auto"/>
        <w:ind w:firstLine="482" w:firstLineChars="200"/>
        <w:rPr>
          <w:rFonts w:ascii="Times New Roman"/>
          <w:b w:val="0"/>
          <w:sz w:val="24"/>
          <w:szCs w:val="21"/>
          <w:highlight w:val="none"/>
        </w:rPr>
      </w:pPr>
      <w:bookmarkStart w:id="112" w:name="_Toc110953832"/>
      <w:r>
        <w:rPr>
          <w:rFonts w:ascii="Times New Roman"/>
          <w:sz w:val="24"/>
          <w:szCs w:val="21"/>
          <w:highlight w:val="none"/>
        </w:rPr>
        <w:t>4.知识产权</w:t>
      </w:r>
      <w:bookmarkEnd w:id="112"/>
    </w:p>
    <w:p w14:paraId="22072FEB">
      <w:pPr>
        <w:spacing w:line="360" w:lineRule="auto"/>
        <w:ind w:firstLine="480" w:firstLineChars="200"/>
        <w:rPr>
          <w:rFonts w:eastAsia="宋体"/>
          <w:sz w:val="24"/>
          <w:szCs w:val="21"/>
          <w:highlight w:val="none"/>
        </w:rPr>
      </w:pPr>
      <w:r>
        <w:rPr>
          <w:rFonts w:eastAsia="宋体"/>
          <w:sz w:val="24"/>
          <w:szCs w:val="21"/>
          <w:highlight w:val="none"/>
        </w:rPr>
        <w:t>4.1供应商应当保证，</w:t>
      </w:r>
      <w:r>
        <w:rPr>
          <w:rFonts w:hint="eastAsia" w:eastAsia="宋体"/>
          <w:sz w:val="24"/>
          <w:szCs w:val="21"/>
          <w:highlight w:val="none"/>
        </w:rPr>
        <w:t>采购人</w:t>
      </w:r>
      <w:r>
        <w:rPr>
          <w:rFonts w:eastAsia="宋体"/>
          <w:sz w:val="24"/>
          <w:szCs w:val="21"/>
          <w:highlight w:val="none"/>
        </w:rPr>
        <w:t>在中华人民共和国境内使用货物或货物的任何一部分时，</w:t>
      </w:r>
      <w:r>
        <w:rPr>
          <w:rFonts w:hint="eastAsia" w:eastAsia="宋体"/>
          <w:sz w:val="24"/>
          <w:szCs w:val="21"/>
          <w:highlight w:val="none"/>
        </w:rPr>
        <w:t>采购人</w:t>
      </w:r>
      <w:r>
        <w:rPr>
          <w:rFonts w:eastAsia="宋体"/>
          <w:sz w:val="24"/>
          <w:szCs w:val="21"/>
          <w:highlight w:val="none"/>
        </w:rPr>
        <w:t>免受第三方提出侵犯其专利权、商标权或其它知识产权的起诉。</w:t>
      </w:r>
    </w:p>
    <w:p w14:paraId="1F0DEABC">
      <w:pPr>
        <w:spacing w:line="360" w:lineRule="auto"/>
        <w:ind w:firstLine="480" w:firstLineChars="200"/>
        <w:rPr>
          <w:rFonts w:eastAsia="宋体"/>
          <w:sz w:val="24"/>
          <w:szCs w:val="21"/>
          <w:highlight w:val="none"/>
        </w:rPr>
      </w:pPr>
      <w:r>
        <w:rPr>
          <w:rFonts w:eastAsia="宋体"/>
          <w:sz w:val="24"/>
          <w:szCs w:val="21"/>
          <w:highlight w:val="none"/>
        </w:rPr>
        <w:t>4.2最终确定的政府采购合同价格包括所有应支付的对专利权和版权、设计或其他知识产权而需要向其他方支付的版税。</w:t>
      </w:r>
    </w:p>
    <w:p w14:paraId="23BB45D9">
      <w:pPr>
        <w:spacing w:line="360" w:lineRule="auto"/>
        <w:ind w:firstLine="480" w:firstLineChars="200"/>
        <w:rPr>
          <w:rFonts w:eastAsia="宋体"/>
          <w:sz w:val="24"/>
          <w:szCs w:val="21"/>
          <w:highlight w:val="none"/>
        </w:rPr>
      </w:pPr>
      <w:r>
        <w:rPr>
          <w:rFonts w:eastAsia="宋体"/>
          <w:sz w:val="24"/>
          <w:szCs w:val="21"/>
          <w:highlight w:val="none"/>
        </w:rPr>
        <w:t>4.3供应商不拥有响应的知识产权的，则在响应（</w:t>
      </w:r>
      <w:r>
        <w:rPr>
          <w:rFonts w:hint="eastAsia" w:eastAsia="宋体"/>
          <w:sz w:val="24"/>
          <w:szCs w:val="21"/>
          <w:highlight w:val="none"/>
        </w:rPr>
        <w:t>遴选</w:t>
      </w:r>
      <w:r>
        <w:rPr>
          <w:rFonts w:eastAsia="宋体"/>
          <w:sz w:val="24"/>
          <w:szCs w:val="21"/>
          <w:highlight w:val="none"/>
        </w:rPr>
        <w:t>）报价中必须包括有合法获取该知识产权的相关费用，否则，由此而产生的一切法律和经济纠纷由供应商承担责任。</w:t>
      </w:r>
    </w:p>
    <w:p w14:paraId="20D6A92F">
      <w:pPr>
        <w:pStyle w:val="5"/>
        <w:keepNext w:val="0"/>
        <w:keepLines w:val="0"/>
        <w:adjustRightInd/>
        <w:spacing w:before="0" w:after="0" w:line="360" w:lineRule="auto"/>
        <w:ind w:firstLine="482" w:firstLineChars="200"/>
        <w:rPr>
          <w:rFonts w:ascii="Times New Roman"/>
          <w:b w:val="0"/>
          <w:bCs/>
          <w:sz w:val="24"/>
          <w:szCs w:val="21"/>
          <w:highlight w:val="none"/>
        </w:rPr>
      </w:pPr>
      <w:bookmarkStart w:id="113" w:name="_Toc110953833"/>
      <w:r>
        <w:rPr>
          <w:rFonts w:ascii="Times New Roman"/>
          <w:sz w:val="24"/>
          <w:szCs w:val="21"/>
          <w:highlight w:val="none"/>
        </w:rPr>
        <w:t>5.禁止事项</w:t>
      </w:r>
      <w:bookmarkEnd w:id="113"/>
    </w:p>
    <w:p w14:paraId="3DCC2DB1">
      <w:pPr>
        <w:spacing w:line="360" w:lineRule="auto"/>
        <w:ind w:firstLine="480" w:firstLineChars="200"/>
        <w:rPr>
          <w:rFonts w:eastAsia="宋体"/>
          <w:sz w:val="24"/>
          <w:szCs w:val="21"/>
          <w:highlight w:val="none"/>
        </w:rPr>
      </w:pPr>
      <w:bookmarkStart w:id="114" w:name="_Toc98126293"/>
      <w:bookmarkStart w:id="115" w:name="_Toc98126218"/>
      <w:r>
        <w:rPr>
          <w:rFonts w:eastAsia="宋体"/>
          <w:sz w:val="24"/>
          <w:szCs w:val="21"/>
          <w:highlight w:val="none"/>
        </w:rPr>
        <w:t>5.1</w:t>
      </w:r>
      <w:r>
        <w:rPr>
          <w:rFonts w:hint="eastAsia" w:eastAsia="宋体"/>
          <w:sz w:val="24"/>
          <w:szCs w:val="21"/>
          <w:highlight w:val="none"/>
        </w:rPr>
        <w:t>采购人和</w:t>
      </w:r>
      <w:r>
        <w:rPr>
          <w:rFonts w:eastAsia="宋体"/>
          <w:sz w:val="24"/>
          <w:szCs w:val="21"/>
          <w:highlight w:val="none"/>
        </w:rPr>
        <w:t>供应商不得相互串通损害国家利益、社会公共利益和其他当事人的合法权益。</w:t>
      </w:r>
    </w:p>
    <w:p w14:paraId="312C9D45">
      <w:pPr>
        <w:spacing w:line="360" w:lineRule="auto"/>
        <w:ind w:firstLine="480" w:firstLineChars="200"/>
        <w:rPr>
          <w:rFonts w:eastAsia="宋体"/>
          <w:sz w:val="24"/>
          <w:szCs w:val="21"/>
          <w:highlight w:val="none"/>
        </w:rPr>
      </w:pPr>
      <w:r>
        <w:rPr>
          <w:rFonts w:eastAsia="宋体"/>
          <w:sz w:val="24"/>
          <w:szCs w:val="21"/>
          <w:highlight w:val="none"/>
        </w:rPr>
        <w:t>5.2供应商不得向</w:t>
      </w:r>
      <w:r>
        <w:rPr>
          <w:rFonts w:hint="eastAsia" w:eastAsia="宋体"/>
          <w:sz w:val="24"/>
          <w:szCs w:val="21"/>
          <w:highlight w:val="none"/>
        </w:rPr>
        <w:t>采购人</w:t>
      </w:r>
      <w:r>
        <w:rPr>
          <w:rFonts w:eastAsia="宋体"/>
          <w:sz w:val="24"/>
          <w:szCs w:val="21"/>
          <w:highlight w:val="none"/>
        </w:rPr>
        <w:t>、</w:t>
      </w:r>
      <w:r>
        <w:rPr>
          <w:rFonts w:hint="eastAsia" w:eastAsia="宋体"/>
          <w:sz w:val="24"/>
          <w:szCs w:val="21"/>
          <w:highlight w:val="none"/>
        </w:rPr>
        <w:t>遴选</w:t>
      </w:r>
      <w:r>
        <w:rPr>
          <w:rFonts w:eastAsia="宋体"/>
          <w:sz w:val="24"/>
          <w:szCs w:val="21"/>
          <w:highlight w:val="none"/>
        </w:rPr>
        <w:t>小组的组成人员行贿或者采取其他不正当手段谋取成交。</w:t>
      </w:r>
      <w:bookmarkEnd w:id="114"/>
      <w:bookmarkEnd w:id="115"/>
    </w:p>
    <w:p w14:paraId="7CE374BA">
      <w:pPr>
        <w:spacing w:line="360" w:lineRule="auto"/>
        <w:ind w:firstLine="480" w:firstLineChars="200"/>
        <w:rPr>
          <w:rFonts w:eastAsia="宋体"/>
          <w:sz w:val="24"/>
          <w:szCs w:val="21"/>
          <w:highlight w:val="none"/>
        </w:rPr>
      </w:pPr>
      <w:bookmarkStart w:id="116" w:name="_Toc98126294"/>
      <w:bookmarkStart w:id="117" w:name="_Toc98126219"/>
      <w:r>
        <w:rPr>
          <w:rFonts w:eastAsia="宋体"/>
          <w:sz w:val="24"/>
          <w:szCs w:val="21"/>
          <w:highlight w:val="none"/>
        </w:rPr>
        <w:t>5.</w:t>
      </w:r>
      <w:bookmarkEnd w:id="116"/>
      <w:bookmarkEnd w:id="117"/>
      <w:bookmarkStart w:id="118" w:name="_Toc98126220"/>
      <w:bookmarkStart w:id="119" w:name="_Toc98126295"/>
      <w:r>
        <w:rPr>
          <w:rFonts w:hint="eastAsia" w:eastAsia="宋体"/>
          <w:sz w:val="24"/>
          <w:szCs w:val="21"/>
          <w:highlight w:val="none"/>
        </w:rPr>
        <w:t>3</w:t>
      </w:r>
      <w:r>
        <w:rPr>
          <w:rFonts w:eastAsia="宋体"/>
          <w:sz w:val="24"/>
          <w:szCs w:val="21"/>
          <w:highlight w:val="none"/>
        </w:rPr>
        <w:t>除供应商被要求对响应文件进行质疑澄清外，从开启响应文件之时起至授予合同止，供应商不得就与其响应文件有关的事项主动与</w:t>
      </w:r>
      <w:r>
        <w:rPr>
          <w:rFonts w:hint="eastAsia" w:eastAsia="宋体"/>
          <w:sz w:val="24"/>
          <w:szCs w:val="21"/>
          <w:highlight w:val="none"/>
        </w:rPr>
        <w:t>遴选</w:t>
      </w:r>
      <w:r>
        <w:rPr>
          <w:rFonts w:eastAsia="宋体"/>
          <w:sz w:val="24"/>
          <w:szCs w:val="21"/>
          <w:highlight w:val="none"/>
        </w:rPr>
        <w:t>小组、</w:t>
      </w:r>
      <w:r>
        <w:rPr>
          <w:rFonts w:hint="eastAsia" w:eastAsia="宋体"/>
          <w:sz w:val="24"/>
          <w:szCs w:val="21"/>
          <w:highlight w:val="none"/>
        </w:rPr>
        <w:t>采购人</w:t>
      </w:r>
      <w:r>
        <w:rPr>
          <w:rFonts w:eastAsia="宋体"/>
          <w:sz w:val="24"/>
          <w:szCs w:val="21"/>
          <w:highlight w:val="none"/>
        </w:rPr>
        <w:t>接触。</w:t>
      </w:r>
      <w:bookmarkEnd w:id="118"/>
      <w:bookmarkEnd w:id="119"/>
    </w:p>
    <w:p w14:paraId="293BF75C">
      <w:pPr>
        <w:pStyle w:val="5"/>
        <w:keepNext w:val="0"/>
        <w:keepLines w:val="0"/>
        <w:adjustRightInd/>
        <w:spacing w:before="0" w:after="0" w:line="360" w:lineRule="auto"/>
        <w:ind w:firstLine="482" w:firstLineChars="200"/>
        <w:rPr>
          <w:rFonts w:ascii="Times New Roman"/>
          <w:b w:val="0"/>
          <w:bCs/>
          <w:sz w:val="24"/>
          <w:szCs w:val="21"/>
          <w:highlight w:val="none"/>
        </w:rPr>
      </w:pPr>
      <w:bookmarkStart w:id="120" w:name="_Toc110953834"/>
      <w:r>
        <w:rPr>
          <w:rFonts w:ascii="Times New Roman"/>
          <w:sz w:val="24"/>
          <w:szCs w:val="21"/>
          <w:highlight w:val="none"/>
        </w:rPr>
        <w:t>6.保密及其它注意事项</w:t>
      </w:r>
      <w:bookmarkEnd w:id="120"/>
    </w:p>
    <w:p w14:paraId="71AF63FA">
      <w:pPr>
        <w:spacing w:line="360" w:lineRule="auto"/>
        <w:ind w:firstLine="480" w:firstLineChars="200"/>
        <w:rPr>
          <w:rFonts w:eastAsia="宋体"/>
          <w:sz w:val="24"/>
          <w:szCs w:val="21"/>
          <w:highlight w:val="none"/>
        </w:rPr>
      </w:pPr>
      <w:bookmarkStart w:id="121" w:name="_Toc98126297"/>
      <w:bookmarkStart w:id="122" w:name="_Toc98126222"/>
      <w:r>
        <w:rPr>
          <w:rFonts w:eastAsia="宋体"/>
          <w:sz w:val="24"/>
          <w:szCs w:val="21"/>
          <w:highlight w:val="none"/>
        </w:rPr>
        <w:t>6.1凡参与采购工作的有关人员均应自觉接受有关主管部门的监督，不得向他人透露可能影响公平竞争的有关情况。</w:t>
      </w:r>
      <w:bookmarkEnd w:id="121"/>
      <w:bookmarkEnd w:id="122"/>
    </w:p>
    <w:p w14:paraId="5D3C73D4">
      <w:pPr>
        <w:spacing w:line="360" w:lineRule="auto"/>
        <w:ind w:firstLine="480" w:firstLineChars="200"/>
        <w:rPr>
          <w:rFonts w:eastAsia="宋体"/>
          <w:sz w:val="24"/>
          <w:szCs w:val="21"/>
          <w:highlight w:val="none"/>
        </w:rPr>
      </w:pPr>
      <w:r>
        <w:rPr>
          <w:rFonts w:eastAsia="宋体"/>
          <w:sz w:val="24"/>
          <w:szCs w:val="21"/>
          <w:highlight w:val="none"/>
        </w:rPr>
        <w:t>6.2开启响应文件后，直至向成交供应商发出《成交通知书》止，凡与审查、澄清、评估和比较有关资料以及评审意见等，均不得向供应商及与评审无关的其他人透露。在采购工作结束后，与评审情况有接触的任何人，不得将评审情况扩散出</w:t>
      </w:r>
      <w:r>
        <w:rPr>
          <w:rFonts w:hint="eastAsia" w:eastAsia="宋体"/>
          <w:sz w:val="24"/>
          <w:szCs w:val="21"/>
          <w:highlight w:val="none"/>
        </w:rPr>
        <w:t>遴选</w:t>
      </w:r>
      <w:r>
        <w:rPr>
          <w:rFonts w:eastAsia="宋体"/>
          <w:sz w:val="24"/>
          <w:szCs w:val="21"/>
          <w:highlight w:val="none"/>
        </w:rPr>
        <w:t>小组人员之外。</w:t>
      </w:r>
    </w:p>
    <w:p w14:paraId="052C0FE9">
      <w:pPr>
        <w:spacing w:line="360" w:lineRule="auto"/>
        <w:ind w:firstLine="480" w:firstLineChars="200"/>
        <w:rPr>
          <w:rFonts w:eastAsia="宋体"/>
          <w:sz w:val="24"/>
          <w:szCs w:val="21"/>
          <w:highlight w:val="none"/>
        </w:rPr>
      </w:pPr>
      <w:r>
        <w:rPr>
          <w:rFonts w:eastAsia="宋体"/>
          <w:sz w:val="24"/>
          <w:szCs w:val="21"/>
          <w:highlight w:val="none"/>
        </w:rPr>
        <w:t>6.3在评审期间，供应商不得向</w:t>
      </w:r>
      <w:r>
        <w:rPr>
          <w:rFonts w:hint="eastAsia" w:eastAsia="宋体"/>
          <w:sz w:val="24"/>
          <w:szCs w:val="21"/>
          <w:highlight w:val="none"/>
        </w:rPr>
        <w:t>遴选</w:t>
      </w:r>
      <w:r>
        <w:rPr>
          <w:rFonts w:eastAsia="宋体"/>
          <w:sz w:val="24"/>
          <w:szCs w:val="21"/>
          <w:highlight w:val="none"/>
        </w:rPr>
        <w:t>小组成员询问评审情况，不得进行旨在影响评审结果的活动。</w:t>
      </w:r>
    </w:p>
    <w:p w14:paraId="2F9EFF16">
      <w:pPr>
        <w:spacing w:line="360" w:lineRule="auto"/>
        <w:ind w:firstLine="480" w:firstLineChars="200"/>
        <w:outlineLvl w:val="3"/>
        <w:rPr>
          <w:rFonts w:eastAsia="宋体"/>
          <w:sz w:val="24"/>
          <w:szCs w:val="21"/>
          <w:highlight w:val="none"/>
        </w:rPr>
      </w:pPr>
      <w:r>
        <w:rPr>
          <w:rFonts w:eastAsia="宋体"/>
          <w:sz w:val="24"/>
          <w:szCs w:val="21"/>
          <w:highlight w:val="none"/>
        </w:rPr>
        <w:t>6.4</w:t>
      </w:r>
      <w:r>
        <w:rPr>
          <w:rFonts w:hint="eastAsia" w:eastAsia="宋体"/>
          <w:sz w:val="24"/>
          <w:szCs w:val="21"/>
          <w:highlight w:val="none"/>
        </w:rPr>
        <w:t>遴选</w:t>
      </w:r>
      <w:r>
        <w:rPr>
          <w:rFonts w:eastAsia="宋体"/>
          <w:sz w:val="24"/>
          <w:szCs w:val="21"/>
          <w:highlight w:val="none"/>
        </w:rPr>
        <w:t>小组不向未成交供应商解释落选原因，不退还响应文件。</w:t>
      </w:r>
    </w:p>
    <w:p w14:paraId="2D5C092A">
      <w:pPr>
        <w:spacing w:line="360" w:lineRule="auto"/>
        <w:ind w:firstLine="480" w:firstLineChars="200"/>
        <w:rPr>
          <w:rFonts w:eastAsia="宋体"/>
          <w:sz w:val="24"/>
          <w:szCs w:val="21"/>
          <w:highlight w:val="none"/>
        </w:rPr>
      </w:pPr>
      <w:r>
        <w:rPr>
          <w:rFonts w:eastAsia="宋体"/>
          <w:sz w:val="24"/>
          <w:szCs w:val="21"/>
          <w:highlight w:val="none"/>
        </w:rPr>
        <w:t>6.5所有供应商自行承担与响应有关的全部费用。</w:t>
      </w:r>
      <w:r>
        <w:rPr>
          <w:rFonts w:hint="eastAsia" w:eastAsia="宋体"/>
          <w:sz w:val="24"/>
          <w:szCs w:val="21"/>
          <w:highlight w:val="none"/>
        </w:rPr>
        <w:t>采购人</w:t>
      </w:r>
      <w:r>
        <w:rPr>
          <w:rFonts w:eastAsia="宋体"/>
          <w:sz w:val="24"/>
          <w:szCs w:val="21"/>
          <w:highlight w:val="none"/>
        </w:rPr>
        <w:t>在任何情况下均不承担该费用。</w:t>
      </w:r>
    </w:p>
    <w:p w14:paraId="189C9AE7">
      <w:pPr>
        <w:pStyle w:val="5"/>
        <w:keepNext w:val="0"/>
        <w:keepLines w:val="0"/>
        <w:adjustRightInd/>
        <w:spacing w:before="0" w:after="0" w:line="360" w:lineRule="auto"/>
        <w:ind w:firstLine="482" w:firstLineChars="200"/>
        <w:rPr>
          <w:rFonts w:ascii="Times New Roman"/>
          <w:sz w:val="24"/>
          <w:szCs w:val="21"/>
          <w:highlight w:val="none"/>
        </w:rPr>
      </w:pPr>
      <w:bookmarkStart w:id="123" w:name="_Toc497016085"/>
      <w:r>
        <w:rPr>
          <w:rFonts w:ascii="Times New Roman"/>
          <w:sz w:val="24"/>
          <w:szCs w:val="21"/>
          <w:highlight w:val="none"/>
        </w:rPr>
        <w:t>7. 供应商诚信管理</w:t>
      </w:r>
      <w:bookmarkEnd w:id="123"/>
    </w:p>
    <w:p w14:paraId="274D5E8A">
      <w:pPr>
        <w:spacing w:line="360" w:lineRule="auto"/>
        <w:ind w:firstLine="480" w:firstLineChars="200"/>
        <w:rPr>
          <w:rFonts w:eastAsia="宋体"/>
          <w:sz w:val="24"/>
          <w:szCs w:val="21"/>
          <w:highlight w:val="none"/>
        </w:rPr>
      </w:pPr>
      <w:r>
        <w:rPr>
          <w:rFonts w:eastAsia="宋体"/>
          <w:sz w:val="24"/>
          <w:szCs w:val="21"/>
          <w:highlight w:val="none"/>
        </w:rPr>
        <w:t>7.1供应商在本</w:t>
      </w:r>
      <w:r>
        <w:rPr>
          <w:rFonts w:hint="eastAsia" w:eastAsia="宋体"/>
          <w:sz w:val="24"/>
          <w:szCs w:val="21"/>
          <w:highlight w:val="none"/>
        </w:rPr>
        <w:t>遴选</w:t>
      </w:r>
      <w:r>
        <w:rPr>
          <w:rFonts w:eastAsia="宋体"/>
          <w:sz w:val="24"/>
          <w:szCs w:val="21"/>
          <w:highlight w:val="none"/>
        </w:rPr>
        <w:t>项目的竞争中应自觉遵循诚实信用原则，不得存在腐败、欺诈或其他严重违背诚信原则的行为。“腐败行为”是指提供、给予任何有价值的东西来影响</w:t>
      </w:r>
      <w:r>
        <w:rPr>
          <w:rFonts w:hint="eastAsia" w:eastAsia="宋体"/>
          <w:sz w:val="24"/>
          <w:szCs w:val="21"/>
          <w:highlight w:val="none"/>
        </w:rPr>
        <w:t>采购人</w:t>
      </w:r>
      <w:r>
        <w:rPr>
          <w:rFonts w:eastAsia="宋体"/>
          <w:sz w:val="24"/>
          <w:szCs w:val="21"/>
          <w:highlight w:val="none"/>
        </w:rPr>
        <w:t>员在采购过程或合同实施过程中的行为；“欺诈行为”是指为了影响采购过程或合同实施过程而谎报、隐瞒事实，损害</w:t>
      </w:r>
      <w:r>
        <w:rPr>
          <w:rFonts w:hint="eastAsia" w:eastAsia="宋体"/>
          <w:sz w:val="24"/>
          <w:szCs w:val="21"/>
          <w:highlight w:val="none"/>
        </w:rPr>
        <w:t>采购人</w:t>
      </w:r>
      <w:r>
        <w:rPr>
          <w:rFonts w:eastAsia="宋体"/>
          <w:sz w:val="24"/>
          <w:szCs w:val="21"/>
          <w:highlight w:val="none"/>
        </w:rPr>
        <w:t>的利益，包括供应商之间串通响应（递交响应书之前或之后），人为地使响应丧失竞争性，损害</w:t>
      </w:r>
      <w:r>
        <w:rPr>
          <w:rFonts w:hint="eastAsia" w:eastAsia="宋体"/>
          <w:sz w:val="24"/>
          <w:szCs w:val="21"/>
          <w:highlight w:val="none"/>
        </w:rPr>
        <w:t>采购人</w:t>
      </w:r>
      <w:r>
        <w:rPr>
          <w:rFonts w:eastAsia="宋体"/>
          <w:sz w:val="24"/>
          <w:szCs w:val="21"/>
          <w:highlight w:val="none"/>
        </w:rPr>
        <w:t>从公开竞争中所能获得的权益。</w:t>
      </w:r>
    </w:p>
    <w:p w14:paraId="7615C060">
      <w:pPr>
        <w:spacing w:line="360" w:lineRule="auto"/>
        <w:ind w:firstLine="480" w:firstLineChars="200"/>
        <w:rPr>
          <w:rFonts w:eastAsia="宋体"/>
          <w:sz w:val="24"/>
          <w:szCs w:val="21"/>
          <w:highlight w:val="none"/>
        </w:rPr>
      </w:pPr>
      <w:r>
        <w:rPr>
          <w:rFonts w:eastAsia="宋体"/>
          <w:sz w:val="24"/>
          <w:szCs w:val="21"/>
          <w:highlight w:val="none"/>
        </w:rPr>
        <w:t>7.2 如果</w:t>
      </w:r>
      <w:r>
        <w:rPr>
          <w:rFonts w:hint="eastAsia" w:eastAsia="宋体"/>
          <w:sz w:val="24"/>
          <w:szCs w:val="21"/>
          <w:highlight w:val="none"/>
        </w:rPr>
        <w:t>采购人</w:t>
      </w:r>
      <w:r>
        <w:rPr>
          <w:rFonts w:eastAsia="宋体"/>
          <w:sz w:val="24"/>
          <w:szCs w:val="21"/>
          <w:highlight w:val="none"/>
        </w:rPr>
        <w:t>有证据表明供应商在本</w:t>
      </w:r>
      <w:r>
        <w:rPr>
          <w:rFonts w:hint="eastAsia" w:eastAsia="宋体"/>
          <w:sz w:val="24"/>
          <w:szCs w:val="21"/>
          <w:highlight w:val="none"/>
        </w:rPr>
        <w:t>遴选</w:t>
      </w:r>
      <w:r>
        <w:rPr>
          <w:rFonts w:eastAsia="宋体"/>
          <w:sz w:val="24"/>
          <w:szCs w:val="21"/>
          <w:highlight w:val="none"/>
        </w:rPr>
        <w:t>项目的竞争中存在腐败、欺诈或其他严重违背诚信原则的行为，则将拒绝其响应。</w:t>
      </w:r>
    </w:p>
    <w:p w14:paraId="6FE412DF">
      <w:pPr>
        <w:spacing w:line="360" w:lineRule="auto"/>
        <w:ind w:firstLine="480" w:firstLineChars="200"/>
        <w:outlineLvl w:val="3"/>
        <w:rPr>
          <w:rFonts w:eastAsia="宋体"/>
          <w:sz w:val="24"/>
          <w:szCs w:val="21"/>
          <w:highlight w:val="none"/>
        </w:rPr>
      </w:pPr>
      <w:r>
        <w:rPr>
          <w:rFonts w:eastAsia="宋体"/>
          <w:sz w:val="24"/>
          <w:szCs w:val="21"/>
          <w:highlight w:val="none"/>
        </w:rPr>
        <w:t>7.3 供应商有下列情形之一，将作不良诚信记录</w:t>
      </w:r>
      <w:r>
        <w:rPr>
          <w:rFonts w:hint="eastAsia" w:eastAsia="宋体"/>
          <w:sz w:val="24"/>
          <w:szCs w:val="21"/>
          <w:highlight w:val="none"/>
        </w:rPr>
        <w:t>：</w:t>
      </w:r>
    </w:p>
    <w:p w14:paraId="530F8EAA">
      <w:pPr>
        <w:spacing w:line="360" w:lineRule="auto"/>
        <w:ind w:firstLine="480" w:firstLineChars="200"/>
        <w:rPr>
          <w:rFonts w:eastAsia="宋体"/>
          <w:sz w:val="24"/>
          <w:szCs w:val="21"/>
          <w:highlight w:val="none"/>
        </w:rPr>
      </w:pPr>
      <w:r>
        <w:rPr>
          <w:rFonts w:eastAsia="宋体"/>
          <w:sz w:val="24"/>
          <w:szCs w:val="21"/>
          <w:highlight w:val="none"/>
        </w:rPr>
        <w:t>（1）提供虚假材料参加政府采购活动谋取成交的；</w:t>
      </w:r>
    </w:p>
    <w:p w14:paraId="6EDDC81A">
      <w:pPr>
        <w:spacing w:line="360" w:lineRule="auto"/>
        <w:ind w:firstLine="480" w:firstLineChars="200"/>
        <w:rPr>
          <w:rFonts w:eastAsia="宋体"/>
          <w:sz w:val="24"/>
          <w:szCs w:val="21"/>
          <w:highlight w:val="none"/>
        </w:rPr>
      </w:pPr>
      <w:r>
        <w:rPr>
          <w:rFonts w:eastAsia="宋体"/>
          <w:sz w:val="24"/>
          <w:szCs w:val="21"/>
          <w:highlight w:val="none"/>
        </w:rPr>
        <w:t>（2）开启响应文件后擅自撤销响应，影响</w:t>
      </w:r>
      <w:r>
        <w:rPr>
          <w:rFonts w:hint="eastAsia" w:eastAsia="宋体"/>
          <w:sz w:val="24"/>
          <w:szCs w:val="21"/>
          <w:highlight w:val="none"/>
        </w:rPr>
        <w:t>遴选</w:t>
      </w:r>
      <w:r>
        <w:rPr>
          <w:rFonts w:eastAsia="宋体"/>
          <w:sz w:val="24"/>
          <w:szCs w:val="21"/>
          <w:highlight w:val="none"/>
        </w:rPr>
        <w:t>继续进行的；</w:t>
      </w:r>
    </w:p>
    <w:p w14:paraId="1447D0CF">
      <w:pPr>
        <w:spacing w:line="360" w:lineRule="auto"/>
        <w:ind w:firstLine="480" w:firstLineChars="200"/>
        <w:rPr>
          <w:rFonts w:eastAsia="宋体"/>
          <w:sz w:val="24"/>
          <w:szCs w:val="21"/>
          <w:highlight w:val="none"/>
        </w:rPr>
      </w:pPr>
      <w:r>
        <w:rPr>
          <w:rFonts w:eastAsia="宋体"/>
          <w:sz w:val="24"/>
          <w:szCs w:val="21"/>
          <w:highlight w:val="none"/>
        </w:rPr>
        <w:t>（3）采取不正当手段诋毁、排挤其他供应商的；</w:t>
      </w:r>
    </w:p>
    <w:p w14:paraId="0F172058">
      <w:pPr>
        <w:spacing w:line="360" w:lineRule="auto"/>
        <w:ind w:firstLine="480" w:firstLineChars="200"/>
        <w:rPr>
          <w:rFonts w:eastAsia="宋体"/>
          <w:sz w:val="24"/>
          <w:szCs w:val="21"/>
          <w:highlight w:val="none"/>
        </w:rPr>
      </w:pPr>
      <w:r>
        <w:rPr>
          <w:rFonts w:eastAsia="宋体"/>
          <w:sz w:val="24"/>
          <w:szCs w:val="21"/>
          <w:highlight w:val="none"/>
        </w:rPr>
        <w:t>（4）与</w:t>
      </w:r>
      <w:r>
        <w:rPr>
          <w:rFonts w:hint="eastAsia" w:eastAsia="宋体"/>
          <w:sz w:val="24"/>
          <w:szCs w:val="21"/>
          <w:highlight w:val="none"/>
        </w:rPr>
        <w:t>采购人或</w:t>
      </w:r>
      <w:r>
        <w:rPr>
          <w:rFonts w:eastAsia="宋体"/>
          <w:sz w:val="24"/>
          <w:szCs w:val="21"/>
          <w:highlight w:val="none"/>
        </w:rPr>
        <w:t>其他供应商恶意串通的；</w:t>
      </w:r>
    </w:p>
    <w:p w14:paraId="6288CE8F">
      <w:pPr>
        <w:spacing w:line="360" w:lineRule="auto"/>
        <w:ind w:firstLine="480" w:firstLineChars="200"/>
        <w:rPr>
          <w:rFonts w:eastAsia="宋体"/>
          <w:sz w:val="24"/>
          <w:szCs w:val="21"/>
          <w:highlight w:val="none"/>
        </w:rPr>
      </w:pPr>
      <w:r>
        <w:rPr>
          <w:rFonts w:eastAsia="宋体"/>
          <w:sz w:val="24"/>
          <w:szCs w:val="21"/>
          <w:highlight w:val="none"/>
        </w:rPr>
        <w:t>（5）成交后无正当理由拒绝签订合同的；</w:t>
      </w:r>
    </w:p>
    <w:p w14:paraId="108E53A4">
      <w:pPr>
        <w:spacing w:line="360" w:lineRule="auto"/>
        <w:ind w:firstLine="480" w:firstLineChars="200"/>
        <w:rPr>
          <w:rFonts w:eastAsia="宋体"/>
          <w:sz w:val="24"/>
          <w:szCs w:val="21"/>
          <w:highlight w:val="none"/>
        </w:rPr>
      </w:pPr>
      <w:r>
        <w:rPr>
          <w:rFonts w:eastAsia="宋体"/>
          <w:sz w:val="24"/>
          <w:szCs w:val="21"/>
          <w:highlight w:val="none"/>
        </w:rPr>
        <w:t>（6）无正当理由拒绝履行合同的；</w:t>
      </w:r>
    </w:p>
    <w:p w14:paraId="28D827A7">
      <w:pPr>
        <w:spacing w:line="360" w:lineRule="auto"/>
        <w:ind w:firstLine="480" w:firstLineChars="200"/>
        <w:rPr>
          <w:rFonts w:eastAsia="宋体"/>
          <w:sz w:val="24"/>
          <w:szCs w:val="21"/>
          <w:highlight w:val="none"/>
        </w:rPr>
      </w:pPr>
      <w:r>
        <w:rPr>
          <w:rFonts w:eastAsia="宋体"/>
          <w:sz w:val="24"/>
          <w:szCs w:val="21"/>
          <w:highlight w:val="none"/>
        </w:rPr>
        <w:t>（7）故意提供假冒伪劣产品或走私物品的；</w:t>
      </w:r>
    </w:p>
    <w:p w14:paraId="623AFEA8">
      <w:pPr>
        <w:spacing w:line="360" w:lineRule="auto"/>
        <w:ind w:firstLine="480" w:firstLineChars="200"/>
        <w:rPr>
          <w:rFonts w:eastAsia="宋体"/>
          <w:sz w:val="24"/>
          <w:szCs w:val="21"/>
          <w:highlight w:val="none"/>
        </w:rPr>
      </w:pPr>
      <w:r>
        <w:rPr>
          <w:rFonts w:eastAsia="宋体"/>
          <w:sz w:val="24"/>
          <w:szCs w:val="21"/>
          <w:highlight w:val="none"/>
        </w:rPr>
        <w:t>（8）拒绝提供售后服务，给</w:t>
      </w:r>
      <w:r>
        <w:rPr>
          <w:rFonts w:hint="eastAsia" w:eastAsia="宋体"/>
          <w:sz w:val="24"/>
          <w:szCs w:val="21"/>
          <w:highlight w:val="none"/>
        </w:rPr>
        <w:t>采购人</w:t>
      </w:r>
      <w:r>
        <w:rPr>
          <w:rFonts w:eastAsia="宋体"/>
          <w:sz w:val="24"/>
          <w:szCs w:val="21"/>
          <w:highlight w:val="none"/>
        </w:rPr>
        <w:t>造成损害的；</w:t>
      </w:r>
    </w:p>
    <w:p w14:paraId="45A6ACFD">
      <w:pPr>
        <w:spacing w:line="360" w:lineRule="auto"/>
        <w:ind w:firstLine="480" w:firstLineChars="200"/>
        <w:rPr>
          <w:rFonts w:eastAsia="宋体"/>
          <w:sz w:val="24"/>
          <w:szCs w:val="21"/>
          <w:highlight w:val="none"/>
        </w:rPr>
      </w:pPr>
      <w:r>
        <w:rPr>
          <w:rFonts w:eastAsia="宋体"/>
          <w:sz w:val="24"/>
          <w:szCs w:val="21"/>
          <w:highlight w:val="none"/>
        </w:rPr>
        <w:t>（9）恶意投诉，给</w:t>
      </w:r>
      <w:r>
        <w:rPr>
          <w:rFonts w:hint="eastAsia" w:eastAsia="宋体"/>
          <w:sz w:val="24"/>
          <w:szCs w:val="21"/>
          <w:highlight w:val="none"/>
        </w:rPr>
        <w:t>采购人</w:t>
      </w:r>
      <w:r>
        <w:rPr>
          <w:rFonts w:eastAsia="宋体"/>
          <w:sz w:val="24"/>
          <w:szCs w:val="21"/>
          <w:highlight w:val="none"/>
        </w:rPr>
        <w:t>造成损害的；</w:t>
      </w:r>
    </w:p>
    <w:p w14:paraId="092A0DDE">
      <w:pPr>
        <w:spacing w:line="360" w:lineRule="auto"/>
        <w:ind w:firstLine="480" w:firstLineChars="200"/>
        <w:rPr>
          <w:rFonts w:eastAsia="宋体"/>
          <w:sz w:val="24"/>
          <w:szCs w:val="21"/>
          <w:highlight w:val="none"/>
        </w:rPr>
      </w:pPr>
      <w:r>
        <w:rPr>
          <w:rFonts w:eastAsia="宋体"/>
          <w:sz w:val="24"/>
          <w:szCs w:val="21"/>
          <w:highlight w:val="none"/>
        </w:rPr>
        <w:t>（10）拒绝有关部门监督检查或者提供虚假情况的；</w:t>
      </w:r>
    </w:p>
    <w:p w14:paraId="0405D882">
      <w:pPr>
        <w:spacing w:line="360" w:lineRule="auto"/>
        <w:ind w:firstLine="480" w:firstLineChars="200"/>
        <w:rPr>
          <w:rFonts w:eastAsia="宋体"/>
          <w:sz w:val="24"/>
          <w:szCs w:val="21"/>
          <w:highlight w:val="none"/>
        </w:rPr>
      </w:pPr>
      <w:r>
        <w:rPr>
          <w:rFonts w:eastAsia="宋体"/>
          <w:sz w:val="24"/>
          <w:szCs w:val="21"/>
          <w:highlight w:val="none"/>
        </w:rPr>
        <w:t>（11）经认定的其他有违诚实信用的行为。</w:t>
      </w:r>
    </w:p>
    <w:p w14:paraId="1D87A1C5">
      <w:pPr>
        <w:spacing w:line="360" w:lineRule="auto"/>
        <w:ind w:firstLine="480" w:firstLineChars="200"/>
        <w:rPr>
          <w:rFonts w:eastAsia="宋体"/>
          <w:sz w:val="24"/>
          <w:szCs w:val="21"/>
          <w:highlight w:val="none"/>
        </w:rPr>
      </w:pPr>
    </w:p>
    <w:p w14:paraId="65BD9F0E">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24" w:name="_Toc184723300"/>
      <w:r>
        <w:rPr>
          <w:rFonts w:ascii="Times New Roman" w:hAnsi="Times New Roman" w:eastAsia="宋体"/>
          <w:sz w:val="24"/>
          <w:szCs w:val="21"/>
          <w:highlight w:val="none"/>
        </w:rPr>
        <w:t>二、</w:t>
      </w:r>
      <w:r>
        <w:rPr>
          <w:rFonts w:hint="eastAsia" w:ascii="Times New Roman" w:hAnsi="Times New Roman" w:eastAsia="宋体"/>
          <w:sz w:val="24"/>
          <w:szCs w:val="21"/>
          <w:highlight w:val="none"/>
        </w:rPr>
        <w:t>遴选</w:t>
      </w:r>
      <w:r>
        <w:rPr>
          <w:rFonts w:ascii="Times New Roman" w:hAnsi="Times New Roman" w:eastAsia="宋体"/>
          <w:sz w:val="24"/>
          <w:szCs w:val="21"/>
          <w:highlight w:val="none"/>
        </w:rPr>
        <w:t>文件说明</w:t>
      </w:r>
      <w:bookmarkEnd w:id="107"/>
      <w:bookmarkEnd w:id="108"/>
      <w:bookmarkEnd w:id="109"/>
      <w:bookmarkEnd w:id="110"/>
      <w:bookmarkEnd w:id="111"/>
      <w:bookmarkEnd w:id="124"/>
    </w:p>
    <w:p w14:paraId="11E102DD">
      <w:pPr>
        <w:pStyle w:val="5"/>
        <w:keepNext w:val="0"/>
        <w:keepLines w:val="0"/>
        <w:adjustRightInd/>
        <w:spacing w:before="0" w:after="0" w:line="360" w:lineRule="auto"/>
        <w:ind w:firstLine="482" w:firstLineChars="200"/>
        <w:rPr>
          <w:rFonts w:ascii="Times New Roman"/>
          <w:sz w:val="24"/>
          <w:szCs w:val="21"/>
          <w:highlight w:val="none"/>
        </w:rPr>
      </w:pPr>
      <w:bookmarkStart w:id="125" w:name="_Toc110953836"/>
      <w:bookmarkStart w:id="126" w:name="_Toc507407361"/>
      <w:bookmarkStart w:id="127" w:name="_Toc6968689"/>
      <w:bookmarkStart w:id="128" w:name="_Toc102277758"/>
      <w:bookmarkStart w:id="129" w:name="_Toc6882677"/>
      <w:bookmarkStart w:id="130" w:name="_Toc466786436"/>
      <w:r>
        <w:rPr>
          <w:rFonts w:ascii="Times New Roman"/>
          <w:sz w:val="24"/>
          <w:szCs w:val="21"/>
          <w:highlight w:val="none"/>
        </w:rPr>
        <w:t>8.</w:t>
      </w:r>
      <w:r>
        <w:rPr>
          <w:rFonts w:hint="eastAsia" w:ascii="Times New Roman"/>
          <w:sz w:val="24"/>
          <w:szCs w:val="21"/>
          <w:highlight w:val="none"/>
        </w:rPr>
        <w:t>遴选</w:t>
      </w:r>
      <w:r>
        <w:rPr>
          <w:rFonts w:ascii="Times New Roman"/>
          <w:sz w:val="24"/>
          <w:szCs w:val="21"/>
          <w:highlight w:val="none"/>
        </w:rPr>
        <w:t>文件构成</w:t>
      </w:r>
      <w:bookmarkEnd w:id="125"/>
    </w:p>
    <w:p w14:paraId="5B9B378A">
      <w:pPr>
        <w:spacing w:line="360" w:lineRule="auto"/>
        <w:ind w:firstLine="480" w:firstLineChars="200"/>
        <w:rPr>
          <w:rFonts w:eastAsia="宋体"/>
          <w:sz w:val="24"/>
          <w:szCs w:val="21"/>
          <w:highlight w:val="none"/>
        </w:rPr>
      </w:pPr>
      <w:r>
        <w:rPr>
          <w:rFonts w:eastAsia="宋体"/>
          <w:sz w:val="24"/>
          <w:szCs w:val="21"/>
          <w:highlight w:val="none"/>
        </w:rPr>
        <w:t>8.1</w:t>
      </w:r>
      <w:r>
        <w:rPr>
          <w:rFonts w:hint="eastAsia" w:eastAsia="宋体"/>
          <w:sz w:val="24"/>
          <w:szCs w:val="21"/>
          <w:highlight w:val="none"/>
        </w:rPr>
        <w:t>遴选</w:t>
      </w:r>
      <w:r>
        <w:rPr>
          <w:rFonts w:eastAsia="宋体"/>
          <w:sz w:val="24"/>
          <w:szCs w:val="21"/>
          <w:highlight w:val="none"/>
        </w:rPr>
        <w:t>文件用以阐明项目情况、评审程序、评审办法、定标标准和合同条款参考范本和响应文件的制作等，由</w:t>
      </w:r>
      <w:r>
        <w:rPr>
          <w:rFonts w:hint="eastAsia" w:eastAsia="宋体"/>
          <w:sz w:val="24"/>
          <w:szCs w:val="21"/>
          <w:highlight w:val="none"/>
        </w:rPr>
        <w:t>遴选</w:t>
      </w:r>
      <w:r>
        <w:rPr>
          <w:rFonts w:eastAsia="宋体"/>
          <w:sz w:val="24"/>
          <w:szCs w:val="21"/>
          <w:highlight w:val="none"/>
        </w:rPr>
        <w:t>邀请函、采购需求、供应商须知</w:t>
      </w:r>
      <w:r>
        <w:rPr>
          <w:rFonts w:hint="eastAsia" w:eastAsia="宋体"/>
          <w:sz w:val="24"/>
          <w:szCs w:val="21"/>
          <w:highlight w:val="none"/>
        </w:rPr>
        <w:t>、</w:t>
      </w:r>
      <w:r>
        <w:rPr>
          <w:rFonts w:eastAsia="宋体"/>
          <w:sz w:val="24"/>
          <w:szCs w:val="21"/>
          <w:highlight w:val="none"/>
        </w:rPr>
        <w:t>评审办法、合同范本</w:t>
      </w:r>
      <w:r>
        <w:rPr>
          <w:rFonts w:hint="eastAsia" w:eastAsia="宋体"/>
          <w:sz w:val="24"/>
          <w:szCs w:val="21"/>
          <w:highlight w:val="none"/>
        </w:rPr>
        <w:t>和</w:t>
      </w:r>
      <w:r>
        <w:rPr>
          <w:rFonts w:eastAsia="宋体"/>
          <w:sz w:val="24"/>
          <w:szCs w:val="21"/>
          <w:highlight w:val="none"/>
        </w:rPr>
        <w:t>响应文件格式构成。</w:t>
      </w:r>
    </w:p>
    <w:p w14:paraId="464E61F0">
      <w:pPr>
        <w:pStyle w:val="5"/>
        <w:keepNext w:val="0"/>
        <w:keepLines w:val="0"/>
        <w:adjustRightInd/>
        <w:spacing w:before="0" w:after="0" w:line="360" w:lineRule="auto"/>
        <w:ind w:firstLine="482" w:firstLineChars="200"/>
        <w:rPr>
          <w:rFonts w:ascii="Times New Roman"/>
          <w:sz w:val="24"/>
          <w:szCs w:val="21"/>
          <w:highlight w:val="none"/>
        </w:rPr>
      </w:pPr>
      <w:bookmarkStart w:id="131" w:name="_Toc110953837"/>
      <w:r>
        <w:rPr>
          <w:rFonts w:ascii="Times New Roman"/>
          <w:sz w:val="24"/>
          <w:szCs w:val="21"/>
          <w:highlight w:val="none"/>
        </w:rPr>
        <w:t>9.</w:t>
      </w:r>
      <w:r>
        <w:rPr>
          <w:rFonts w:hint="eastAsia" w:ascii="Times New Roman"/>
          <w:sz w:val="24"/>
          <w:szCs w:val="21"/>
          <w:highlight w:val="none"/>
        </w:rPr>
        <w:t>遴选</w:t>
      </w:r>
      <w:r>
        <w:rPr>
          <w:rFonts w:ascii="Times New Roman"/>
          <w:sz w:val="24"/>
          <w:szCs w:val="21"/>
          <w:highlight w:val="none"/>
        </w:rPr>
        <w:t>文件的修改</w:t>
      </w:r>
      <w:bookmarkEnd w:id="131"/>
    </w:p>
    <w:p w14:paraId="4707CE09">
      <w:pPr>
        <w:spacing w:line="360" w:lineRule="auto"/>
        <w:ind w:firstLine="480" w:firstLineChars="200"/>
        <w:rPr>
          <w:rFonts w:eastAsia="宋体"/>
          <w:sz w:val="24"/>
          <w:szCs w:val="21"/>
          <w:highlight w:val="none"/>
        </w:rPr>
      </w:pPr>
      <w:r>
        <w:rPr>
          <w:rFonts w:eastAsia="宋体"/>
          <w:sz w:val="24"/>
          <w:szCs w:val="21"/>
          <w:highlight w:val="none"/>
        </w:rPr>
        <w:t>9.1提交首次响应文件截止之日前，</w:t>
      </w:r>
      <w:r>
        <w:rPr>
          <w:rFonts w:hint="eastAsia" w:eastAsia="宋体"/>
          <w:sz w:val="24"/>
          <w:szCs w:val="21"/>
          <w:highlight w:val="none"/>
        </w:rPr>
        <w:t>采购人</w:t>
      </w:r>
      <w:r>
        <w:rPr>
          <w:rFonts w:eastAsia="宋体"/>
          <w:sz w:val="24"/>
          <w:szCs w:val="21"/>
          <w:highlight w:val="none"/>
        </w:rPr>
        <w:t>或者</w:t>
      </w:r>
      <w:r>
        <w:rPr>
          <w:rFonts w:hint="eastAsia" w:eastAsia="宋体"/>
          <w:sz w:val="24"/>
          <w:szCs w:val="21"/>
          <w:highlight w:val="none"/>
        </w:rPr>
        <w:t>遴选</w:t>
      </w:r>
      <w:r>
        <w:rPr>
          <w:rFonts w:eastAsia="宋体"/>
          <w:sz w:val="24"/>
          <w:szCs w:val="21"/>
          <w:highlight w:val="none"/>
        </w:rPr>
        <w:t>小组可以对已发出的</w:t>
      </w:r>
      <w:r>
        <w:rPr>
          <w:rFonts w:hint="eastAsia" w:eastAsia="宋体"/>
          <w:sz w:val="24"/>
          <w:szCs w:val="21"/>
          <w:highlight w:val="none"/>
        </w:rPr>
        <w:t>遴选</w:t>
      </w:r>
      <w:r>
        <w:rPr>
          <w:rFonts w:eastAsia="宋体"/>
          <w:sz w:val="24"/>
          <w:szCs w:val="21"/>
          <w:highlight w:val="none"/>
        </w:rPr>
        <w:t>文件进行必要的澄清或者修改，澄清或者修改的内容作为</w:t>
      </w:r>
      <w:r>
        <w:rPr>
          <w:rFonts w:hint="eastAsia" w:eastAsia="宋体"/>
          <w:sz w:val="24"/>
          <w:szCs w:val="21"/>
          <w:highlight w:val="none"/>
        </w:rPr>
        <w:t>遴选</w:t>
      </w:r>
      <w:r>
        <w:rPr>
          <w:rFonts w:eastAsia="宋体"/>
          <w:sz w:val="24"/>
          <w:szCs w:val="21"/>
          <w:highlight w:val="none"/>
        </w:rPr>
        <w:t>文件的组成部分。澄清或者修改的内容可能影响响应文件编制的，将在提交首次响应文件截止时间5日前以书面形式通知所有获取</w:t>
      </w:r>
      <w:r>
        <w:rPr>
          <w:rFonts w:hint="eastAsia" w:eastAsia="宋体"/>
          <w:sz w:val="24"/>
          <w:szCs w:val="21"/>
          <w:highlight w:val="none"/>
        </w:rPr>
        <w:t>遴选</w:t>
      </w:r>
      <w:r>
        <w:rPr>
          <w:rFonts w:eastAsia="宋体"/>
          <w:sz w:val="24"/>
          <w:szCs w:val="21"/>
          <w:highlight w:val="none"/>
        </w:rPr>
        <w:t>文件的供应商。</w:t>
      </w:r>
    </w:p>
    <w:p w14:paraId="3E44DBD5">
      <w:pPr>
        <w:spacing w:line="360" w:lineRule="auto"/>
        <w:ind w:firstLine="480" w:firstLineChars="200"/>
        <w:rPr>
          <w:rFonts w:eastAsia="宋体"/>
          <w:sz w:val="24"/>
          <w:szCs w:val="21"/>
          <w:highlight w:val="none"/>
        </w:rPr>
      </w:pPr>
      <w:r>
        <w:rPr>
          <w:rFonts w:eastAsia="宋体"/>
          <w:sz w:val="24"/>
          <w:szCs w:val="21"/>
          <w:highlight w:val="none"/>
        </w:rPr>
        <w:t>9.2如果修改的时间距响应文件递交截止时间不足5日的，将相应顺延递交首次响应文件截止时间。</w:t>
      </w:r>
      <w:bookmarkEnd w:id="126"/>
      <w:bookmarkEnd w:id="127"/>
      <w:bookmarkEnd w:id="128"/>
      <w:bookmarkEnd w:id="129"/>
      <w:bookmarkEnd w:id="130"/>
      <w:bookmarkStart w:id="132" w:name="_Toc110953838"/>
      <w:bookmarkStart w:id="133" w:name="_Toc507407362"/>
      <w:bookmarkStart w:id="134" w:name="_Toc466786437"/>
      <w:bookmarkStart w:id="135" w:name="_Toc102277759"/>
      <w:bookmarkStart w:id="136" w:name="_Toc6882678"/>
      <w:bookmarkStart w:id="137" w:name="_Toc6968690"/>
    </w:p>
    <w:p w14:paraId="2763C526">
      <w:pPr>
        <w:spacing w:line="360" w:lineRule="auto"/>
        <w:rPr>
          <w:highlight w:val="none"/>
        </w:rPr>
      </w:pPr>
    </w:p>
    <w:p w14:paraId="03221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38" w:name="_Toc184723301"/>
      <w:r>
        <w:rPr>
          <w:rFonts w:ascii="Times New Roman" w:hAnsi="Times New Roman" w:eastAsia="宋体"/>
          <w:sz w:val="24"/>
          <w:szCs w:val="21"/>
          <w:highlight w:val="none"/>
        </w:rPr>
        <w:t>三、响应文件的制作</w:t>
      </w:r>
      <w:bookmarkEnd w:id="132"/>
      <w:bookmarkEnd w:id="138"/>
    </w:p>
    <w:p w14:paraId="03DDF9E8">
      <w:pPr>
        <w:pStyle w:val="5"/>
        <w:keepNext w:val="0"/>
        <w:keepLines w:val="0"/>
        <w:adjustRightInd/>
        <w:spacing w:before="0" w:after="0" w:line="480" w:lineRule="exact"/>
        <w:ind w:firstLine="482" w:firstLineChars="200"/>
        <w:rPr>
          <w:rFonts w:hAnsi="宋体"/>
          <w:sz w:val="24"/>
          <w:szCs w:val="21"/>
          <w:highlight w:val="none"/>
        </w:rPr>
      </w:pPr>
      <w:bookmarkStart w:id="139" w:name="_Toc96934186"/>
      <w:bookmarkStart w:id="140" w:name="_Toc97112225"/>
      <w:bookmarkStart w:id="141" w:name="_Toc97109974"/>
      <w:bookmarkStart w:id="142" w:name="_Toc110953839"/>
      <w:bookmarkStart w:id="143" w:name="_Toc96940314"/>
      <w:bookmarkStart w:id="144" w:name="_Toc110953840"/>
      <w:r>
        <w:rPr>
          <w:rFonts w:hAnsi="宋体"/>
          <w:sz w:val="24"/>
          <w:szCs w:val="21"/>
          <w:highlight w:val="none"/>
        </w:rPr>
        <w:t>10.制作要求</w:t>
      </w:r>
      <w:bookmarkEnd w:id="139"/>
      <w:bookmarkEnd w:id="140"/>
      <w:bookmarkEnd w:id="141"/>
      <w:bookmarkEnd w:id="142"/>
      <w:bookmarkEnd w:id="143"/>
    </w:p>
    <w:p w14:paraId="3A714B41">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10.1供应商应当仔细阅读</w:t>
      </w:r>
      <w:r>
        <w:rPr>
          <w:rFonts w:hint="eastAsia" w:ascii="宋体" w:hAnsi="宋体" w:eastAsia="宋体"/>
          <w:sz w:val="24"/>
          <w:szCs w:val="21"/>
          <w:highlight w:val="none"/>
        </w:rPr>
        <w:t>遴选</w:t>
      </w:r>
      <w:r>
        <w:rPr>
          <w:rFonts w:ascii="宋体" w:hAnsi="宋体" w:eastAsia="宋体"/>
          <w:sz w:val="24"/>
          <w:szCs w:val="21"/>
          <w:highlight w:val="none"/>
        </w:rPr>
        <w:t>文件的所有内容，按</w:t>
      </w:r>
      <w:r>
        <w:rPr>
          <w:rFonts w:hint="eastAsia" w:ascii="宋体" w:hAnsi="宋体" w:eastAsia="宋体"/>
          <w:sz w:val="24"/>
          <w:szCs w:val="21"/>
          <w:highlight w:val="none"/>
        </w:rPr>
        <w:t>遴选</w:t>
      </w:r>
      <w:r>
        <w:rPr>
          <w:rFonts w:ascii="宋体" w:hAnsi="宋体" w:eastAsia="宋体"/>
          <w:sz w:val="24"/>
          <w:szCs w:val="21"/>
          <w:highlight w:val="none"/>
        </w:rPr>
        <w:t>文件的要求提供响应文件，并保证所提供的全部资料的真实性及对</w:t>
      </w:r>
      <w:r>
        <w:rPr>
          <w:rFonts w:hint="eastAsia" w:ascii="宋体" w:hAnsi="宋体" w:eastAsia="宋体"/>
          <w:sz w:val="24"/>
          <w:szCs w:val="21"/>
          <w:highlight w:val="none"/>
        </w:rPr>
        <w:t>遴选</w:t>
      </w:r>
      <w:r>
        <w:rPr>
          <w:rFonts w:ascii="宋体" w:hAnsi="宋体" w:eastAsia="宋体"/>
          <w:sz w:val="24"/>
          <w:szCs w:val="21"/>
          <w:highlight w:val="none"/>
        </w:rPr>
        <w:t>文件作出实质性响应。</w:t>
      </w:r>
    </w:p>
    <w:p w14:paraId="2963D20C">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10.2供应商应按</w:t>
      </w:r>
      <w:r>
        <w:rPr>
          <w:rFonts w:hint="eastAsia" w:ascii="宋体" w:hAnsi="宋体" w:eastAsia="宋体"/>
          <w:sz w:val="24"/>
          <w:szCs w:val="21"/>
          <w:highlight w:val="none"/>
        </w:rPr>
        <w:t>遴选</w:t>
      </w:r>
      <w:r>
        <w:rPr>
          <w:rFonts w:ascii="宋体" w:hAnsi="宋体" w:eastAsia="宋体"/>
          <w:sz w:val="24"/>
          <w:szCs w:val="21"/>
          <w:highlight w:val="none"/>
        </w:rPr>
        <w:t>文件中提供的响应文件格式制作响应文件。如有关表格不能满足填报需要，可以对表格格式作出相应调整，但不得更改表格的实质性内容。</w:t>
      </w:r>
    </w:p>
    <w:p w14:paraId="2666AB4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10.3供应商应提供</w:t>
      </w:r>
      <w:r>
        <w:rPr>
          <w:rFonts w:hint="eastAsia" w:ascii="宋体" w:hAnsi="宋体" w:eastAsia="宋体"/>
          <w:b/>
          <w:bCs/>
          <w:color w:val="000000"/>
          <w:sz w:val="24"/>
          <w:szCs w:val="21"/>
          <w:highlight w:val="none"/>
        </w:rPr>
        <w:t>响应文件正本一份、副本四份。</w:t>
      </w:r>
      <w:r>
        <w:rPr>
          <w:rFonts w:ascii="宋体" w:hAnsi="宋体" w:eastAsia="宋体"/>
          <w:sz w:val="24"/>
          <w:szCs w:val="21"/>
          <w:highlight w:val="none"/>
        </w:rPr>
        <w:t>在每一份响应文件上要明确注明“正本”或“副本”字样，一旦正本和副本有差异，以正本为准。</w:t>
      </w:r>
    </w:p>
    <w:p w14:paraId="5B2F3DC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10.4响应文件的正本必须打印，并由供应商的法定代表人或经正式授权对供应商有约束力的委托代理人在响应文件上签字并加盖单位公章。委托代理人必须出具书面形式的授权委托书并附在响应文件中。响应文件的副本可采用正本的复印件。</w:t>
      </w:r>
    </w:p>
    <w:p w14:paraId="361018D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10.5除供应商对错处作必要修改外，响应文件中不许有加行、涂改或改写。任何行间插字、涂改和增删，必须由供应商的法定代表人或委托代理人在修改处签字或加盖公章才有效。</w:t>
      </w:r>
    </w:p>
    <w:p w14:paraId="14ABD30E">
      <w:pPr>
        <w:spacing w:line="480" w:lineRule="exact"/>
        <w:ind w:firstLine="480" w:firstLineChars="200"/>
        <w:rPr>
          <w:rFonts w:ascii="宋体" w:hAnsi="宋体" w:eastAsia="宋体"/>
          <w:sz w:val="24"/>
          <w:szCs w:val="21"/>
          <w:highlight w:val="none"/>
        </w:rPr>
      </w:pPr>
      <w:r>
        <w:rPr>
          <w:rFonts w:hint="eastAsia" w:ascii="宋体" w:hAnsi="宋体" w:eastAsia="宋体"/>
          <w:sz w:val="24"/>
          <w:szCs w:val="21"/>
          <w:highlight w:val="none"/>
        </w:rPr>
        <w:t>10.6响应文件内的所有文件均须加盖公章。</w:t>
      </w:r>
    </w:p>
    <w:p w14:paraId="43BF809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10.</w:t>
      </w:r>
      <w:r>
        <w:rPr>
          <w:rFonts w:hint="eastAsia" w:ascii="宋体" w:hAnsi="宋体" w:eastAsia="宋体"/>
          <w:sz w:val="24"/>
          <w:szCs w:val="21"/>
          <w:highlight w:val="none"/>
        </w:rPr>
        <w:t>7</w:t>
      </w:r>
      <w:r>
        <w:rPr>
          <w:rFonts w:ascii="宋体" w:hAnsi="宋体" w:eastAsia="宋体"/>
          <w:sz w:val="24"/>
          <w:szCs w:val="21"/>
          <w:highlight w:val="none"/>
        </w:rPr>
        <w:t>电报、电话、传真、电子邮件形式的响应概不接受。</w:t>
      </w:r>
    </w:p>
    <w:bookmarkEnd w:id="144"/>
    <w:p w14:paraId="5B5A0983">
      <w:pPr>
        <w:pStyle w:val="5"/>
        <w:keepNext w:val="0"/>
        <w:keepLines w:val="0"/>
        <w:adjustRightInd/>
        <w:spacing w:before="0" w:after="0" w:line="480" w:lineRule="exact"/>
        <w:ind w:firstLine="482" w:firstLineChars="200"/>
        <w:rPr>
          <w:rFonts w:hAnsi="宋体"/>
          <w:sz w:val="24"/>
          <w:szCs w:val="21"/>
          <w:highlight w:val="none"/>
        </w:rPr>
      </w:pPr>
      <w:bookmarkStart w:id="145" w:name="_Toc96934187"/>
      <w:bookmarkStart w:id="146" w:name="_Toc96940315"/>
      <w:bookmarkStart w:id="147" w:name="_Toc97109975"/>
      <w:bookmarkStart w:id="148" w:name="_Toc97112226"/>
      <w:bookmarkStart w:id="149" w:name="_Toc185150707"/>
      <w:r>
        <w:rPr>
          <w:rFonts w:hAnsi="宋体"/>
          <w:sz w:val="24"/>
          <w:szCs w:val="21"/>
          <w:highlight w:val="none"/>
        </w:rPr>
        <w:t>11.响应文件的内容</w:t>
      </w:r>
      <w:bookmarkEnd w:id="145"/>
      <w:bookmarkEnd w:id="146"/>
      <w:bookmarkEnd w:id="147"/>
      <w:bookmarkEnd w:id="148"/>
    </w:p>
    <w:p w14:paraId="6852BBBE">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11.1响应文件由</w:t>
      </w:r>
    </w:p>
    <w:p w14:paraId="4B1AAE14">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封面</w:t>
      </w:r>
      <w:r>
        <w:rPr>
          <w:rFonts w:hint="eastAsia" w:ascii="宋体" w:hAnsi="宋体" w:eastAsia="宋体"/>
          <w:sz w:val="24"/>
          <w:szCs w:val="21"/>
          <w:highlight w:val="none"/>
        </w:rPr>
        <w:t>；</w:t>
      </w:r>
    </w:p>
    <w:p w14:paraId="1DEB85AB">
      <w:pPr>
        <w:numPr>
          <w:ilvl w:val="0"/>
          <w:numId w:val="3"/>
        </w:numPr>
        <w:spacing w:line="480" w:lineRule="exact"/>
        <w:ind w:left="1025" w:leftChars="0" w:hanging="425" w:firstLineChars="0"/>
        <w:rPr>
          <w:rFonts w:ascii="宋体" w:hAnsi="宋体" w:eastAsia="宋体"/>
          <w:sz w:val="24"/>
          <w:szCs w:val="21"/>
          <w:highlight w:val="none"/>
        </w:rPr>
      </w:pPr>
      <w:r>
        <w:rPr>
          <w:rFonts w:ascii="宋体" w:hAnsi="宋体" w:eastAsia="宋体"/>
          <w:sz w:val="24"/>
          <w:szCs w:val="21"/>
          <w:highlight w:val="none"/>
        </w:rPr>
        <w:t>目录</w:t>
      </w:r>
      <w:r>
        <w:rPr>
          <w:rFonts w:hint="eastAsia" w:ascii="宋体" w:hAnsi="宋体" w:eastAsia="宋体"/>
          <w:sz w:val="24"/>
          <w:szCs w:val="21"/>
          <w:highlight w:val="none"/>
        </w:rPr>
        <w:t>；</w:t>
      </w:r>
    </w:p>
    <w:p w14:paraId="69F88085">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lang w:val="en-US" w:eastAsia="zh-CN"/>
        </w:rPr>
        <w:t>报价表</w:t>
      </w:r>
    </w:p>
    <w:p w14:paraId="36A939A3">
      <w:pPr>
        <w:numPr>
          <w:ilvl w:val="0"/>
          <w:numId w:val="3"/>
        </w:numPr>
        <w:spacing w:line="480" w:lineRule="exact"/>
        <w:ind w:left="1025" w:hanging="425" w:firstLineChars="0"/>
        <w:rPr>
          <w:rFonts w:hint="eastAsia" w:ascii="宋体" w:hAnsi="宋体" w:eastAsia="宋体" w:cs="宋体"/>
          <w:sz w:val="24"/>
          <w:szCs w:val="18"/>
          <w:highlight w:val="none"/>
        </w:rPr>
      </w:pPr>
      <w:r>
        <w:rPr>
          <w:rFonts w:hint="default" w:ascii="宋体" w:hAnsi="宋体" w:eastAsia="宋体"/>
          <w:sz w:val="24"/>
          <w:szCs w:val="21"/>
          <w:highlight w:val="none"/>
          <w:lang w:val="en-US" w:eastAsia="zh-CN"/>
        </w:rPr>
        <w:t>营业执照</w:t>
      </w:r>
      <w:r>
        <w:rPr>
          <w:rFonts w:hint="eastAsia" w:ascii="宋体" w:hAnsi="宋体" w:eastAsia="宋体"/>
          <w:sz w:val="24"/>
          <w:szCs w:val="21"/>
          <w:highlight w:val="none"/>
          <w:lang w:val="en-US" w:eastAsia="zh-CN"/>
        </w:rPr>
        <w:t>、</w:t>
      </w:r>
      <w:r>
        <w:rPr>
          <w:rFonts w:hint="eastAsia" w:ascii="宋体" w:hAnsi="宋体" w:eastAsia="宋体" w:cs="宋体"/>
          <w:sz w:val="24"/>
          <w:szCs w:val="18"/>
          <w:highlight w:val="none"/>
          <w:lang w:val="en-US" w:eastAsia="zh-CN"/>
        </w:rPr>
        <w:t>响应</w:t>
      </w:r>
      <w:r>
        <w:rPr>
          <w:rFonts w:hint="eastAsia" w:ascii="宋体" w:hAnsi="宋体" w:eastAsia="宋体" w:cs="宋体"/>
          <w:sz w:val="24"/>
          <w:szCs w:val="18"/>
          <w:highlight w:val="none"/>
        </w:rPr>
        <w:t>人单位概况（包括但不限于企业机构设置情况、办公场地（含开评标场地）和人员基本情况）、规章管理制度、业绩证明、等合法资格及资质证明文件材料复印件</w:t>
      </w:r>
      <w:r>
        <w:rPr>
          <w:rFonts w:hint="eastAsia" w:ascii="宋体" w:hAnsi="宋体" w:eastAsia="宋体"/>
          <w:sz w:val="24"/>
          <w:szCs w:val="21"/>
          <w:highlight w:val="none"/>
        </w:rPr>
        <w:t>；</w:t>
      </w:r>
    </w:p>
    <w:p w14:paraId="447EC611">
      <w:pPr>
        <w:numPr>
          <w:ilvl w:val="0"/>
          <w:numId w:val="3"/>
        </w:numPr>
        <w:spacing w:line="480" w:lineRule="exact"/>
        <w:ind w:left="1025" w:hanging="425" w:firstLineChars="0"/>
        <w:rPr>
          <w:rFonts w:hint="eastAsia" w:ascii="宋体" w:hAnsi="宋体" w:eastAsia="宋体" w:cs="宋体"/>
          <w:sz w:val="24"/>
          <w:szCs w:val="18"/>
          <w:highlight w:val="none"/>
        </w:rPr>
      </w:pPr>
      <w:r>
        <w:rPr>
          <w:rFonts w:hint="eastAsia" w:ascii="宋体" w:hAnsi="宋体" w:eastAsia="宋体" w:cs="宋体"/>
          <w:sz w:val="24"/>
          <w:szCs w:val="18"/>
          <w:highlight w:val="none"/>
        </w:rPr>
        <w:t>遴选响应函</w:t>
      </w:r>
      <w:r>
        <w:rPr>
          <w:rFonts w:hint="eastAsia" w:ascii="宋体" w:hAnsi="宋体" w:eastAsia="宋体" w:cs="宋体"/>
          <w:sz w:val="24"/>
          <w:szCs w:val="18"/>
          <w:highlight w:val="none"/>
          <w:lang w:val="en-US" w:eastAsia="zh-CN"/>
        </w:rPr>
        <w:t>；</w:t>
      </w:r>
    </w:p>
    <w:p w14:paraId="54BF1335">
      <w:pPr>
        <w:numPr>
          <w:ilvl w:val="0"/>
          <w:numId w:val="3"/>
        </w:numPr>
        <w:spacing w:line="480" w:lineRule="exact"/>
        <w:ind w:left="1025" w:hanging="425" w:firstLineChars="0"/>
        <w:rPr>
          <w:rFonts w:hint="eastAsia" w:ascii="宋体" w:hAnsi="宋体" w:eastAsia="宋体" w:cs="宋体"/>
          <w:sz w:val="24"/>
          <w:szCs w:val="18"/>
          <w:highlight w:val="none"/>
        </w:rPr>
      </w:pPr>
      <w:r>
        <w:rPr>
          <w:rFonts w:hint="default" w:ascii="宋体" w:hAnsi="宋体" w:eastAsia="宋体" w:cs="Times New Roman"/>
          <w:sz w:val="24"/>
          <w:szCs w:val="21"/>
          <w:highlight w:val="none"/>
        </w:rPr>
        <w:t>服务</w:t>
      </w:r>
      <w:r>
        <w:rPr>
          <w:rFonts w:hint="eastAsia" w:ascii="宋体" w:hAnsi="宋体" w:eastAsia="宋体" w:cs="宋体"/>
          <w:sz w:val="24"/>
          <w:szCs w:val="18"/>
          <w:highlight w:val="none"/>
        </w:rPr>
        <w:t>方案</w:t>
      </w:r>
      <w:r>
        <w:rPr>
          <w:rFonts w:hint="eastAsia" w:ascii="宋体" w:hAnsi="宋体" w:eastAsia="宋体"/>
          <w:sz w:val="24"/>
          <w:szCs w:val="21"/>
          <w:highlight w:val="none"/>
        </w:rPr>
        <w:t>；</w:t>
      </w:r>
    </w:p>
    <w:p w14:paraId="38227146">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遴选响应人信息登记表；</w:t>
      </w:r>
    </w:p>
    <w:p w14:paraId="3A9C14BF">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法定代表人授权书（代理人）；</w:t>
      </w:r>
    </w:p>
    <w:p w14:paraId="70E2476A">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法定代表人身份证明文件（法定代表人）；</w:t>
      </w:r>
    </w:p>
    <w:p w14:paraId="068E8FF4">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lang w:val="en-US" w:eastAsia="zh-CN"/>
        </w:rPr>
        <w:t>质量保证书；</w:t>
      </w:r>
    </w:p>
    <w:p w14:paraId="4D25C223">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遴选响应承诺函；</w:t>
      </w:r>
    </w:p>
    <w:p w14:paraId="64D97997">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信誉良好承诺函；</w:t>
      </w:r>
    </w:p>
    <w:p w14:paraId="17E1C860">
      <w:pPr>
        <w:numPr>
          <w:ilvl w:val="0"/>
          <w:numId w:val="3"/>
        </w:numPr>
        <w:spacing w:line="480" w:lineRule="exact"/>
        <w:ind w:left="1025" w:leftChars="0" w:hanging="425" w:firstLineChars="0"/>
        <w:rPr>
          <w:rFonts w:ascii="宋体" w:hAnsi="宋体" w:eastAsia="宋体"/>
          <w:sz w:val="24"/>
          <w:szCs w:val="21"/>
          <w:highlight w:val="none"/>
        </w:rPr>
      </w:pPr>
      <w:r>
        <w:rPr>
          <w:rFonts w:hint="eastAsia" w:ascii="宋体" w:hAnsi="宋体" w:eastAsia="宋体"/>
          <w:sz w:val="24"/>
          <w:szCs w:val="21"/>
          <w:highlight w:val="none"/>
        </w:rPr>
        <w:t>遴选响应人认为其它需要说明情况的有效文件</w:t>
      </w:r>
      <w:r>
        <w:rPr>
          <w:rFonts w:hint="eastAsia" w:ascii="宋体" w:hAnsi="宋体" w:eastAsia="宋体"/>
          <w:sz w:val="24"/>
          <w:szCs w:val="21"/>
          <w:highlight w:val="none"/>
          <w:lang w:val="en-US" w:eastAsia="zh-CN"/>
        </w:rPr>
        <w:t>及</w:t>
      </w:r>
      <w:r>
        <w:rPr>
          <w:rFonts w:hint="eastAsia" w:ascii="宋体" w:hAnsi="宋体" w:eastAsia="宋体" w:cs="宋体"/>
          <w:sz w:val="24"/>
          <w:szCs w:val="24"/>
          <w:highlight w:val="none"/>
        </w:rPr>
        <w:t>其他证明材料</w:t>
      </w:r>
      <w:r>
        <w:rPr>
          <w:rFonts w:hint="eastAsia" w:ascii="宋体" w:hAnsi="宋体" w:eastAsia="宋体"/>
          <w:sz w:val="24"/>
          <w:szCs w:val="21"/>
          <w:highlight w:val="none"/>
          <w:lang w:eastAsia="zh-CN"/>
        </w:rPr>
        <w:t>。</w:t>
      </w:r>
    </w:p>
    <w:p w14:paraId="55B553A1">
      <w:pPr>
        <w:pStyle w:val="5"/>
        <w:keepNext w:val="0"/>
        <w:keepLines w:val="0"/>
        <w:adjustRightInd/>
        <w:spacing w:before="0" w:after="0" w:line="480" w:lineRule="exact"/>
        <w:ind w:firstLine="482" w:firstLineChars="200"/>
        <w:rPr>
          <w:rFonts w:hAnsi="宋体"/>
          <w:sz w:val="24"/>
          <w:szCs w:val="21"/>
          <w:highlight w:val="none"/>
        </w:rPr>
      </w:pPr>
      <w:bookmarkStart w:id="150" w:name="_Toc97109976"/>
      <w:bookmarkStart w:id="151" w:name="_Toc110953841"/>
      <w:bookmarkStart w:id="152" w:name="_Toc97112227"/>
      <w:bookmarkStart w:id="153" w:name="_Toc96940316"/>
      <w:bookmarkStart w:id="154" w:name="_Toc96934188"/>
      <w:r>
        <w:rPr>
          <w:rFonts w:hAnsi="宋体"/>
          <w:sz w:val="24"/>
          <w:szCs w:val="21"/>
          <w:highlight w:val="none"/>
        </w:rPr>
        <w:t>12.响应文件格式</w:t>
      </w:r>
      <w:bookmarkEnd w:id="150"/>
      <w:bookmarkEnd w:id="151"/>
      <w:bookmarkEnd w:id="152"/>
      <w:bookmarkEnd w:id="153"/>
      <w:bookmarkEnd w:id="154"/>
    </w:p>
    <w:p w14:paraId="74C417EA">
      <w:pPr>
        <w:spacing w:line="480" w:lineRule="exact"/>
        <w:ind w:firstLine="480" w:firstLineChars="200"/>
        <w:outlineLvl w:val="3"/>
        <w:rPr>
          <w:rFonts w:ascii="宋体" w:hAnsi="宋体" w:eastAsia="宋体"/>
          <w:sz w:val="24"/>
          <w:szCs w:val="21"/>
          <w:highlight w:val="none"/>
        </w:rPr>
      </w:pPr>
      <w:r>
        <w:rPr>
          <w:rFonts w:ascii="宋体" w:hAnsi="宋体" w:eastAsia="宋体"/>
          <w:sz w:val="24"/>
          <w:szCs w:val="21"/>
          <w:highlight w:val="none"/>
        </w:rPr>
        <w:t>12.1供应商应将响应文件装订成册，并填写“响应文件目录”。上述文件及表格为供应商必须提交的文件，各供应商可以根据实际情况增加内容，但不得擅自减少有关内容。响应文件的完整性是评审的内容之一。</w:t>
      </w:r>
    </w:p>
    <w:bookmarkEnd w:id="149"/>
    <w:p w14:paraId="28BF07DE">
      <w:pPr>
        <w:pStyle w:val="5"/>
        <w:keepNext w:val="0"/>
        <w:keepLines w:val="0"/>
        <w:adjustRightInd/>
        <w:spacing w:before="0" w:after="0" w:line="360" w:lineRule="auto"/>
        <w:ind w:firstLine="482" w:firstLineChars="200"/>
        <w:rPr>
          <w:rFonts w:ascii="Times New Roman"/>
          <w:sz w:val="24"/>
          <w:szCs w:val="21"/>
          <w:highlight w:val="none"/>
        </w:rPr>
      </w:pPr>
      <w:bookmarkStart w:id="155" w:name="_Toc480020258"/>
      <w:bookmarkStart w:id="156" w:name="_Toc480010709"/>
      <w:bookmarkStart w:id="157" w:name="_Toc110953842"/>
      <w:bookmarkStart w:id="158" w:name="_Toc467987824"/>
      <w:bookmarkStart w:id="159" w:name="_Toc467236741"/>
      <w:bookmarkStart w:id="160" w:name="_Toc479991583"/>
      <w:bookmarkStart w:id="161" w:name="_Toc454701382"/>
      <w:bookmarkStart w:id="162" w:name="_Toc503758471"/>
      <w:bookmarkStart w:id="163" w:name="_Toc468606030"/>
      <w:bookmarkStart w:id="164" w:name="_Toc480171880"/>
      <w:bookmarkStart w:id="165" w:name="_Toc468157537"/>
      <w:bookmarkStart w:id="166" w:name="_Toc480021054"/>
      <w:bookmarkStart w:id="167" w:name="_Toc458262615"/>
      <w:r>
        <w:rPr>
          <w:rFonts w:ascii="Times New Roman"/>
          <w:sz w:val="24"/>
          <w:szCs w:val="21"/>
          <w:highlight w:val="none"/>
        </w:rPr>
        <w:t>1</w:t>
      </w:r>
      <w:r>
        <w:rPr>
          <w:rFonts w:hint="eastAsia" w:ascii="Times New Roman"/>
          <w:sz w:val="24"/>
          <w:szCs w:val="21"/>
          <w:highlight w:val="none"/>
        </w:rPr>
        <w:t>3</w:t>
      </w:r>
      <w:r>
        <w:rPr>
          <w:rFonts w:ascii="Times New Roman"/>
          <w:sz w:val="24"/>
          <w:szCs w:val="21"/>
          <w:highlight w:val="none"/>
        </w:rPr>
        <w:t>.响应有效期</w:t>
      </w:r>
      <w:bookmarkEnd w:id="155"/>
      <w:bookmarkEnd w:id="156"/>
      <w:bookmarkEnd w:id="157"/>
      <w:bookmarkEnd w:id="158"/>
      <w:bookmarkEnd w:id="159"/>
      <w:bookmarkEnd w:id="160"/>
      <w:bookmarkEnd w:id="161"/>
      <w:bookmarkEnd w:id="162"/>
      <w:bookmarkEnd w:id="163"/>
      <w:bookmarkEnd w:id="164"/>
      <w:bookmarkEnd w:id="165"/>
      <w:bookmarkEnd w:id="166"/>
      <w:bookmarkEnd w:id="167"/>
    </w:p>
    <w:p w14:paraId="5225C975">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.1响应文件从开启响应文件之日起，响应有效期为30个工作日。</w:t>
      </w:r>
    </w:p>
    <w:p w14:paraId="3D50C114">
      <w:pPr>
        <w:spacing w:line="360" w:lineRule="auto"/>
        <w:ind w:firstLine="480" w:firstLineChars="200"/>
        <w:rPr>
          <w:rFonts w:eastAsia="宋体"/>
          <w:sz w:val="24"/>
          <w:szCs w:val="21"/>
          <w:highlight w:val="none"/>
        </w:rPr>
      </w:pPr>
      <w:r>
        <w:rPr>
          <w:rFonts w:eastAsia="宋体"/>
          <w:sz w:val="24"/>
          <w:szCs w:val="21"/>
          <w:highlight w:val="none"/>
        </w:rPr>
        <w:t>1</w:t>
      </w:r>
      <w:r>
        <w:rPr>
          <w:rFonts w:hint="eastAsia" w:eastAsia="宋体"/>
          <w:sz w:val="24"/>
          <w:szCs w:val="21"/>
          <w:highlight w:val="none"/>
        </w:rPr>
        <w:t>3</w:t>
      </w:r>
      <w:r>
        <w:rPr>
          <w:rFonts w:eastAsia="宋体"/>
          <w:sz w:val="24"/>
          <w:szCs w:val="21"/>
          <w:highlight w:val="none"/>
        </w:rPr>
        <w:t>.2特殊情况下，</w:t>
      </w:r>
      <w:r>
        <w:rPr>
          <w:rFonts w:hint="eastAsia" w:eastAsia="宋体"/>
          <w:sz w:val="24"/>
          <w:szCs w:val="21"/>
          <w:highlight w:val="none"/>
        </w:rPr>
        <w:t>采购人</w:t>
      </w:r>
      <w:r>
        <w:rPr>
          <w:rFonts w:eastAsia="宋体"/>
          <w:sz w:val="24"/>
          <w:szCs w:val="21"/>
          <w:highlight w:val="none"/>
        </w:rPr>
        <w:t>可于响应有效期期满之前，要求供应商同意延长响应有效期，要求与答复均应为书面形式。对于同意该要求的供应商，既不要求也不允许其修改响应文件。</w:t>
      </w:r>
    </w:p>
    <w:p w14:paraId="3BC7FD40">
      <w:pPr>
        <w:spacing w:line="360" w:lineRule="auto"/>
        <w:ind w:firstLine="480" w:firstLineChars="200"/>
        <w:rPr>
          <w:rFonts w:eastAsia="宋体"/>
          <w:sz w:val="24"/>
          <w:szCs w:val="21"/>
          <w:highlight w:val="none"/>
        </w:rPr>
      </w:pPr>
    </w:p>
    <w:p w14:paraId="140C38A0">
      <w:pPr>
        <w:spacing w:line="360" w:lineRule="auto"/>
        <w:rPr>
          <w:rFonts w:eastAsia="宋体"/>
          <w:sz w:val="24"/>
          <w:szCs w:val="21"/>
          <w:highlight w:val="none"/>
        </w:rPr>
      </w:pPr>
    </w:p>
    <w:bookmarkEnd w:id="133"/>
    <w:bookmarkEnd w:id="134"/>
    <w:bookmarkEnd w:id="135"/>
    <w:bookmarkEnd w:id="136"/>
    <w:bookmarkEnd w:id="137"/>
    <w:p w14:paraId="54422462">
      <w:pPr>
        <w:pStyle w:val="3"/>
        <w:keepNext w:val="0"/>
        <w:keepLines w:val="0"/>
        <w:adjustRightInd/>
        <w:spacing w:before="0" w:after="0" w:line="360" w:lineRule="auto"/>
        <w:ind w:firstLine="482" w:firstLineChars="200"/>
        <w:jc w:val="center"/>
        <w:rPr>
          <w:rFonts w:ascii="Times New Roman" w:hAnsi="Times New Roman" w:eastAsia="宋体"/>
          <w:sz w:val="24"/>
          <w:szCs w:val="21"/>
          <w:highlight w:val="none"/>
        </w:rPr>
      </w:pPr>
      <w:bookmarkStart w:id="168" w:name="_Toc110953843"/>
      <w:bookmarkStart w:id="169" w:name="_Toc184723302"/>
      <w:bookmarkStart w:id="170" w:name="_Toc466786438"/>
      <w:bookmarkStart w:id="171" w:name="_Toc102277760"/>
      <w:bookmarkStart w:id="172" w:name="_Toc6968691"/>
      <w:bookmarkStart w:id="173" w:name="_Toc6882679"/>
      <w:bookmarkStart w:id="174" w:name="_Toc507407363"/>
      <w:r>
        <w:rPr>
          <w:rFonts w:ascii="Times New Roman" w:hAnsi="Times New Roman" w:eastAsia="宋体"/>
          <w:sz w:val="24"/>
          <w:szCs w:val="21"/>
          <w:highlight w:val="none"/>
        </w:rPr>
        <w:t>四、响应文件的递交</w:t>
      </w:r>
      <w:bookmarkEnd w:id="168"/>
      <w:bookmarkEnd w:id="169"/>
    </w:p>
    <w:p w14:paraId="1E39FEA6">
      <w:pPr>
        <w:pStyle w:val="5"/>
        <w:keepNext w:val="0"/>
        <w:keepLines w:val="0"/>
        <w:adjustRightInd/>
        <w:spacing w:before="0" w:after="0" w:line="480" w:lineRule="exact"/>
        <w:ind w:firstLine="482" w:firstLineChars="200"/>
        <w:rPr>
          <w:rFonts w:hAnsi="宋体"/>
          <w:sz w:val="24"/>
          <w:szCs w:val="21"/>
          <w:highlight w:val="none"/>
        </w:rPr>
      </w:pPr>
      <w:bookmarkStart w:id="175" w:name="_Toc97112231"/>
      <w:bookmarkStart w:id="176" w:name="_Toc110953844"/>
      <w:bookmarkStart w:id="177" w:name="_Toc96934192"/>
      <w:bookmarkStart w:id="178" w:name="_Toc97109980"/>
      <w:bookmarkStart w:id="179" w:name="_Toc96940320"/>
      <w:r>
        <w:rPr>
          <w:rFonts w:hAnsi="宋体"/>
          <w:sz w:val="24"/>
          <w:szCs w:val="21"/>
          <w:highlight w:val="none"/>
        </w:rPr>
        <w:t>1</w:t>
      </w:r>
      <w:r>
        <w:rPr>
          <w:rFonts w:hint="eastAsia" w:hAnsi="宋体"/>
          <w:sz w:val="24"/>
          <w:szCs w:val="21"/>
          <w:highlight w:val="none"/>
        </w:rPr>
        <w:t>4</w:t>
      </w:r>
      <w:r>
        <w:rPr>
          <w:rFonts w:hAnsi="宋体"/>
          <w:sz w:val="24"/>
          <w:szCs w:val="21"/>
          <w:highlight w:val="none"/>
        </w:rPr>
        <w:t>.响应文件的密封和标记</w:t>
      </w:r>
      <w:bookmarkEnd w:id="175"/>
      <w:bookmarkEnd w:id="176"/>
      <w:bookmarkEnd w:id="177"/>
      <w:bookmarkEnd w:id="178"/>
      <w:bookmarkEnd w:id="179"/>
    </w:p>
    <w:p w14:paraId="40E2DD83">
      <w:pPr>
        <w:spacing w:line="480" w:lineRule="exact"/>
        <w:ind w:firstLine="482" w:firstLineChars="200"/>
        <w:rPr>
          <w:rFonts w:ascii="宋体" w:hAnsi="宋体" w:eastAsia="宋体"/>
          <w:b/>
          <w:bCs/>
          <w:sz w:val="24"/>
          <w:szCs w:val="21"/>
          <w:highlight w:val="none"/>
        </w:rPr>
      </w:pPr>
      <w:r>
        <w:rPr>
          <w:rFonts w:ascii="宋体" w:hAnsi="宋体" w:eastAsia="宋体"/>
          <w:b/>
          <w:bCs/>
          <w:sz w:val="24"/>
          <w:szCs w:val="21"/>
          <w:highlight w:val="none"/>
        </w:rPr>
        <w:t>1</w:t>
      </w:r>
      <w:r>
        <w:rPr>
          <w:rFonts w:hint="eastAsia" w:ascii="宋体" w:hAnsi="宋体" w:eastAsia="宋体"/>
          <w:b/>
          <w:bCs/>
          <w:sz w:val="24"/>
          <w:szCs w:val="21"/>
          <w:highlight w:val="none"/>
        </w:rPr>
        <w:t>4</w:t>
      </w:r>
      <w:r>
        <w:rPr>
          <w:rFonts w:ascii="宋体" w:hAnsi="宋体" w:eastAsia="宋体"/>
          <w:b/>
          <w:bCs/>
          <w:sz w:val="24"/>
          <w:szCs w:val="21"/>
          <w:highlight w:val="none"/>
        </w:rPr>
        <w:t>.1供应商应将响应文件正本和副本用信封分别密封，并标明供应商的名称、</w:t>
      </w:r>
      <w:r>
        <w:rPr>
          <w:rFonts w:hint="eastAsia" w:ascii="宋体" w:hAnsi="宋体" w:eastAsia="宋体"/>
          <w:b/>
          <w:bCs/>
          <w:sz w:val="24"/>
          <w:szCs w:val="21"/>
          <w:highlight w:val="none"/>
        </w:rPr>
        <w:t>项目名称、</w:t>
      </w:r>
      <w:r>
        <w:rPr>
          <w:rFonts w:ascii="宋体" w:hAnsi="宋体" w:eastAsia="宋体"/>
          <w:b/>
          <w:bCs/>
          <w:sz w:val="24"/>
          <w:szCs w:val="21"/>
          <w:highlight w:val="none"/>
        </w:rPr>
        <w:t>采购编号及</w:t>
      </w:r>
      <w:r>
        <w:rPr>
          <w:rFonts w:hint="eastAsia" w:ascii="宋体" w:hAnsi="宋体" w:eastAsia="宋体"/>
          <w:b/>
          <w:bCs/>
          <w:sz w:val="24"/>
          <w:szCs w:val="21"/>
          <w:highlight w:val="none"/>
        </w:rPr>
        <w:t>“</w:t>
      </w:r>
      <w:r>
        <w:rPr>
          <w:rFonts w:ascii="宋体" w:hAnsi="宋体" w:eastAsia="宋体"/>
          <w:b/>
          <w:bCs/>
          <w:sz w:val="24"/>
          <w:szCs w:val="21"/>
          <w:highlight w:val="none"/>
        </w:rPr>
        <w:t>正本</w:t>
      </w:r>
      <w:r>
        <w:rPr>
          <w:rFonts w:hint="eastAsia" w:ascii="宋体" w:hAnsi="宋体" w:eastAsia="宋体"/>
          <w:b/>
          <w:bCs/>
          <w:sz w:val="24"/>
          <w:szCs w:val="21"/>
          <w:highlight w:val="none"/>
        </w:rPr>
        <w:t>”</w:t>
      </w:r>
      <w:r>
        <w:rPr>
          <w:rFonts w:ascii="宋体" w:hAnsi="宋体" w:eastAsia="宋体"/>
          <w:b/>
          <w:bCs/>
          <w:sz w:val="24"/>
          <w:szCs w:val="21"/>
          <w:highlight w:val="none"/>
        </w:rPr>
        <w:t>或</w:t>
      </w:r>
      <w:r>
        <w:rPr>
          <w:rFonts w:hint="eastAsia" w:ascii="宋体" w:hAnsi="宋体" w:eastAsia="宋体"/>
          <w:b/>
          <w:bCs/>
          <w:sz w:val="24"/>
          <w:szCs w:val="21"/>
          <w:highlight w:val="none"/>
        </w:rPr>
        <w:t>“</w:t>
      </w:r>
      <w:r>
        <w:rPr>
          <w:rFonts w:ascii="宋体" w:hAnsi="宋体" w:eastAsia="宋体"/>
          <w:b/>
          <w:bCs/>
          <w:sz w:val="24"/>
          <w:szCs w:val="21"/>
          <w:highlight w:val="none"/>
        </w:rPr>
        <w:t>副本</w:t>
      </w:r>
      <w:r>
        <w:rPr>
          <w:rFonts w:hint="eastAsia" w:ascii="宋体" w:hAnsi="宋体" w:eastAsia="宋体"/>
          <w:b/>
          <w:bCs/>
          <w:sz w:val="24"/>
          <w:szCs w:val="21"/>
          <w:highlight w:val="none"/>
        </w:rPr>
        <w:t>”</w:t>
      </w:r>
      <w:r>
        <w:rPr>
          <w:rFonts w:ascii="宋体" w:hAnsi="宋体" w:eastAsia="宋体"/>
          <w:b/>
          <w:bCs/>
          <w:sz w:val="24"/>
          <w:szCs w:val="21"/>
          <w:highlight w:val="none"/>
        </w:rPr>
        <w:t>字样。</w:t>
      </w:r>
    </w:p>
    <w:p w14:paraId="7E06E287">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2</w:t>
      </w:r>
      <w:r>
        <w:rPr>
          <w:rFonts w:ascii="宋体" w:hAnsi="宋体" w:eastAsia="宋体"/>
          <w:sz w:val="24"/>
          <w:szCs w:val="21"/>
          <w:highlight w:val="none"/>
        </w:rPr>
        <w:t>每一份响应文件的密封袋两头封口上均需贴封条</w:t>
      </w:r>
      <w:bookmarkStart w:id="180" w:name="_Hlk65400439"/>
      <w:r>
        <w:rPr>
          <w:rFonts w:ascii="宋体" w:hAnsi="宋体" w:eastAsia="宋体"/>
          <w:sz w:val="24"/>
          <w:szCs w:val="21"/>
          <w:highlight w:val="none"/>
        </w:rPr>
        <w:t>，封条上应注明</w:t>
      </w:r>
      <w:r>
        <w:rPr>
          <w:rFonts w:ascii="宋体" w:hAnsi="宋体" w:eastAsia="宋体"/>
          <w:color w:val="auto"/>
          <w:sz w:val="24"/>
          <w:szCs w:val="21"/>
          <w:highlight w:val="none"/>
        </w:rPr>
        <w:t>“</w:t>
      </w:r>
      <w:r>
        <w:rPr>
          <w:rFonts w:ascii="宋体" w:hAnsi="宋体" w:eastAsia="宋体"/>
          <w:b/>
          <w:color w:val="auto"/>
          <w:sz w:val="24"/>
          <w:szCs w:val="21"/>
          <w:highlight w:val="none"/>
        </w:rPr>
        <w:t>于202</w:t>
      </w:r>
      <w:r>
        <w:rPr>
          <w:rFonts w:hint="eastAsia" w:ascii="宋体" w:hAnsi="宋体" w:eastAsia="宋体"/>
          <w:b/>
          <w:color w:val="auto"/>
          <w:sz w:val="24"/>
          <w:szCs w:val="21"/>
          <w:highlight w:val="none"/>
          <w:lang w:val="en-US" w:eastAsia="zh-CN"/>
        </w:rPr>
        <w:t>6</w:t>
      </w:r>
      <w:r>
        <w:rPr>
          <w:rFonts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1</w:t>
      </w:r>
      <w:r>
        <w:rPr>
          <w:rFonts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29</w:t>
      </w:r>
      <w:r>
        <w:rPr>
          <w:rFonts w:ascii="宋体" w:hAnsi="宋体" w:eastAsia="宋体"/>
          <w:b/>
          <w:color w:val="auto"/>
          <w:sz w:val="24"/>
          <w:szCs w:val="21"/>
          <w:highlight w:val="none"/>
        </w:rPr>
        <w:t>日</w:t>
      </w:r>
      <w:r>
        <w:rPr>
          <w:rFonts w:hint="eastAsia" w:ascii="宋体" w:hAnsi="宋体" w:eastAsia="宋体"/>
          <w:b/>
          <w:color w:val="auto"/>
          <w:sz w:val="24"/>
          <w:szCs w:val="21"/>
          <w:highlight w:val="none"/>
        </w:rPr>
        <w:t>15</w:t>
      </w:r>
      <w:r>
        <w:rPr>
          <w:rFonts w:ascii="宋体" w:hAnsi="宋体" w:eastAsia="宋体"/>
          <w:b/>
          <w:color w:val="auto"/>
          <w:sz w:val="24"/>
          <w:szCs w:val="21"/>
          <w:highlight w:val="none"/>
        </w:rPr>
        <w:t>时</w:t>
      </w:r>
      <w:r>
        <w:rPr>
          <w:rFonts w:hint="eastAsia" w:ascii="宋体" w:hAnsi="宋体" w:eastAsia="宋体"/>
          <w:b/>
          <w:color w:val="auto"/>
          <w:sz w:val="24"/>
          <w:szCs w:val="21"/>
          <w:highlight w:val="none"/>
        </w:rPr>
        <w:t>30分</w:t>
      </w:r>
      <w:r>
        <w:rPr>
          <w:rFonts w:ascii="宋体" w:hAnsi="宋体" w:eastAsia="宋体"/>
          <w:b/>
          <w:color w:val="auto"/>
          <w:sz w:val="24"/>
          <w:szCs w:val="21"/>
          <w:highlight w:val="none"/>
        </w:rPr>
        <w:t>之前不准启封”</w:t>
      </w:r>
      <w:r>
        <w:rPr>
          <w:rFonts w:ascii="宋体" w:hAnsi="宋体" w:eastAsia="宋体"/>
          <w:color w:val="auto"/>
          <w:sz w:val="24"/>
          <w:szCs w:val="21"/>
          <w:highlight w:val="none"/>
        </w:rPr>
        <w:t>的字样，并加盖骑缝章（公章）。</w:t>
      </w:r>
      <w:bookmarkEnd w:id="180"/>
    </w:p>
    <w:p w14:paraId="171B00A0">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3</w:t>
      </w:r>
      <w:r>
        <w:rPr>
          <w:rFonts w:ascii="宋体" w:hAnsi="宋体" w:eastAsia="宋体"/>
          <w:sz w:val="24"/>
          <w:szCs w:val="21"/>
          <w:highlight w:val="none"/>
        </w:rPr>
        <w:t>供应商应按上述规定进行密封和标记后，将响应文件按照</w:t>
      </w:r>
      <w:r>
        <w:rPr>
          <w:rFonts w:hint="eastAsia" w:ascii="宋体" w:hAnsi="宋体" w:eastAsia="宋体"/>
          <w:sz w:val="24"/>
          <w:szCs w:val="21"/>
          <w:highlight w:val="none"/>
        </w:rPr>
        <w:t>遴选</w:t>
      </w:r>
      <w:r>
        <w:rPr>
          <w:rFonts w:ascii="宋体" w:hAnsi="宋体" w:eastAsia="宋体"/>
          <w:sz w:val="24"/>
          <w:szCs w:val="21"/>
          <w:highlight w:val="none"/>
        </w:rPr>
        <w:t>文件中规定的时间和地址由专人送至</w:t>
      </w:r>
      <w:r>
        <w:rPr>
          <w:rFonts w:hint="eastAsia" w:ascii="宋体" w:hAnsi="宋体" w:eastAsia="宋体"/>
          <w:sz w:val="24"/>
          <w:szCs w:val="21"/>
          <w:highlight w:val="none"/>
        </w:rPr>
        <w:t>开平市中医院</w:t>
      </w:r>
      <w:r>
        <w:rPr>
          <w:rFonts w:ascii="宋体" w:hAnsi="宋体" w:eastAsia="宋体"/>
          <w:sz w:val="24"/>
          <w:szCs w:val="21"/>
          <w:highlight w:val="none"/>
        </w:rPr>
        <w:t>。</w:t>
      </w:r>
    </w:p>
    <w:p w14:paraId="37B5FF23">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4</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未按上述规定进行密封、标记和递交的，</w:t>
      </w:r>
      <w:r>
        <w:rPr>
          <w:rFonts w:hint="eastAsia" w:ascii="宋体" w:hAnsi="宋体" w:eastAsia="宋体"/>
          <w:sz w:val="24"/>
          <w:szCs w:val="21"/>
          <w:highlight w:val="none"/>
        </w:rPr>
        <w:t>采购人</w:t>
      </w:r>
      <w:r>
        <w:rPr>
          <w:rFonts w:ascii="宋体" w:hAnsi="宋体" w:eastAsia="宋体"/>
          <w:sz w:val="24"/>
          <w:szCs w:val="21"/>
          <w:highlight w:val="none"/>
        </w:rPr>
        <w:t>对响应文件的不依时间递交、误投、破损、封装不合格或提前拆封不负责。</w:t>
      </w:r>
    </w:p>
    <w:p w14:paraId="46D51A22">
      <w:pPr>
        <w:pStyle w:val="5"/>
        <w:keepNext w:val="0"/>
        <w:keepLines w:val="0"/>
        <w:adjustRightInd/>
        <w:spacing w:before="0" w:after="0" w:line="480" w:lineRule="exact"/>
        <w:ind w:firstLine="482" w:firstLineChars="200"/>
        <w:rPr>
          <w:rFonts w:hAnsi="宋体"/>
          <w:sz w:val="24"/>
          <w:szCs w:val="21"/>
          <w:highlight w:val="none"/>
        </w:rPr>
      </w:pPr>
      <w:bookmarkStart w:id="181" w:name="_Toc96940321"/>
      <w:bookmarkStart w:id="182" w:name="_Toc110953845"/>
      <w:bookmarkStart w:id="183" w:name="_Toc96934193"/>
      <w:bookmarkStart w:id="184" w:name="_Toc97112232"/>
      <w:bookmarkStart w:id="185" w:name="_Toc97109981"/>
      <w:r>
        <w:rPr>
          <w:rFonts w:hAnsi="宋体"/>
          <w:sz w:val="24"/>
          <w:szCs w:val="21"/>
          <w:highlight w:val="none"/>
        </w:rPr>
        <w:t>1</w:t>
      </w:r>
      <w:r>
        <w:rPr>
          <w:rFonts w:hint="eastAsia" w:hAnsi="宋体"/>
          <w:sz w:val="24"/>
          <w:szCs w:val="21"/>
          <w:highlight w:val="none"/>
        </w:rPr>
        <w:t>5</w:t>
      </w:r>
      <w:r>
        <w:rPr>
          <w:rFonts w:hAnsi="宋体"/>
          <w:sz w:val="24"/>
          <w:szCs w:val="21"/>
          <w:highlight w:val="none"/>
        </w:rPr>
        <w:t>.递交响应文件的时间、地点以及截止时间</w:t>
      </w:r>
      <w:bookmarkEnd w:id="181"/>
      <w:bookmarkEnd w:id="182"/>
      <w:bookmarkEnd w:id="183"/>
      <w:bookmarkEnd w:id="184"/>
      <w:bookmarkEnd w:id="185"/>
    </w:p>
    <w:p w14:paraId="0832A8AA">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.1 响应文件递交地点：</w:t>
      </w:r>
      <w:r>
        <w:rPr>
          <w:rFonts w:hint="eastAsia" w:eastAsia="宋体"/>
          <w:sz w:val="24"/>
          <w:szCs w:val="22"/>
          <w:highlight w:val="none"/>
        </w:rPr>
        <w:t>开平市中医院2号楼8楼817室（地址：</w:t>
      </w:r>
      <w:r>
        <w:rPr>
          <w:rFonts w:eastAsia="宋体"/>
          <w:sz w:val="24"/>
          <w:szCs w:val="22"/>
          <w:highlight w:val="none"/>
        </w:rPr>
        <w:t>广东省开平市三埠街道新昌西桥二马路</w:t>
      </w:r>
      <w:r>
        <w:rPr>
          <w:rFonts w:hint="eastAsia" w:eastAsia="宋体"/>
          <w:sz w:val="24"/>
          <w:szCs w:val="22"/>
          <w:highlight w:val="none"/>
        </w:rPr>
        <w:t>6号</w:t>
      </w:r>
      <w:r>
        <w:rPr>
          <w:rFonts w:hint="eastAsia" w:ascii="宋体" w:hAnsi="宋体" w:eastAsia="宋体"/>
          <w:sz w:val="24"/>
          <w:szCs w:val="22"/>
          <w:highlight w:val="none"/>
        </w:rPr>
        <w:t>）</w:t>
      </w:r>
    </w:p>
    <w:p w14:paraId="6BB3263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.2</w:t>
      </w:r>
      <w:r>
        <w:rPr>
          <w:rFonts w:hint="eastAsia" w:ascii="宋体" w:hAnsi="宋体" w:eastAsia="宋体"/>
          <w:sz w:val="24"/>
          <w:szCs w:val="21"/>
          <w:highlight w:val="none"/>
        </w:rPr>
        <w:t>递交</w:t>
      </w:r>
      <w:r>
        <w:rPr>
          <w:rFonts w:hint="eastAsia" w:ascii="宋体" w:hAnsi="宋体" w:eastAsia="宋体"/>
          <w:color w:val="auto"/>
          <w:sz w:val="24"/>
          <w:szCs w:val="21"/>
          <w:highlight w:val="none"/>
        </w:rPr>
        <w:t>响应文件时间</w:t>
      </w:r>
      <w:r>
        <w:rPr>
          <w:rFonts w:ascii="宋体" w:hAnsi="宋体" w:eastAsia="宋体"/>
          <w:color w:val="auto"/>
          <w:sz w:val="24"/>
          <w:szCs w:val="21"/>
          <w:highlight w:val="none"/>
        </w:rPr>
        <w:t>：</w:t>
      </w:r>
      <w:r>
        <w:rPr>
          <w:rFonts w:hint="eastAsia" w:ascii="宋体" w:hAnsi="宋体" w:eastAsia="宋体"/>
          <w:b/>
          <w:color w:val="auto"/>
          <w:sz w:val="24"/>
          <w:szCs w:val="21"/>
          <w:highlight w:val="none"/>
        </w:rPr>
        <w:t>202</w:t>
      </w:r>
      <w:r>
        <w:rPr>
          <w:rFonts w:hint="eastAsia" w:ascii="宋体" w:hAnsi="宋体" w:eastAsia="宋体"/>
          <w:b/>
          <w:color w:val="auto"/>
          <w:sz w:val="24"/>
          <w:szCs w:val="21"/>
          <w:highlight w:val="none"/>
          <w:lang w:val="en-US" w:eastAsia="zh-CN"/>
        </w:rPr>
        <w:t>6</w:t>
      </w:r>
      <w:r>
        <w:rPr>
          <w:rFonts w:hint="eastAsia" w:ascii="宋体" w:hAnsi="宋体" w:eastAsia="宋体"/>
          <w:b/>
          <w:color w:val="auto"/>
          <w:sz w:val="24"/>
          <w:szCs w:val="21"/>
          <w:highlight w:val="none"/>
        </w:rPr>
        <w:t>年</w:t>
      </w:r>
      <w:r>
        <w:rPr>
          <w:rFonts w:hint="eastAsia" w:ascii="宋体" w:hAnsi="宋体" w:eastAsia="宋体"/>
          <w:b/>
          <w:color w:val="auto"/>
          <w:sz w:val="24"/>
          <w:szCs w:val="21"/>
          <w:highlight w:val="none"/>
          <w:lang w:val="en-US" w:eastAsia="zh-CN"/>
        </w:rPr>
        <w:t>1</w:t>
      </w:r>
      <w:r>
        <w:rPr>
          <w:rFonts w:hint="eastAsia" w:ascii="宋体" w:hAnsi="宋体" w:eastAsia="宋体"/>
          <w:b/>
          <w:color w:val="auto"/>
          <w:sz w:val="24"/>
          <w:szCs w:val="21"/>
          <w:highlight w:val="none"/>
        </w:rPr>
        <w:t>月</w:t>
      </w:r>
      <w:r>
        <w:rPr>
          <w:rFonts w:hint="eastAsia" w:ascii="宋体" w:hAnsi="宋体" w:eastAsia="宋体"/>
          <w:b/>
          <w:color w:val="auto"/>
          <w:sz w:val="24"/>
          <w:szCs w:val="21"/>
          <w:highlight w:val="none"/>
          <w:lang w:val="en-US" w:eastAsia="zh-CN"/>
        </w:rPr>
        <w:t>29</w:t>
      </w:r>
      <w:r>
        <w:rPr>
          <w:rFonts w:hint="eastAsia" w:ascii="宋体" w:hAnsi="宋体" w:eastAsia="宋体"/>
          <w:b/>
          <w:color w:val="auto"/>
          <w:sz w:val="24"/>
          <w:szCs w:val="21"/>
          <w:highlight w:val="none"/>
        </w:rPr>
        <w:t>日14：30-15：30</w:t>
      </w:r>
      <w:r>
        <w:rPr>
          <w:rFonts w:hint="eastAsia" w:ascii="宋体" w:hAnsi="宋体" w:eastAsia="宋体"/>
          <w:color w:val="auto"/>
          <w:sz w:val="24"/>
          <w:szCs w:val="21"/>
          <w:highlight w:val="none"/>
        </w:rPr>
        <w:t>（北京时间）。</w:t>
      </w:r>
      <w:r>
        <w:rPr>
          <w:rFonts w:hint="eastAsia" w:ascii="宋体" w:hAnsi="宋体" w:eastAsia="宋体"/>
          <w:sz w:val="24"/>
          <w:szCs w:val="21"/>
          <w:highlight w:val="none"/>
        </w:rPr>
        <w:t>提前、逾期递交或不符合规定的响应文件恕不接受。</w:t>
      </w:r>
    </w:p>
    <w:p w14:paraId="0A16EDDB">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.3</w:t>
      </w:r>
      <w:r>
        <w:rPr>
          <w:rFonts w:hint="eastAsia" w:ascii="宋体" w:hAnsi="宋体" w:eastAsia="宋体"/>
          <w:sz w:val="24"/>
          <w:szCs w:val="21"/>
          <w:highlight w:val="none"/>
        </w:rPr>
        <w:t>采购人</w:t>
      </w:r>
      <w:r>
        <w:rPr>
          <w:rFonts w:ascii="宋体" w:hAnsi="宋体" w:eastAsia="宋体"/>
          <w:sz w:val="24"/>
          <w:szCs w:val="21"/>
          <w:highlight w:val="none"/>
        </w:rPr>
        <w:t>拒绝接受以下文件：</w:t>
      </w:r>
    </w:p>
    <w:p w14:paraId="53D3D359">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（1）提前递交的文件</w:t>
      </w:r>
      <w:r>
        <w:rPr>
          <w:rFonts w:hint="eastAsia" w:ascii="宋体" w:hAnsi="宋体" w:eastAsia="宋体"/>
          <w:sz w:val="24"/>
          <w:szCs w:val="21"/>
          <w:highlight w:val="none"/>
        </w:rPr>
        <w:t>。</w:t>
      </w:r>
    </w:p>
    <w:p w14:paraId="28833235">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（2）在响应截止时间后递交的响应文件</w:t>
      </w:r>
      <w:r>
        <w:rPr>
          <w:rFonts w:hint="eastAsia" w:ascii="宋体" w:hAnsi="宋体" w:eastAsia="宋体"/>
          <w:sz w:val="24"/>
          <w:szCs w:val="21"/>
          <w:highlight w:val="none"/>
        </w:rPr>
        <w:t>。</w:t>
      </w:r>
    </w:p>
    <w:p w14:paraId="23E5F756">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（3）未按规定包装和密封的响应文件。</w:t>
      </w:r>
    </w:p>
    <w:p w14:paraId="0BF95276">
      <w:pPr>
        <w:spacing w:line="480" w:lineRule="exact"/>
        <w:ind w:firstLine="480" w:firstLineChars="200"/>
        <w:outlineLvl w:val="3"/>
        <w:rPr>
          <w:rFonts w:ascii="宋体" w:hAnsi="宋体" w:eastAsia="宋体"/>
          <w:b/>
          <w:bCs/>
          <w:sz w:val="24"/>
          <w:szCs w:val="21"/>
          <w:highlight w:val="none"/>
          <w:lang w:val="zh-CN"/>
        </w:rPr>
      </w:pPr>
      <w:r>
        <w:rPr>
          <w:rFonts w:ascii="宋体" w:hAnsi="宋体" w:eastAsia="宋体"/>
          <w:sz w:val="24"/>
          <w:szCs w:val="21"/>
          <w:highlight w:val="none"/>
        </w:rPr>
        <w:t>1</w:t>
      </w:r>
      <w:r>
        <w:rPr>
          <w:rFonts w:hint="eastAsia" w:ascii="宋体" w:hAnsi="宋体" w:eastAsia="宋体"/>
          <w:sz w:val="24"/>
          <w:szCs w:val="21"/>
          <w:highlight w:val="none"/>
        </w:rPr>
        <w:t>5</w:t>
      </w:r>
      <w:r>
        <w:rPr>
          <w:rFonts w:ascii="宋体" w:hAnsi="宋体" w:eastAsia="宋体"/>
          <w:sz w:val="24"/>
          <w:szCs w:val="21"/>
          <w:highlight w:val="none"/>
        </w:rPr>
        <w:t>.</w:t>
      </w:r>
      <w:r>
        <w:rPr>
          <w:rFonts w:hint="eastAsia" w:ascii="宋体" w:hAnsi="宋体" w:eastAsia="宋体"/>
          <w:sz w:val="24"/>
          <w:szCs w:val="21"/>
          <w:highlight w:val="none"/>
        </w:rPr>
        <w:t>4</w:t>
      </w:r>
      <w:r>
        <w:rPr>
          <w:rFonts w:ascii="宋体" w:hAnsi="宋体" w:eastAsia="宋体"/>
          <w:sz w:val="24"/>
          <w:szCs w:val="21"/>
          <w:highlight w:val="none"/>
        </w:rPr>
        <w:t>响应文件的修改与撤回</w:t>
      </w:r>
    </w:p>
    <w:p w14:paraId="21A7BB7E">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（1）供应商在递交响应文件后到响应截止时间之前，可以补充、修改或撤回其响应文件，但供应商必须以书面形式通知</w:t>
      </w:r>
      <w:r>
        <w:rPr>
          <w:rFonts w:hint="eastAsia" w:ascii="宋体" w:hAnsi="宋体" w:eastAsia="宋体"/>
          <w:sz w:val="24"/>
          <w:szCs w:val="21"/>
          <w:highlight w:val="none"/>
        </w:rPr>
        <w:t>采购人</w:t>
      </w:r>
      <w:r>
        <w:rPr>
          <w:rFonts w:ascii="宋体" w:hAnsi="宋体" w:eastAsia="宋体"/>
          <w:sz w:val="24"/>
          <w:szCs w:val="21"/>
          <w:highlight w:val="none"/>
        </w:rPr>
        <w:t>。补充、修改的内容与响应文件不一致的，以补偿、修改的内容为准。</w:t>
      </w:r>
    </w:p>
    <w:p w14:paraId="1E19710D">
      <w:pPr>
        <w:spacing w:line="480" w:lineRule="exact"/>
        <w:ind w:firstLine="480" w:firstLineChars="200"/>
        <w:rPr>
          <w:rFonts w:ascii="宋体" w:hAnsi="宋体" w:eastAsia="宋体"/>
          <w:sz w:val="24"/>
          <w:szCs w:val="21"/>
          <w:highlight w:val="none"/>
        </w:rPr>
      </w:pPr>
      <w:r>
        <w:rPr>
          <w:rFonts w:ascii="宋体" w:hAnsi="宋体" w:eastAsia="宋体"/>
          <w:sz w:val="24"/>
          <w:szCs w:val="21"/>
          <w:highlight w:val="none"/>
        </w:rPr>
        <w:t>（2）除法律法规允许的情况外，在响应截止时间之后至响应有效期之间的这段时间内，供应商不得对其响应文件做任何修改，亦不得撤回其响应，否则</w:t>
      </w:r>
      <w:r>
        <w:rPr>
          <w:rFonts w:hint="eastAsia" w:ascii="宋体" w:hAnsi="宋体" w:eastAsia="宋体"/>
          <w:sz w:val="24"/>
          <w:szCs w:val="21"/>
          <w:highlight w:val="none"/>
        </w:rPr>
        <w:t>取消</w:t>
      </w:r>
      <w:r>
        <w:rPr>
          <w:rFonts w:hint="eastAsia" w:ascii="宋体" w:hAnsi="宋体" w:eastAsia="宋体"/>
          <w:sz w:val="24"/>
          <w:szCs w:val="21"/>
          <w:highlight w:val="none"/>
          <w:lang w:val="en-US" w:eastAsia="zh-CN"/>
        </w:rPr>
        <w:t>响应</w:t>
      </w:r>
      <w:r>
        <w:rPr>
          <w:rFonts w:hint="eastAsia" w:ascii="宋体" w:hAnsi="宋体" w:eastAsia="宋体"/>
          <w:sz w:val="24"/>
          <w:szCs w:val="21"/>
          <w:highlight w:val="none"/>
        </w:rPr>
        <w:t>资格</w:t>
      </w:r>
      <w:r>
        <w:rPr>
          <w:rFonts w:ascii="宋体" w:hAnsi="宋体" w:eastAsia="宋体"/>
          <w:sz w:val="24"/>
          <w:szCs w:val="21"/>
          <w:highlight w:val="none"/>
        </w:rPr>
        <w:t>。</w:t>
      </w:r>
    </w:p>
    <w:bookmarkEnd w:id="93"/>
    <w:bookmarkEnd w:id="94"/>
    <w:bookmarkEnd w:id="95"/>
    <w:bookmarkEnd w:id="96"/>
    <w:bookmarkEnd w:id="97"/>
    <w:bookmarkEnd w:id="98"/>
    <w:bookmarkEnd w:id="99"/>
    <w:bookmarkEnd w:id="100"/>
    <w:bookmarkEnd w:id="101"/>
    <w:bookmarkEnd w:id="102"/>
    <w:bookmarkEnd w:id="103"/>
    <w:bookmarkEnd w:id="170"/>
    <w:bookmarkEnd w:id="171"/>
    <w:bookmarkEnd w:id="172"/>
    <w:bookmarkEnd w:id="173"/>
    <w:bookmarkEnd w:id="174"/>
    <w:p w14:paraId="1C6CCD34">
      <w:pPr>
        <w:rPr>
          <w:sz w:val="36"/>
          <w:szCs w:val="28"/>
          <w:highlight w:val="none"/>
        </w:rPr>
      </w:pPr>
      <w:bookmarkStart w:id="186" w:name="_Toc52027926"/>
      <w:bookmarkStart w:id="187" w:name="_Toc56353011"/>
      <w:bookmarkStart w:id="188" w:name="_Toc51756491"/>
      <w:bookmarkStart w:id="189" w:name="_Toc52021538"/>
      <w:bookmarkStart w:id="190" w:name="_Toc51939456"/>
      <w:bookmarkStart w:id="191" w:name="_Toc467049706"/>
      <w:bookmarkStart w:id="192" w:name="_Toc457975339"/>
      <w:bookmarkStart w:id="193" w:name="_Toc476976198"/>
      <w:bookmarkStart w:id="194" w:name="_Toc486671570"/>
      <w:bookmarkStart w:id="195" w:name="_Toc467236766"/>
      <w:bookmarkStart w:id="196" w:name="_Toc467050236"/>
      <w:r>
        <w:rPr>
          <w:sz w:val="36"/>
          <w:szCs w:val="28"/>
          <w:highlight w:val="none"/>
        </w:rPr>
        <w:br w:type="page"/>
      </w:r>
    </w:p>
    <w:p w14:paraId="0C088C4F">
      <w:pPr>
        <w:pStyle w:val="2"/>
        <w:keepNext w:val="0"/>
        <w:keepLines w:val="0"/>
        <w:spacing w:before="0" w:after="0" w:line="360" w:lineRule="auto"/>
        <w:jc w:val="center"/>
        <w:rPr>
          <w:rFonts w:ascii="Times New Roman"/>
          <w:sz w:val="36"/>
          <w:szCs w:val="28"/>
          <w:highlight w:val="none"/>
        </w:rPr>
      </w:pPr>
      <w:bookmarkStart w:id="197" w:name="_Toc184723303"/>
      <w:r>
        <w:rPr>
          <w:rFonts w:ascii="Times New Roman"/>
          <w:sz w:val="36"/>
          <w:szCs w:val="28"/>
          <w:highlight w:val="none"/>
        </w:rPr>
        <w:t>第四部分</w:t>
      </w:r>
      <w:r>
        <w:rPr>
          <w:rFonts w:hint="eastAsia" w:ascii="Times New Roman"/>
          <w:sz w:val="36"/>
          <w:szCs w:val="28"/>
          <w:highlight w:val="none"/>
        </w:rPr>
        <w:t xml:space="preserve"> 评审办法</w:t>
      </w:r>
      <w:bookmarkEnd w:id="197"/>
    </w:p>
    <w:p w14:paraId="0E6253B6">
      <w:pPr>
        <w:pStyle w:val="17"/>
        <w:jc w:val="left"/>
        <w:outlineLvl w:val="1"/>
        <w:rPr>
          <w:rFonts w:ascii="Times New Roman" w:eastAsia="宋体"/>
          <w:b/>
          <w:sz w:val="24"/>
          <w:szCs w:val="21"/>
          <w:highlight w:val="none"/>
        </w:rPr>
      </w:pPr>
      <w:bookmarkStart w:id="198" w:name="_Toc184723304"/>
      <w:r>
        <w:rPr>
          <w:rFonts w:hint="eastAsia" w:ascii="Times New Roman" w:eastAsia="宋体"/>
          <w:b/>
          <w:sz w:val="24"/>
          <w:szCs w:val="21"/>
          <w:highlight w:val="none"/>
        </w:rPr>
        <w:t>一、资格性审查、符合性审查。</w:t>
      </w:r>
      <w:bookmarkEnd w:id="198"/>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520D8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Align w:val="center"/>
          </w:tcPr>
          <w:p w14:paraId="2D6372AA">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审查项目</w:t>
            </w:r>
          </w:p>
        </w:tc>
        <w:tc>
          <w:tcPr>
            <w:tcW w:w="6110" w:type="dxa"/>
            <w:vAlign w:val="center"/>
          </w:tcPr>
          <w:p w14:paraId="3B2CE05D">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内容</w:t>
            </w:r>
          </w:p>
        </w:tc>
        <w:tc>
          <w:tcPr>
            <w:tcW w:w="1275" w:type="dxa"/>
          </w:tcPr>
          <w:p w14:paraId="746542FF">
            <w:pPr>
              <w:pStyle w:val="91"/>
              <w:spacing w:beforeLines="50" w:afterLines="50" w:line="360" w:lineRule="auto"/>
              <w:ind w:firstLine="0" w:firstLineChars="0"/>
              <w:jc w:val="center"/>
              <w:rPr>
                <w:rFonts w:ascii="Times New Roman" w:hAnsi="Times New Roman"/>
                <w:b/>
                <w:bCs/>
                <w:sz w:val="24"/>
                <w:highlight w:val="none"/>
              </w:rPr>
            </w:pPr>
            <w:r>
              <w:rPr>
                <w:rFonts w:hint="eastAsia" w:ascii="Times New Roman" w:hAnsi="Times New Roman"/>
                <w:b/>
                <w:bCs/>
                <w:sz w:val="24"/>
                <w:highlight w:val="none"/>
              </w:rPr>
              <w:t>是否符合</w:t>
            </w:r>
          </w:p>
        </w:tc>
      </w:tr>
      <w:tr w14:paraId="0297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465" w:type="dxa"/>
            <w:vMerge w:val="restart"/>
            <w:vAlign w:val="center"/>
          </w:tcPr>
          <w:p w14:paraId="0BF98E1D">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资格性审查</w:t>
            </w:r>
          </w:p>
        </w:tc>
        <w:tc>
          <w:tcPr>
            <w:tcW w:w="6110" w:type="dxa"/>
            <w:vAlign w:val="center"/>
          </w:tcPr>
          <w:p w14:paraId="6ED57C25">
            <w:pPr>
              <w:bidi w:val="0"/>
              <w:spacing w:line="240" w:lineRule="auto"/>
              <w:jc w:val="both"/>
              <w:rPr>
                <w:rFonts w:hint="eastAsia" w:ascii="宋体" w:hAnsi="宋体" w:eastAsia="宋体" w:cs="宋体"/>
                <w:bCs/>
                <w:color w:val="auto"/>
                <w:highlight w:val="none"/>
              </w:rPr>
            </w:pPr>
            <w:r>
              <w:rPr>
                <w:rFonts w:hint="eastAsia" w:ascii="宋体" w:hAnsi="宋体" w:eastAsia="宋体" w:cs="宋体"/>
                <w:color w:val="auto"/>
                <w:sz w:val="24"/>
                <w:szCs w:val="16"/>
                <w:highlight w:val="none"/>
              </w:rPr>
              <w:t>1.有效的营业执照（或事业法人登记证或身份证等相关证明）。</w:t>
            </w:r>
          </w:p>
        </w:tc>
        <w:tc>
          <w:tcPr>
            <w:tcW w:w="1275" w:type="dxa"/>
            <w:vAlign w:val="center"/>
          </w:tcPr>
          <w:p w14:paraId="7F037794">
            <w:pPr>
              <w:pStyle w:val="91"/>
              <w:adjustRightInd w:val="0"/>
              <w:snapToGrid w:val="0"/>
              <w:spacing w:line="360" w:lineRule="auto"/>
              <w:ind w:firstLine="0" w:firstLineChars="0"/>
              <w:jc w:val="left"/>
              <w:rPr>
                <w:rFonts w:ascii="Times New Roman" w:hAnsi="Times New Roman"/>
                <w:bCs/>
                <w:sz w:val="24"/>
                <w:highlight w:val="none"/>
              </w:rPr>
            </w:pPr>
          </w:p>
        </w:tc>
      </w:tr>
      <w:tr w14:paraId="60B3D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Merge w:val="continue"/>
            <w:vAlign w:val="center"/>
          </w:tcPr>
          <w:p w14:paraId="70E45CE2">
            <w:pPr>
              <w:widowControl/>
              <w:spacing w:line="360" w:lineRule="auto"/>
              <w:rPr>
                <w:rFonts w:eastAsia="宋体"/>
                <w:bCs/>
                <w:sz w:val="24"/>
                <w:szCs w:val="22"/>
                <w:highlight w:val="none"/>
              </w:rPr>
            </w:pPr>
          </w:p>
        </w:tc>
        <w:tc>
          <w:tcPr>
            <w:tcW w:w="6110" w:type="dxa"/>
            <w:vAlign w:val="center"/>
          </w:tcPr>
          <w:p w14:paraId="34CE46DB">
            <w:pPr>
              <w:numPr>
                <w:ilvl w:val="0"/>
                <w:numId w:val="0"/>
              </w:numPr>
              <w:adjustRightInd w:val="0"/>
              <w:snapToGrid w:val="0"/>
              <w:spacing w:line="240" w:lineRule="auto"/>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kern w:val="2"/>
                <w:sz w:val="24"/>
                <w:szCs w:val="21"/>
                <w:highlight w:val="none"/>
                <w:lang w:val="en-US" w:eastAsia="zh-CN" w:bidi="ar-SA"/>
              </w:rPr>
              <w:t>2.</w:t>
            </w:r>
            <w:r>
              <w:rPr>
                <w:rFonts w:hint="eastAsia" w:ascii="宋体" w:hAnsi="宋体" w:eastAsia="宋体" w:cs="宋体"/>
                <w:color w:val="auto"/>
                <w:sz w:val="24"/>
                <w:szCs w:val="21"/>
                <w:highlight w:val="none"/>
                <w:lang w:eastAsia="zh-CN"/>
              </w:rPr>
              <w:t>进驻广东省网上中介服务超市。</w:t>
            </w:r>
          </w:p>
        </w:tc>
        <w:tc>
          <w:tcPr>
            <w:tcW w:w="1275" w:type="dxa"/>
            <w:vAlign w:val="center"/>
          </w:tcPr>
          <w:p w14:paraId="30456672">
            <w:pPr>
              <w:adjustRightInd w:val="0"/>
              <w:snapToGrid w:val="0"/>
              <w:spacing w:line="360" w:lineRule="auto"/>
              <w:jc w:val="left"/>
              <w:rPr>
                <w:rFonts w:eastAsia="宋体"/>
                <w:sz w:val="24"/>
                <w:szCs w:val="21"/>
                <w:highlight w:val="none"/>
              </w:rPr>
            </w:pPr>
          </w:p>
        </w:tc>
      </w:tr>
      <w:tr w14:paraId="268B8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465" w:type="dxa"/>
            <w:vMerge w:val="continue"/>
            <w:vAlign w:val="center"/>
          </w:tcPr>
          <w:p w14:paraId="3676680A">
            <w:pPr>
              <w:pStyle w:val="2"/>
              <w:keepNext w:val="0"/>
              <w:keepLines w:val="0"/>
              <w:spacing w:before="0" w:after="0" w:line="360" w:lineRule="auto"/>
              <w:jc w:val="center"/>
              <w:rPr>
                <w:ins w:id="0" w:author="明" w:date="2025-12-26T17:38:17Z"/>
                <w:rFonts w:ascii="Times New Roman"/>
                <w:sz w:val="36"/>
                <w:szCs w:val="28"/>
                <w:highlight w:val="none"/>
              </w:rPr>
            </w:pPr>
            <w:ins w:id="1" w:author="明" w:date="2025-12-26T17:38:17Z">
              <w:r>
                <w:rPr>
                  <w:rFonts w:ascii="Times New Roman"/>
                  <w:sz w:val="36"/>
                  <w:szCs w:val="28"/>
                  <w:highlight w:val="none"/>
                </w:rPr>
                <w:t>第四部分</w:t>
              </w:r>
            </w:ins>
            <w:ins w:id="2" w:author="明" w:date="2025-12-26T17:38:17Z">
              <w:r>
                <w:rPr>
                  <w:rFonts w:hint="eastAsia" w:ascii="Times New Roman"/>
                  <w:sz w:val="36"/>
                  <w:szCs w:val="28"/>
                  <w:highlight w:val="none"/>
                </w:rPr>
                <w:t xml:space="preserve"> 评审办法</w:t>
              </w:r>
            </w:ins>
          </w:p>
          <w:p w14:paraId="78D8CCF9">
            <w:pPr>
              <w:pStyle w:val="17"/>
              <w:jc w:val="left"/>
              <w:outlineLvl w:val="1"/>
              <w:rPr>
                <w:ins w:id="3" w:author="明" w:date="2025-12-26T17:38:17Z"/>
                <w:rFonts w:ascii="Times New Roman" w:eastAsia="宋体"/>
                <w:b/>
                <w:sz w:val="24"/>
                <w:szCs w:val="21"/>
                <w:highlight w:val="none"/>
              </w:rPr>
            </w:pPr>
            <w:ins w:id="4" w:author="明" w:date="2025-12-26T17:38:17Z">
              <w:r>
                <w:rPr>
                  <w:rFonts w:hint="eastAsia" w:ascii="Times New Roman" w:eastAsia="宋体"/>
                  <w:b/>
                  <w:sz w:val="24"/>
                  <w:szCs w:val="21"/>
                  <w:highlight w:val="none"/>
                </w:rPr>
                <w:t>一、资格性审查、符合性审查。</w:t>
              </w:r>
            </w:ins>
          </w:p>
          <w:tbl>
            <w:tblPr>
              <w:tblStyle w:val="42"/>
              <w:tblW w:w="8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5"/>
              <w:gridCol w:w="6110"/>
              <w:gridCol w:w="1275"/>
            </w:tblGrid>
            <w:tr w14:paraId="45E4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ins w:id="5" w:author="明" w:date="2025-12-26T17:38:17Z"/>
              </w:trPr>
              <w:tc>
                <w:tcPr>
                  <w:tcW w:w="1465" w:type="dxa"/>
                  <w:vAlign w:val="center"/>
                </w:tcPr>
                <w:p w14:paraId="18588F49">
                  <w:pPr>
                    <w:pStyle w:val="91"/>
                    <w:spacing w:beforeLines="50" w:afterLines="50" w:line="360" w:lineRule="auto"/>
                    <w:ind w:firstLine="0" w:firstLineChars="0"/>
                    <w:jc w:val="center"/>
                    <w:rPr>
                      <w:ins w:id="6" w:author="明" w:date="2025-12-26T17:38:17Z"/>
                      <w:rFonts w:ascii="Times New Roman" w:hAnsi="Times New Roman"/>
                      <w:b/>
                      <w:bCs/>
                      <w:sz w:val="24"/>
                      <w:highlight w:val="none"/>
                    </w:rPr>
                  </w:pPr>
                  <w:ins w:id="7" w:author="明" w:date="2025-12-26T17:38:17Z">
                    <w:r>
                      <w:rPr>
                        <w:rFonts w:hint="eastAsia" w:ascii="Times New Roman" w:hAnsi="Times New Roman"/>
                        <w:b/>
                        <w:bCs/>
                        <w:sz w:val="24"/>
                        <w:highlight w:val="none"/>
                      </w:rPr>
                      <w:t>审查项目</w:t>
                    </w:r>
                  </w:ins>
                </w:p>
              </w:tc>
              <w:tc>
                <w:tcPr>
                  <w:tcW w:w="6110" w:type="dxa"/>
                  <w:vAlign w:val="center"/>
                </w:tcPr>
                <w:p w14:paraId="5A63FE33">
                  <w:pPr>
                    <w:pStyle w:val="91"/>
                    <w:spacing w:beforeLines="50" w:afterLines="50" w:line="360" w:lineRule="auto"/>
                    <w:ind w:firstLine="0" w:firstLineChars="0"/>
                    <w:jc w:val="center"/>
                    <w:rPr>
                      <w:ins w:id="8" w:author="明" w:date="2025-12-26T17:38:17Z"/>
                      <w:rFonts w:ascii="Times New Roman" w:hAnsi="Times New Roman"/>
                      <w:b/>
                      <w:bCs/>
                      <w:sz w:val="24"/>
                      <w:highlight w:val="none"/>
                    </w:rPr>
                  </w:pPr>
                  <w:ins w:id="9" w:author="明" w:date="2025-12-26T17:38:17Z">
                    <w:r>
                      <w:rPr>
                        <w:rFonts w:hint="eastAsia" w:ascii="Times New Roman" w:hAnsi="Times New Roman"/>
                        <w:b/>
                        <w:bCs/>
                        <w:sz w:val="24"/>
                        <w:highlight w:val="none"/>
                      </w:rPr>
                      <w:t>内容</w:t>
                    </w:r>
                  </w:ins>
                </w:p>
              </w:tc>
              <w:tc>
                <w:tcPr>
                  <w:tcW w:w="1275" w:type="dxa"/>
                </w:tcPr>
                <w:p w14:paraId="38A83D8F">
                  <w:pPr>
                    <w:pStyle w:val="91"/>
                    <w:spacing w:beforeLines="50" w:afterLines="50" w:line="360" w:lineRule="auto"/>
                    <w:ind w:firstLine="0" w:firstLineChars="0"/>
                    <w:jc w:val="center"/>
                    <w:rPr>
                      <w:ins w:id="10" w:author="明" w:date="2025-12-26T17:38:17Z"/>
                      <w:rFonts w:ascii="Times New Roman" w:hAnsi="Times New Roman"/>
                      <w:b/>
                      <w:bCs/>
                      <w:sz w:val="24"/>
                      <w:highlight w:val="none"/>
                    </w:rPr>
                  </w:pPr>
                  <w:ins w:id="11" w:author="明" w:date="2025-12-26T17:38:17Z">
                    <w:r>
                      <w:rPr>
                        <w:rFonts w:hint="eastAsia" w:ascii="Times New Roman" w:hAnsi="Times New Roman"/>
                        <w:b/>
                        <w:bCs/>
                        <w:sz w:val="24"/>
                        <w:highlight w:val="none"/>
                      </w:rPr>
                      <w:t>是否符合</w:t>
                    </w:r>
                  </w:ins>
                </w:p>
              </w:tc>
            </w:tr>
            <w:tr w14:paraId="78321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ins w:id="12" w:author="明" w:date="2025-12-26T17:38:17Z"/>
              </w:trPr>
              <w:tc>
                <w:tcPr>
                  <w:tcW w:w="1465" w:type="dxa"/>
                  <w:vAlign w:val="center"/>
                </w:tcPr>
                <w:p w14:paraId="78873252">
                  <w:pPr>
                    <w:pStyle w:val="91"/>
                    <w:adjustRightInd w:val="0"/>
                    <w:snapToGrid w:val="0"/>
                    <w:spacing w:line="360" w:lineRule="auto"/>
                    <w:ind w:firstLine="0" w:firstLineChars="0"/>
                    <w:rPr>
                      <w:ins w:id="13" w:author="明" w:date="2025-12-26T17:38:17Z"/>
                      <w:rFonts w:ascii="Times New Roman" w:hAnsi="Times New Roman"/>
                      <w:bCs/>
                      <w:sz w:val="24"/>
                      <w:highlight w:val="none"/>
                    </w:rPr>
                  </w:pPr>
                  <w:ins w:id="14" w:author="明" w:date="2025-12-26T17:38:17Z">
                    <w:r>
                      <w:rPr>
                        <w:rFonts w:hint="eastAsia" w:ascii="Times New Roman" w:hAnsi="Times New Roman"/>
                        <w:bCs/>
                        <w:sz w:val="24"/>
                        <w:highlight w:val="none"/>
                      </w:rPr>
                      <w:t>资格性审查</w:t>
                    </w:r>
                  </w:ins>
                </w:p>
              </w:tc>
              <w:tc>
                <w:tcPr>
                  <w:tcW w:w="6110" w:type="dxa"/>
                  <w:vAlign w:val="center"/>
                </w:tcPr>
                <w:p w14:paraId="728A03FB">
                  <w:pPr>
                    <w:bidi w:val="0"/>
                    <w:spacing w:line="240" w:lineRule="auto"/>
                    <w:jc w:val="both"/>
                    <w:rPr>
                      <w:ins w:id="15" w:author="明" w:date="2025-12-26T17:38:17Z"/>
                      <w:rFonts w:hint="eastAsia" w:ascii="宋体" w:hAnsi="宋体" w:eastAsia="宋体" w:cs="宋体"/>
                      <w:bCs/>
                      <w:color w:val="auto"/>
                      <w:highlight w:val="none"/>
                    </w:rPr>
                  </w:pPr>
                  <w:ins w:id="16" w:author="明" w:date="2025-12-26T17:38:17Z">
                    <w:r>
                      <w:rPr>
                        <w:rFonts w:hint="eastAsia" w:ascii="宋体" w:hAnsi="宋体" w:eastAsia="宋体" w:cs="宋体"/>
                        <w:color w:val="auto"/>
                        <w:sz w:val="24"/>
                        <w:szCs w:val="16"/>
                        <w:highlight w:val="none"/>
                      </w:rPr>
                      <w:t>1.有效的营业执照（或事业法人登记证或身份证等相关证明）。</w:t>
                    </w:r>
                  </w:ins>
                </w:p>
              </w:tc>
              <w:tc>
                <w:tcPr>
                  <w:tcW w:w="1275" w:type="dxa"/>
                  <w:vAlign w:val="center"/>
                </w:tcPr>
                <w:p w14:paraId="49CA3ABD">
                  <w:pPr>
                    <w:pStyle w:val="91"/>
                    <w:adjustRightInd w:val="0"/>
                    <w:snapToGrid w:val="0"/>
                    <w:spacing w:line="360" w:lineRule="auto"/>
                    <w:ind w:firstLine="0" w:firstLineChars="0"/>
                    <w:jc w:val="left"/>
                    <w:rPr>
                      <w:ins w:id="17" w:author="明" w:date="2025-12-26T17:38:17Z"/>
                      <w:rFonts w:ascii="Times New Roman" w:hAnsi="Times New Roman"/>
                      <w:bCs/>
                      <w:sz w:val="24"/>
                      <w:highlight w:val="none"/>
                    </w:rPr>
                  </w:pPr>
                </w:p>
              </w:tc>
            </w:tr>
          </w:tbl>
          <w:p w14:paraId="03D34F36">
            <w:pPr>
              <w:widowControl/>
              <w:spacing w:line="360" w:lineRule="auto"/>
              <w:rPr>
                <w:rFonts w:eastAsia="宋体"/>
                <w:bCs/>
                <w:sz w:val="24"/>
                <w:szCs w:val="22"/>
                <w:highlight w:val="none"/>
              </w:rPr>
            </w:pPr>
          </w:p>
        </w:tc>
        <w:tc>
          <w:tcPr>
            <w:tcW w:w="6110" w:type="dxa"/>
            <w:vAlign w:val="center"/>
          </w:tcPr>
          <w:p w14:paraId="1C7C0190">
            <w:pPr>
              <w:numPr>
                <w:ilvl w:val="0"/>
                <w:numId w:val="0"/>
              </w:numPr>
              <w:adjustRightInd w:val="0"/>
              <w:snapToGrid w:val="0"/>
              <w:spacing w:line="240" w:lineRule="auto"/>
              <w:jc w:val="both"/>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3.具有履行协议所必需的设备和专业技术能力，提供相关设备清单及专业技术人员资质证明。</w:t>
            </w:r>
          </w:p>
        </w:tc>
        <w:tc>
          <w:tcPr>
            <w:tcW w:w="1275" w:type="dxa"/>
            <w:vAlign w:val="center"/>
          </w:tcPr>
          <w:p w14:paraId="1987E24B">
            <w:pPr>
              <w:adjustRightInd w:val="0"/>
              <w:snapToGrid w:val="0"/>
              <w:spacing w:line="360" w:lineRule="auto"/>
              <w:jc w:val="left"/>
              <w:rPr>
                <w:rFonts w:eastAsia="宋体"/>
                <w:sz w:val="24"/>
                <w:szCs w:val="21"/>
                <w:highlight w:val="none"/>
              </w:rPr>
            </w:pPr>
          </w:p>
        </w:tc>
      </w:tr>
      <w:tr w14:paraId="711C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Merge w:val="continue"/>
            <w:vAlign w:val="center"/>
          </w:tcPr>
          <w:p w14:paraId="03ECE168">
            <w:pPr>
              <w:widowControl/>
              <w:spacing w:line="360" w:lineRule="auto"/>
              <w:rPr>
                <w:rFonts w:eastAsia="宋体"/>
                <w:bCs/>
                <w:sz w:val="24"/>
                <w:szCs w:val="22"/>
                <w:highlight w:val="none"/>
              </w:rPr>
            </w:pPr>
          </w:p>
        </w:tc>
        <w:tc>
          <w:tcPr>
            <w:tcW w:w="6110" w:type="dxa"/>
            <w:vAlign w:val="center"/>
          </w:tcPr>
          <w:p w14:paraId="67791555">
            <w:pPr>
              <w:numPr>
                <w:ilvl w:val="0"/>
                <w:numId w:val="0"/>
              </w:numPr>
              <w:adjustRightInd w:val="0"/>
              <w:snapToGrid w:val="0"/>
              <w:spacing w:line="240" w:lineRule="auto"/>
              <w:jc w:val="both"/>
              <w:rPr>
                <w:rFonts w:hint="default" w:ascii="宋体" w:hAnsi="宋体" w:eastAsia="宋体" w:cs="宋体"/>
                <w:color w:val="auto"/>
                <w:sz w:val="24"/>
                <w:szCs w:val="21"/>
                <w:highlight w:val="none"/>
                <w:lang w:val="en-US" w:eastAsia="zh-CN"/>
              </w:rPr>
            </w:pPr>
            <w:r>
              <w:rPr>
                <w:rFonts w:hint="eastAsia" w:ascii="宋体" w:hAnsi="宋体" w:eastAsia="宋体" w:cs="宋体"/>
                <w:color w:val="auto"/>
                <w:sz w:val="24"/>
                <w:szCs w:val="21"/>
                <w:highlight w:val="none"/>
                <w:lang w:val="en-US" w:eastAsia="zh-CN"/>
              </w:rPr>
              <w:t>4.</w:t>
            </w:r>
            <w:r>
              <w:rPr>
                <w:rFonts w:hint="eastAsia" w:ascii="宋体" w:hAnsi="宋体" w:eastAsia="宋体" w:cs="宋体"/>
                <w:bCs/>
                <w:color w:val="auto"/>
                <w:sz w:val="24"/>
                <w:szCs w:val="21"/>
                <w:highlight w:val="none"/>
                <w:lang w:eastAsia="zh-CN"/>
              </w:rPr>
              <w:t>《遴选响应承诺函》</w:t>
            </w:r>
          </w:p>
        </w:tc>
        <w:tc>
          <w:tcPr>
            <w:tcW w:w="1275" w:type="dxa"/>
            <w:vAlign w:val="center"/>
          </w:tcPr>
          <w:p w14:paraId="406B1336">
            <w:pPr>
              <w:adjustRightInd w:val="0"/>
              <w:snapToGrid w:val="0"/>
              <w:spacing w:line="360" w:lineRule="auto"/>
              <w:jc w:val="left"/>
              <w:rPr>
                <w:rFonts w:eastAsia="宋体"/>
                <w:sz w:val="24"/>
                <w:szCs w:val="21"/>
                <w:highlight w:val="none"/>
              </w:rPr>
            </w:pPr>
          </w:p>
        </w:tc>
      </w:tr>
      <w:tr w14:paraId="5DDD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Merge w:val="continue"/>
            <w:vAlign w:val="center"/>
          </w:tcPr>
          <w:p w14:paraId="13E5E4DF">
            <w:pPr>
              <w:widowControl/>
              <w:spacing w:line="360" w:lineRule="auto"/>
              <w:rPr>
                <w:rFonts w:eastAsia="宋体"/>
                <w:bCs/>
                <w:sz w:val="24"/>
                <w:szCs w:val="22"/>
                <w:highlight w:val="none"/>
              </w:rPr>
            </w:pPr>
          </w:p>
        </w:tc>
        <w:tc>
          <w:tcPr>
            <w:tcW w:w="6110" w:type="dxa"/>
            <w:vAlign w:val="center"/>
          </w:tcPr>
          <w:p w14:paraId="15A98C9F">
            <w:pPr>
              <w:adjustRightInd w:val="0"/>
              <w:snapToGrid w:val="0"/>
              <w:spacing w:line="240" w:lineRule="auto"/>
              <w:jc w:val="both"/>
              <w:rPr>
                <w:rFonts w:hint="eastAsia" w:ascii="宋体" w:hAnsi="宋体" w:eastAsia="宋体" w:cs="宋体"/>
                <w:color w:val="auto"/>
                <w:sz w:val="24"/>
                <w:szCs w:val="21"/>
                <w:highlight w:val="none"/>
                <w:lang w:eastAsia="zh-CN"/>
              </w:rPr>
            </w:pPr>
            <w:r>
              <w:rPr>
                <w:rFonts w:hint="eastAsia" w:ascii="宋体" w:hAnsi="宋体" w:eastAsia="宋体" w:cs="宋体"/>
                <w:color w:val="auto"/>
                <w:sz w:val="24"/>
                <w:szCs w:val="21"/>
                <w:highlight w:val="none"/>
                <w:lang w:val="en-US" w:eastAsia="zh-CN"/>
              </w:rPr>
              <w:t>5.</w:t>
            </w:r>
            <w:r>
              <w:rPr>
                <w:rFonts w:hint="eastAsia" w:ascii="宋体" w:hAnsi="宋体" w:eastAsia="宋体" w:cs="宋体"/>
                <w:bCs/>
                <w:color w:val="auto"/>
                <w:sz w:val="24"/>
                <w:szCs w:val="21"/>
                <w:highlight w:val="none"/>
                <w:lang w:eastAsia="zh-CN"/>
              </w:rPr>
              <w:t>《信誉良好承诺函》</w:t>
            </w:r>
          </w:p>
        </w:tc>
        <w:tc>
          <w:tcPr>
            <w:tcW w:w="1275" w:type="dxa"/>
            <w:vAlign w:val="center"/>
          </w:tcPr>
          <w:p w14:paraId="756707D6">
            <w:pPr>
              <w:adjustRightInd w:val="0"/>
              <w:snapToGrid w:val="0"/>
              <w:spacing w:line="360" w:lineRule="auto"/>
              <w:jc w:val="left"/>
              <w:rPr>
                <w:rFonts w:eastAsia="宋体"/>
                <w:sz w:val="24"/>
                <w:szCs w:val="21"/>
                <w:highlight w:val="none"/>
              </w:rPr>
            </w:pPr>
          </w:p>
        </w:tc>
      </w:tr>
      <w:tr w14:paraId="51536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Merge w:val="restart"/>
            <w:vAlign w:val="center"/>
          </w:tcPr>
          <w:p w14:paraId="33BBB6C5">
            <w:pPr>
              <w:pStyle w:val="91"/>
              <w:adjustRightInd w:val="0"/>
              <w:snapToGrid w:val="0"/>
              <w:spacing w:line="360" w:lineRule="auto"/>
              <w:ind w:firstLine="0" w:firstLineChars="0"/>
              <w:rPr>
                <w:rFonts w:ascii="Times New Roman" w:hAnsi="Times New Roman"/>
                <w:bCs/>
                <w:sz w:val="24"/>
                <w:highlight w:val="none"/>
              </w:rPr>
            </w:pPr>
            <w:r>
              <w:rPr>
                <w:rFonts w:hint="eastAsia" w:ascii="Times New Roman" w:hAnsi="Times New Roman"/>
                <w:bCs/>
                <w:sz w:val="24"/>
                <w:highlight w:val="none"/>
              </w:rPr>
              <w:t>符合性审查</w:t>
            </w:r>
          </w:p>
        </w:tc>
        <w:tc>
          <w:tcPr>
            <w:tcW w:w="6110" w:type="dxa"/>
            <w:vAlign w:val="center"/>
          </w:tcPr>
          <w:p w14:paraId="650277C5">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1.响应文件资料完整，打印、盖章、签字等情况符合要求。</w:t>
            </w:r>
          </w:p>
        </w:tc>
        <w:tc>
          <w:tcPr>
            <w:tcW w:w="1275" w:type="dxa"/>
            <w:vAlign w:val="center"/>
          </w:tcPr>
          <w:p w14:paraId="52EE2689">
            <w:pPr>
              <w:pStyle w:val="91"/>
              <w:adjustRightInd w:val="0"/>
              <w:snapToGrid w:val="0"/>
              <w:spacing w:line="360" w:lineRule="auto"/>
              <w:ind w:firstLine="0" w:firstLineChars="0"/>
              <w:jc w:val="left"/>
              <w:rPr>
                <w:rFonts w:ascii="Times New Roman" w:hAnsi="Times New Roman"/>
                <w:bCs/>
                <w:sz w:val="24"/>
                <w:highlight w:val="none"/>
              </w:rPr>
            </w:pPr>
          </w:p>
        </w:tc>
      </w:tr>
      <w:tr w14:paraId="5DD08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Merge w:val="continue"/>
            <w:vAlign w:val="center"/>
          </w:tcPr>
          <w:p w14:paraId="6A3E43E3">
            <w:pPr>
              <w:widowControl/>
              <w:spacing w:line="360" w:lineRule="auto"/>
              <w:rPr>
                <w:rFonts w:eastAsia="宋体"/>
                <w:bCs/>
                <w:sz w:val="24"/>
                <w:szCs w:val="22"/>
                <w:highlight w:val="none"/>
              </w:rPr>
            </w:pPr>
          </w:p>
        </w:tc>
        <w:tc>
          <w:tcPr>
            <w:tcW w:w="6110" w:type="dxa"/>
            <w:vAlign w:val="center"/>
          </w:tcPr>
          <w:p w14:paraId="1F5AC44D">
            <w:pPr>
              <w:pStyle w:val="91"/>
              <w:adjustRightInd w:val="0"/>
              <w:snapToGrid w:val="0"/>
              <w:spacing w:line="240" w:lineRule="auto"/>
              <w:ind w:firstLine="0" w:firstLineChars="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2.有效的法定代表人／授权委托书。</w:t>
            </w:r>
          </w:p>
        </w:tc>
        <w:tc>
          <w:tcPr>
            <w:tcW w:w="1275" w:type="dxa"/>
            <w:vAlign w:val="center"/>
          </w:tcPr>
          <w:p w14:paraId="2CF1F98C">
            <w:pPr>
              <w:pStyle w:val="91"/>
              <w:adjustRightInd w:val="0"/>
              <w:snapToGrid w:val="0"/>
              <w:spacing w:line="360" w:lineRule="auto"/>
              <w:ind w:firstLine="0" w:firstLineChars="0"/>
              <w:jc w:val="left"/>
              <w:rPr>
                <w:rFonts w:ascii="Times New Roman" w:hAnsi="Times New Roman"/>
                <w:bCs/>
                <w:sz w:val="24"/>
                <w:highlight w:val="none"/>
              </w:rPr>
            </w:pPr>
          </w:p>
        </w:tc>
      </w:tr>
      <w:tr w14:paraId="19125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65" w:type="dxa"/>
            <w:vMerge w:val="continue"/>
            <w:vAlign w:val="center"/>
          </w:tcPr>
          <w:p w14:paraId="13AC55A5">
            <w:pPr>
              <w:widowControl/>
              <w:spacing w:line="360" w:lineRule="auto"/>
              <w:rPr>
                <w:rFonts w:eastAsia="宋体"/>
                <w:bCs/>
                <w:sz w:val="24"/>
                <w:szCs w:val="22"/>
                <w:highlight w:val="none"/>
              </w:rPr>
            </w:pPr>
          </w:p>
        </w:tc>
        <w:tc>
          <w:tcPr>
            <w:tcW w:w="6110" w:type="dxa"/>
            <w:vAlign w:val="center"/>
          </w:tcPr>
          <w:p w14:paraId="54D00305">
            <w:pPr>
              <w:pStyle w:val="91"/>
              <w:adjustRightInd w:val="0"/>
              <w:snapToGrid w:val="0"/>
              <w:spacing w:line="240" w:lineRule="auto"/>
              <w:ind w:firstLine="0" w:firstLineChars="0"/>
              <w:jc w:val="both"/>
              <w:rPr>
                <w:rFonts w:hint="default" w:ascii="宋体" w:hAnsi="宋体" w:eastAsia="宋体" w:cs="宋体"/>
                <w:bCs/>
                <w:color w:val="auto"/>
                <w:sz w:val="24"/>
                <w:highlight w:val="none"/>
                <w:lang w:val="en-US" w:eastAsia="zh-CN"/>
              </w:rPr>
            </w:pPr>
            <w:r>
              <w:rPr>
                <w:rFonts w:hint="eastAsia" w:ascii="宋体" w:hAnsi="宋体" w:cs="宋体"/>
                <w:bCs/>
                <w:color w:val="auto"/>
                <w:sz w:val="24"/>
                <w:highlight w:val="none"/>
                <w:lang w:val="en-US" w:eastAsia="zh-CN"/>
              </w:rPr>
              <w:t>3.响应折扣率（0%＜相应折扣率≤100%）</w:t>
            </w:r>
          </w:p>
        </w:tc>
        <w:tc>
          <w:tcPr>
            <w:tcW w:w="1275" w:type="dxa"/>
            <w:vAlign w:val="center"/>
          </w:tcPr>
          <w:p w14:paraId="592354A5">
            <w:pPr>
              <w:pStyle w:val="91"/>
              <w:adjustRightInd w:val="0"/>
              <w:snapToGrid w:val="0"/>
              <w:spacing w:line="360" w:lineRule="auto"/>
              <w:ind w:firstLine="0" w:firstLineChars="0"/>
              <w:jc w:val="left"/>
              <w:rPr>
                <w:rFonts w:ascii="Times New Roman" w:hAnsi="Times New Roman"/>
                <w:bCs/>
                <w:sz w:val="24"/>
                <w:highlight w:val="none"/>
              </w:rPr>
            </w:pPr>
          </w:p>
        </w:tc>
      </w:tr>
    </w:tbl>
    <w:p w14:paraId="39E77E0B">
      <w:pPr>
        <w:keepNext w:val="0"/>
        <w:keepLines w:val="0"/>
        <w:pageBreakBefore w:val="0"/>
        <w:widowControl w:val="0"/>
        <w:kinsoku/>
        <w:wordWrap/>
        <w:overflowPunct/>
        <w:topLinePunct w:val="0"/>
        <w:autoSpaceDE/>
        <w:autoSpaceDN/>
        <w:bidi w:val="0"/>
        <w:adjustRightInd/>
        <w:snapToGrid/>
        <w:spacing w:before="410" w:beforeLines="100" w:line="360" w:lineRule="auto"/>
        <w:textAlignment w:val="auto"/>
        <w:rPr>
          <w:rFonts w:ascii="宋体" w:hAnsi="宋体" w:eastAsia="宋体"/>
          <w:color w:val="000000"/>
          <w:sz w:val="24"/>
          <w:szCs w:val="24"/>
          <w:highlight w:val="none"/>
        </w:rPr>
      </w:pPr>
      <w:r>
        <w:rPr>
          <w:rFonts w:hint="eastAsia" w:ascii="宋体" w:hAnsi="宋体" w:eastAsia="宋体"/>
          <w:color w:val="000000"/>
          <w:sz w:val="24"/>
          <w:szCs w:val="24"/>
          <w:highlight w:val="none"/>
        </w:rPr>
        <w:t>备注：1.每一项符合的打“√”，不符合的打“×”。</w:t>
      </w:r>
    </w:p>
    <w:p w14:paraId="4D0C01A6">
      <w:pPr>
        <w:spacing w:line="360" w:lineRule="auto"/>
        <w:ind w:firstLine="480" w:firstLineChars="200"/>
        <w:rPr>
          <w:rFonts w:ascii="宋体" w:hAnsi="宋体" w:eastAsia="宋体"/>
          <w:color w:val="000000"/>
          <w:sz w:val="24"/>
          <w:szCs w:val="24"/>
          <w:highlight w:val="none"/>
        </w:rPr>
      </w:pPr>
      <w:r>
        <w:rPr>
          <w:rFonts w:hint="eastAsia" w:ascii="宋体" w:hAnsi="宋体" w:eastAsia="宋体"/>
          <w:color w:val="000000"/>
          <w:sz w:val="24"/>
          <w:szCs w:val="24"/>
          <w:highlight w:val="none"/>
        </w:rPr>
        <w:t xml:space="preserve">  2.</w:t>
      </w:r>
      <w:r>
        <w:rPr>
          <w:rFonts w:hint="eastAsia" w:ascii="宋体" w:hAnsi="宋体" w:eastAsia="宋体"/>
          <w:sz w:val="24"/>
          <w:szCs w:val="24"/>
          <w:highlight w:val="none"/>
        </w:rPr>
        <w:t>评</w:t>
      </w:r>
      <w:r>
        <w:rPr>
          <w:rFonts w:hint="eastAsia" w:ascii="宋体" w:hAnsi="宋体" w:eastAsia="宋体"/>
          <w:color w:val="000000"/>
          <w:sz w:val="24"/>
          <w:szCs w:val="24"/>
          <w:highlight w:val="none"/>
        </w:rPr>
        <w:t>委认为通过初审的响应文件（少数服从多数），为有效响应文件，否则视为不通过。通过初审的响应文件方可进入遴选程序，视为不通过的响应文件，作无效</w:t>
      </w:r>
      <w:r>
        <w:rPr>
          <w:rFonts w:hint="eastAsia" w:ascii="宋体" w:hAnsi="宋体" w:eastAsia="宋体"/>
          <w:color w:val="000000"/>
          <w:sz w:val="24"/>
          <w:szCs w:val="24"/>
          <w:highlight w:val="none"/>
          <w:lang w:val="en-US" w:eastAsia="zh-CN"/>
        </w:rPr>
        <w:t>响应</w:t>
      </w:r>
      <w:r>
        <w:rPr>
          <w:rFonts w:hint="eastAsia" w:ascii="宋体" w:hAnsi="宋体" w:eastAsia="宋体"/>
          <w:color w:val="000000"/>
          <w:sz w:val="24"/>
          <w:szCs w:val="24"/>
          <w:highlight w:val="none"/>
        </w:rPr>
        <w:t>处理，由评标委员会出具书面说明。</w:t>
      </w:r>
    </w:p>
    <w:p w14:paraId="563D9C1D">
      <w:pPr>
        <w:tabs>
          <w:tab w:val="left" w:pos="1365"/>
        </w:tabs>
        <w:spacing w:line="360" w:lineRule="auto"/>
        <w:ind w:firstLine="720" w:firstLineChars="300"/>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.价格核准：</w:t>
      </w:r>
      <w:r>
        <w:rPr>
          <w:rFonts w:hint="eastAsia" w:eastAsia="宋体"/>
          <w:color w:val="auto"/>
          <w:sz w:val="24"/>
          <w:szCs w:val="21"/>
          <w:highlight w:val="none"/>
        </w:rPr>
        <w:t>遴选</w:t>
      </w:r>
      <w:r>
        <w:rPr>
          <w:rFonts w:eastAsia="宋体"/>
          <w:color w:val="auto"/>
          <w:sz w:val="24"/>
          <w:szCs w:val="21"/>
          <w:highlight w:val="none"/>
        </w:rPr>
        <w:t>小组对有效供应商的详细报价进行复核，审查是否有计算上的错误或供货范围上的错误。对错误修正的原则如下：</w:t>
      </w:r>
    </w:p>
    <w:p w14:paraId="22682BEC">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.1响应文件的大写金额和小写金额不一致的，以大写金额为准</w:t>
      </w:r>
      <w:r>
        <w:rPr>
          <w:rFonts w:hint="eastAsia" w:eastAsia="宋体"/>
          <w:color w:val="auto"/>
          <w:sz w:val="24"/>
          <w:szCs w:val="21"/>
          <w:highlight w:val="none"/>
        </w:rPr>
        <w:t>。</w:t>
      </w:r>
    </w:p>
    <w:p w14:paraId="04D043D0">
      <w:pPr>
        <w:tabs>
          <w:tab w:val="left" w:pos="1365"/>
          <w:tab w:val="left" w:pos="1470"/>
        </w:tabs>
        <w:spacing w:line="360" w:lineRule="auto"/>
        <w:ind w:firstLine="720" w:firstLineChars="300"/>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.2当单价和数量的乘积与总价不一致时，以单价为准，并修正总价，但单价金额小数点有明显错误的除外</w:t>
      </w:r>
      <w:r>
        <w:rPr>
          <w:rFonts w:hint="eastAsia" w:eastAsia="宋体"/>
          <w:color w:val="auto"/>
          <w:sz w:val="24"/>
          <w:szCs w:val="21"/>
          <w:highlight w:val="none"/>
        </w:rPr>
        <w:t>。</w:t>
      </w:r>
    </w:p>
    <w:p w14:paraId="302C4156">
      <w:pPr>
        <w:tabs>
          <w:tab w:val="left" w:pos="1365"/>
          <w:tab w:val="left" w:pos="1470"/>
        </w:tabs>
        <w:spacing w:line="360" w:lineRule="auto"/>
        <w:ind w:firstLine="720" w:firstLineChars="300"/>
        <w:outlineLvl w:val="2"/>
        <w:rPr>
          <w:rFonts w:eastAsia="宋体"/>
          <w:color w:val="auto"/>
          <w:sz w:val="24"/>
          <w:szCs w:val="21"/>
          <w:highlight w:val="none"/>
        </w:rPr>
      </w:pPr>
      <w:r>
        <w:rPr>
          <w:rFonts w:hint="eastAsia" w:eastAsia="宋体"/>
          <w:color w:val="auto"/>
          <w:sz w:val="24"/>
          <w:szCs w:val="21"/>
          <w:highlight w:val="none"/>
        </w:rPr>
        <w:t>3</w:t>
      </w:r>
      <w:r>
        <w:rPr>
          <w:rFonts w:eastAsia="宋体"/>
          <w:color w:val="auto"/>
          <w:sz w:val="24"/>
          <w:szCs w:val="21"/>
          <w:highlight w:val="none"/>
        </w:rPr>
        <w:t>.3当分项之和与总价不一致时，以单价为准，并修正总价。</w:t>
      </w:r>
    </w:p>
    <w:p w14:paraId="66117914">
      <w:pPr>
        <w:tabs>
          <w:tab w:val="left" w:pos="1365"/>
          <w:tab w:val="left" w:pos="1470"/>
        </w:tabs>
        <w:spacing w:line="360" w:lineRule="auto"/>
        <w:ind w:firstLine="720" w:firstLineChars="300"/>
        <w:outlineLvl w:val="2"/>
        <w:rPr>
          <w:rFonts w:hint="eastAsia" w:eastAsia="宋体"/>
          <w:b/>
          <w:sz w:val="24"/>
          <w:szCs w:val="21"/>
          <w:highlight w:val="none"/>
        </w:rPr>
      </w:pPr>
      <w:r>
        <w:rPr>
          <w:rFonts w:hint="eastAsia" w:eastAsia="宋体"/>
          <w:color w:val="auto"/>
          <w:sz w:val="24"/>
          <w:szCs w:val="21"/>
          <w:highlight w:val="none"/>
        </w:rPr>
        <w:t>3.4遴选小组认为响应人的报价明显低于其他通过符合性审查</w:t>
      </w:r>
      <w:r>
        <w:rPr>
          <w:rFonts w:hint="eastAsia" w:eastAsia="宋体"/>
          <w:color w:val="auto"/>
          <w:sz w:val="24"/>
          <w:szCs w:val="21"/>
          <w:highlight w:val="none"/>
          <w:lang w:val="en-US" w:eastAsia="zh-CN"/>
        </w:rPr>
        <w:t>响应</w:t>
      </w:r>
      <w:r>
        <w:rPr>
          <w:rFonts w:hint="eastAsia" w:eastAsia="宋体"/>
          <w:color w:val="auto"/>
          <w:sz w:val="24"/>
          <w:szCs w:val="21"/>
          <w:highlight w:val="none"/>
        </w:rPr>
        <w:t>人的报价，有可能影响产品质量或者不能诚信履约的，应当要求其在遴选现场合理的时间内提供书面说明，必要时提交相关证明材料；响应人不能证明其报价合理性的，遴选小组应当将其作为无效</w:t>
      </w:r>
      <w:r>
        <w:rPr>
          <w:rFonts w:hint="eastAsia" w:eastAsia="宋体"/>
          <w:color w:val="auto"/>
          <w:sz w:val="24"/>
          <w:szCs w:val="21"/>
          <w:highlight w:val="none"/>
          <w:lang w:val="en-US" w:eastAsia="zh-CN"/>
        </w:rPr>
        <w:t>响应</w:t>
      </w:r>
      <w:r>
        <w:rPr>
          <w:rFonts w:hint="eastAsia" w:eastAsia="宋体"/>
          <w:color w:val="auto"/>
          <w:sz w:val="24"/>
          <w:szCs w:val="21"/>
          <w:highlight w:val="none"/>
        </w:rPr>
        <w:t>处理。</w:t>
      </w:r>
    </w:p>
    <w:p w14:paraId="39A82034">
      <w:pPr>
        <w:tabs>
          <w:tab w:val="left" w:pos="1245"/>
        </w:tabs>
        <w:spacing w:line="360" w:lineRule="auto"/>
        <w:outlineLvl w:val="2"/>
        <w:rPr>
          <w:rFonts w:eastAsia="宋体"/>
          <w:b/>
          <w:sz w:val="24"/>
          <w:szCs w:val="21"/>
          <w:highlight w:val="none"/>
        </w:rPr>
      </w:pPr>
      <w:r>
        <w:rPr>
          <w:rFonts w:hint="eastAsia" w:eastAsia="宋体"/>
          <w:b/>
          <w:sz w:val="24"/>
          <w:szCs w:val="21"/>
          <w:highlight w:val="none"/>
        </w:rPr>
        <w:t>二、详细评审</w:t>
      </w:r>
    </w:p>
    <w:tbl>
      <w:tblPr>
        <w:tblStyle w:val="42"/>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930"/>
        <w:gridCol w:w="850"/>
        <w:gridCol w:w="6307"/>
      </w:tblGrid>
      <w:tr w14:paraId="413E0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112" w:type="dxa"/>
            <w:vAlign w:val="center"/>
          </w:tcPr>
          <w:p w14:paraId="4698A920">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类别</w:t>
            </w:r>
          </w:p>
        </w:tc>
        <w:tc>
          <w:tcPr>
            <w:tcW w:w="930" w:type="dxa"/>
            <w:vAlign w:val="center"/>
          </w:tcPr>
          <w:p w14:paraId="4A62E032">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计分因素</w:t>
            </w:r>
          </w:p>
        </w:tc>
        <w:tc>
          <w:tcPr>
            <w:tcW w:w="850" w:type="dxa"/>
            <w:vAlign w:val="center"/>
          </w:tcPr>
          <w:p w14:paraId="7E18F441">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分值</w:t>
            </w:r>
          </w:p>
        </w:tc>
        <w:tc>
          <w:tcPr>
            <w:tcW w:w="6307" w:type="dxa"/>
            <w:vAlign w:val="center"/>
          </w:tcPr>
          <w:p w14:paraId="57152217">
            <w:pPr>
              <w:spacing w:line="44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1574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Align w:val="center"/>
          </w:tcPr>
          <w:p w14:paraId="2722B553">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总分</w:t>
            </w:r>
          </w:p>
        </w:tc>
        <w:tc>
          <w:tcPr>
            <w:tcW w:w="930" w:type="dxa"/>
            <w:vAlign w:val="center"/>
          </w:tcPr>
          <w:p w14:paraId="5DE3CFA6">
            <w:pPr>
              <w:spacing w:line="320" w:lineRule="exact"/>
              <w:jc w:val="center"/>
              <w:rPr>
                <w:rFonts w:ascii="宋体" w:hAnsi="宋体" w:eastAsia="宋体" w:cs="宋体"/>
                <w:sz w:val="21"/>
                <w:szCs w:val="21"/>
                <w:highlight w:val="none"/>
              </w:rPr>
            </w:pPr>
            <w:r>
              <w:rPr>
                <w:rFonts w:hint="eastAsia" w:ascii="宋体" w:hAnsi="宋体" w:eastAsia="宋体"/>
                <w:sz w:val="21"/>
                <w:szCs w:val="21"/>
                <w:highlight w:val="none"/>
              </w:rPr>
              <w:t>分值构成</w:t>
            </w:r>
          </w:p>
        </w:tc>
        <w:tc>
          <w:tcPr>
            <w:tcW w:w="850" w:type="dxa"/>
            <w:vAlign w:val="center"/>
          </w:tcPr>
          <w:p w14:paraId="02670218">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100分</w:t>
            </w:r>
          </w:p>
        </w:tc>
        <w:tc>
          <w:tcPr>
            <w:tcW w:w="6307" w:type="dxa"/>
            <w:vAlign w:val="center"/>
          </w:tcPr>
          <w:p w14:paraId="628E08C7">
            <w:p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sz w:val="21"/>
                <w:szCs w:val="21"/>
                <w:highlight w:val="none"/>
              </w:rPr>
              <w:t>商务部分：</w:t>
            </w:r>
            <w:r>
              <w:rPr>
                <w:rFonts w:hint="eastAsia" w:ascii="宋体" w:hAnsi="宋体" w:eastAsia="宋体"/>
                <w:sz w:val="21"/>
                <w:szCs w:val="21"/>
                <w:highlight w:val="none"/>
                <w:lang w:val="en-US" w:eastAsia="zh-CN"/>
              </w:rPr>
              <w:t>60</w:t>
            </w:r>
            <w:r>
              <w:rPr>
                <w:rFonts w:hint="eastAsia" w:ascii="宋体" w:hAnsi="宋体" w:eastAsia="宋体"/>
                <w:sz w:val="21"/>
                <w:szCs w:val="21"/>
                <w:highlight w:val="none"/>
              </w:rPr>
              <w:t>分      技术部分：</w:t>
            </w:r>
            <w:r>
              <w:rPr>
                <w:rFonts w:hint="eastAsia" w:ascii="宋体" w:hAnsi="宋体" w:eastAsia="宋体"/>
                <w:sz w:val="21"/>
                <w:szCs w:val="21"/>
                <w:highlight w:val="none"/>
                <w:lang w:val="en-US" w:eastAsia="zh-CN"/>
              </w:rPr>
              <w:t>30</w:t>
            </w:r>
            <w:r>
              <w:rPr>
                <w:rFonts w:hint="eastAsia" w:ascii="宋体" w:hAnsi="宋体" w:eastAsia="宋体"/>
                <w:sz w:val="21"/>
                <w:szCs w:val="21"/>
                <w:highlight w:val="none"/>
              </w:rPr>
              <w:t>分</w:t>
            </w:r>
            <w:r>
              <w:rPr>
                <w:rFonts w:hint="eastAsia" w:ascii="宋体" w:hAnsi="宋体" w:eastAsia="宋体"/>
                <w:sz w:val="21"/>
                <w:szCs w:val="21"/>
                <w:highlight w:val="none"/>
                <w:lang w:val="en-US" w:eastAsia="zh-CN"/>
              </w:rPr>
              <w:t xml:space="preserve">     报价部分：10分</w:t>
            </w:r>
          </w:p>
        </w:tc>
      </w:tr>
      <w:tr w14:paraId="11F4D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12" w:type="dxa"/>
            <w:vMerge w:val="restart"/>
            <w:vAlign w:val="center"/>
          </w:tcPr>
          <w:p w14:paraId="6338A261">
            <w:pPr>
              <w:spacing w:line="320" w:lineRule="exact"/>
              <w:ind w:left="6" w:hanging="6"/>
              <w:jc w:val="center"/>
              <w:rPr>
                <w:rFonts w:ascii="宋体" w:hAnsi="宋体" w:eastAsia="宋体" w:cs="宋体"/>
                <w:sz w:val="21"/>
                <w:szCs w:val="21"/>
                <w:highlight w:val="none"/>
              </w:rPr>
            </w:pPr>
            <w:r>
              <w:rPr>
                <w:rFonts w:hint="eastAsia" w:ascii="宋体" w:hAnsi="宋体" w:eastAsia="宋体" w:cs="宋体"/>
                <w:sz w:val="21"/>
                <w:szCs w:val="21"/>
                <w:highlight w:val="none"/>
              </w:rPr>
              <w:t>商务部分</w:t>
            </w:r>
            <w:r>
              <w:rPr>
                <w:rFonts w:hint="eastAsia" w:ascii="宋体" w:hAnsi="宋体" w:eastAsia="宋体" w:cs="宋体"/>
                <w:sz w:val="21"/>
                <w:szCs w:val="21"/>
                <w:highlight w:val="none"/>
                <w:lang w:val="en-US" w:eastAsia="zh-CN"/>
              </w:rPr>
              <w:t>60</w:t>
            </w:r>
            <w:r>
              <w:rPr>
                <w:rFonts w:hint="eastAsia" w:ascii="宋体" w:hAnsi="宋体" w:eastAsia="宋体" w:cs="宋体"/>
                <w:sz w:val="21"/>
                <w:szCs w:val="21"/>
                <w:highlight w:val="none"/>
              </w:rPr>
              <w:t>分</w:t>
            </w:r>
          </w:p>
        </w:tc>
        <w:tc>
          <w:tcPr>
            <w:tcW w:w="930" w:type="dxa"/>
            <w:vAlign w:val="center"/>
          </w:tcPr>
          <w:p w14:paraId="03BBE213">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规章管理制度</w:t>
            </w:r>
          </w:p>
        </w:tc>
        <w:tc>
          <w:tcPr>
            <w:tcW w:w="850" w:type="dxa"/>
            <w:vAlign w:val="center"/>
          </w:tcPr>
          <w:p w14:paraId="4380D18E">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14:paraId="76D23A2D">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根据供应商提供的各项规章管理制度是否健全、完善进行评审，包括</w:t>
            </w:r>
            <w:r>
              <w:rPr>
                <w:rFonts w:hint="eastAsia" w:ascii="宋体" w:hAnsi="宋体" w:eastAsia="宋体" w:cs="宋体"/>
                <w:sz w:val="21"/>
                <w:szCs w:val="21"/>
                <w:highlight w:val="none"/>
                <w:lang w:val="en-US" w:eastAsia="zh-CN"/>
              </w:rPr>
              <w:t>但不限于内部监督管理制度、造价成果的编制、审核、复核等操作规程、档案管理制度、保密制度、廉洁自律规定等</w:t>
            </w:r>
            <w:r>
              <w:rPr>
                <w:rFonts w:hint="eastAsia" w:ascii="宋体" w:hAnsi="宋体" w:eastAsia="宋体" w:cs="宋体"/>
                <w:sz w:val="21"/>
                <w:szCs w:val="21"/>
                <w:highlight w:val="none"/>
              </w:rPr>
              <w:t>等。</w:t>
            </w:r>
          </w:p>
          <w:p w14:paraId="0B3BA995">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1、规章管理制度健全</w:t>
            </w:r>
            <w:r>
              <w:rPr>
                <w:rFonts w:hint="eastAsia" w:ascii="宋体" w:hAnsi="宋体" w:eastAsia="宋体" w:cs="宋体"/>
                <w:sz w:val="21"/>
                <w:szCs w:val="21"/>
                <w:highlight w:val="none"/>
                <w:lang w:val="en-US" w:eastAsia="zh-CN"/>
              </w:rPr>
              <w:t>完善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完全涵盖企业日常管理及工程项目造价成果在编制、审核、复核全过程的相关管理，有效保障成果质量的，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p w14:paraId="339B80D0">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2、规章管理制度较健全完善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基本涵盖企业日常管理及工程项目造价成果在编制、审核、复核全过程的相关管理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较有效保障成果质量的，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0DD982B8">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3、规章管理制度基本健全，</w:t>
            </w:r>
            <w:r>
              <w:rPr>
                <w:rFonts w:hint="eastAsia" w:ascii="宋体" w:hAnsi="宋体" w:eastAsia="宋体" w:cs="宋体"/>
                <w:sz w:val="21"/>
                <w:szCs w:val="21"/>
                <w:highlight w:val="none"/>
                <w:lang w:val="en-US" w:eastAsia="zh-CN"/>
              </w:rPr>
              <w:t>基本保障成果质量的</w:t>
            </w:r>
            <w:r>
              <w:rPr>
                <w:rFonts w:hint="eastAsia" w:ascii="宋体" w:hAnsi="宋体" w:eastAsia="宋体" w:cs="宋体"/>
                <w:sz w:val="21"/>
                <w:szCs w:val="21"/>
                <w:highlight w:val="none"/>
              </w:rPr>
              <w:t>得</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分；</w:t>
            </w:r>
          </w:p>
          <w:p w14:paraId="5A772E78">
            <w:pPr>
              <w:numPr>
                <w:ilvl w:val="0"/>
                <w:numId w:val="0"/>
              </w:numPr>
              <w:spacing w:line="320" w:lineRule="exact"/>
              <w:ind w:right="150" w:rightChars="50"/>
              <w:rPr>
                <w:rFonts w:hint="default" w:ascii="宋体" w:hAnsi="宋体" w:eastAsia="宋体"/>
                <w:sz w:val="21"/>
                <w:szCs w:val="21"/>
                <w:highlight w:val="none"/>
                <w:lang w:val="en-US" w:eastAsia="zh-CN"/>
              </w:rPr>
            </w:pPr>
            <w:r>
              <w:rPr>
                <w:rFonts w:hint="eastAsia" w:ascii="宋体" w:hAnsi="宋体" w:eastAsia="宋体" w:cs="宋体"/>
                <w:sz w:val="21"/>
                <w:szCs w:val="21"/>
                <w:highlight w:val="none"/>
              </w:rPr>
              <w:t>4、无提供相关描述的，得0分。</w:t>
            </w:r>
          </w:p>
        </w:tc>
      </w:tr>
      <w:tr w14:paraId="540F0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12" w:type="dxa"/>
            <w:vMerge w:val="continue"/>
            <w:vAlign w:val="center"/>
          </w:tcPr>
          <w:p w14:paraId="2BEF610F">
            <w:pPr>
              <w:spacing w:line="320" w:lineRule="exact"/>
              <w:ind w:left="6" w:hanging="6"/>
              <w:jc w:val="center"/>
              <w:rPr>
                <w:rFonts w:ascii="宋体" w:hAnsi="宋体" w:eastAsia="宋体" w:cs="宋体"/>
                <w:sz w:val="21"/>
                <w:szCs w:val="21"/>
                <w:highlight w:val="none"/>
              </w:rPr>
            </w:pPr>
          </w:p>
        </w:tc>
        <w:tc>
          <w:tcPr>
            <w:tcW w:w="930" w:type="dxa"/>
            <w:vAlign w:val="center"/>
          </w:tcPr>
          <w:p w14:paraId="1E805C51">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从事工程造价编、审服务的情况</w:t>
            </w:r>
          </w:p>
        </w:tc>
        <w:tc>
          <w:tcPr>
            <w:tcW w:w="850" w:type="dxa"/>
            <w:vAlign w:val="center"/>
          </w:tcPr>
          <w:p w14:paraId="6965DA9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25分</w:t>
            </w:r>
          </w:p>
        </w:tc>
        <w:tc>
          <w:tcPr>
            <w:tcW w:w="6307" w:type="dxa"/>
            <w:vAlign w:val="center"/>
          </w:tcPr>
          <w:p w14:paraId="54679128">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根据供应商</w:t>
            </w:r>
            <w:r>
              <w:rPr>
                <w:rFonts w:hint="eastAsia" w:ascii="宋体" w:hAnsi="宋体" w:eastAsia="宋体" w:cs="宋体"/>
                <w:sz w:val="21"/>
                <w:szCs w:val="21"/>
                <w:highlight w:val="none"/>
              </w:rPr>
              <w:t>近五年（202</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年1月起至今）</w:t>
            </w:r>
            <w:r>
              <w:rPr>
                <w:rFonts w:hint="eastAsia" w:ascii="宋体" w:hAnsi="宋体" w:eastAsia="宋体" w:cs="宋体"/>
                <w:sz w:val="21"/>
                <w:szCs w:val="21"/>
                <w:highlight w:val="none"/>
                <w:lang w:val="en-US" w:eastAsia="zh-CN"/>
              </w:rPr>
              <w:t>完成的建筑与装饰或安装工程的预、结算项目造价编、审服务情况进行评审</w:t>
            </w:r>
            <w:r>
              <w:rPr>
                <w:rFonts w:hint="eastAsia" w:ascii="宋体" w:hAnsi="宋体" w:eastAsia="宋体" w:cs="宋体"/>
                <w:sz w:val="21"/>
                <w:szCs w:val="21"/>
                <w:highlight w:val="none"/>
              </w:rPr>
              <w:t>：</w:t>
            </w:r>
          </w:p>
          <w:p w14:paraId="1216378D">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核定金额4</w:t>
            </w:r>
            <w:r>
              <w:rPr>
                <w:rFonts w:hint="eastAsia" w:ascii="宋体" w:hAnsi="宋体" w:eastAsia="宋体" w:cs="宋体"/>
                <w:sz w:val="21"/>
                <w:szCs w:val="21"/>
                <w:highlight w:val="none"/>
              </w:rPr>
              <w:t>0</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万</w:t>
            </w:r>
            <w:r>
              <w:rPr>
                <w:rFonts w:hint="eastAsia" w:ascii="宋体" w:hAnsi="宋体" w:eastAsia="宋体" w:cs="宋体"/>
                <w:sz w:val="21"/>
                <w:szCs w:val="21"/>
                <w:highlight w:val="none"/>
                <w:lang w:val="en-US" w:eastAsia="zh-CN"/>
              </w:rPr>
              <w:t>元及以上的</w:t>
            </w:r>
            <w:r>
              <w:rPr>
                <w:rFonts w:hint="eastAsia" w:ascii="宋体" w:hAnsi="宋体" w:eastAsia="宋体" w:cs="宋体"/>
                <w:sz w:val="21"/>
                <w:szCs w:val="21"/>
                <w:highlight w:val="none"/>
              </w:rPr>
              <w:t>工程</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，每项得</w:t>
            </w:r>
            <w:r>
              <w:rPr>
                <w:rFonts w:hint="eastAsia" w:ascii="宋体" w:hAnsi="宋体" w:eastAsia="宋体" w:cs="宋体"/>
                <w:sz w:val="21"/>
                <w:szCs w:val="21"/>
                <w:highlight w:val="none"/>
                <w:lang w:val="en-US" w:eastAsia="zh-CN"/>
              </w:rPr>
              <w:t>2.5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本小项最高得12.5分</w:t>
            </w:r>
            <w:r>
              <w:rPr>
                <w:rFonts w:hint="eastAsia" w:ascii="宋体" w:hAnsi="宋体" w:eastAsia="宋体" w:cs="宋体"/>
                <w:sz w:val="21"/>
                <w:szCs w:val="21"/>
                <w:highlight w:val="none"/>
                <w:lang w:eastAsia="zh-CN"/>
              </w:rPr>
              <w:t>；</w:t>
            </w:r>
          </w:p>
          <w:p w14:paraId="6B393B68">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核定金额10</w:t>
            </w:r>
            <w:r>
              <w:rPr>
                <w:rFonts w:hint="eastAsia" w:ascii="宋体" w:hAnsi="宋体" w:eastAsia="宋体" w:cs="宋体"/>
                <w:sz w:val="21"/>
                <w:szCs w:val="21"/>
                <w:highlight w:val="none"/>
              </w:rPr>
              <w:t>0万</w:t>
            </w:r>
            <w:r>
              <w:rPr>
                <w:rFonts w:hint="eastAsia" w:ascii="宋体" w:hAnsi="宋体" w:eastAsia="宋体" w:cs="宋体"/>
                <w:sz w:val="21"/>
                <w:szCs w:val="21"/>
                <w:highlight w:val="none"/>
                <w:lang w:val="en-US" w:eastAsia="zh-CN"/>
              </w:rPr>
              <w:t>元及以上的</w:t>
            </w:r>
            <w:r>
              <w:rPr>
                <w:rFonts w:hint="eastAsia" w:ascii="宋体" w:hAnsi="宋体" w:eastAsia="宋体" w:cs="宋体"/>
                <w:sz w:val="21"/>
                <w:szCs w:val="21"/>
                <w:highlight w:val="none"/>
              </w:rPr>
              <w:t>工程</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，每项得</w:t>
            </w:r>
            <w:r>
              <w:rPr>
                <w:rFonts w:hint="eastAsia" w:ascii="宋体" w:hAnsi="宋体" w:eastAsia="宋体" w:cs="宋体"/>
                <w:sz w:val="21"/>
                <w:szCs w:val="21"/>
                <w:highlight w:val="none"/>
                <w:lang w:val="en-US" w:eastAsia="zh-CN"/>
              </w:rPr>
              <w:t>1.5</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本小项最高得7.5分</w:t>
            </w:r>
            <w:r>
              <w:rPr>
                <w:rFonts w:hint="eastAsia" w:ascii="宋体" w:hAnsi="宋体" w:eastAsia="宋体" w:cs="宋体"/>
                <w:sz w:val="21"/>
                <w:szCs w:val="21"/>
                <w:highlight w:val="none"/>
                <w:lang w:eastAsia="zh-CN"/>
              </w:rPr>
              <w:t>；</w:t>
            </w:r>
          </w:p>
          <w:p w14:paraId="38ABBE72">
            <w:pPr>
              <w:spacing w:line="320" w:lineRule="exac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核定金额3</w:t>
            </w:r>
            <w:r>
              <w:rPr>
                <w:rFonts w:hint="eastAsia" w:ascii="宋体" w:hAnsi="宋体" w:eastAsia="宋体" w:cs="宋体"/>
                <w:sz w:val="21"/>
                <w:szCs w:val="21"/>
                <w:highlight w:val="none"/>
              </w:rPr>
              <w:t>0万</w:t>
            </w:r>
            <w:r>
              <w:rPr>
                <w:rFonts w:hint="eastAsia" w:ascii="宋体" w:hAnsi="宋体" w:eastAsia="宋体" w:cs="宋体"/>
                <w:sz w:val="21"/>
                <w:szCs w:val="21"/>
                <w:highlight w:val="none"/>
                <w:lang w:val="en-US" w:eastAsia="zh-CN"/>
              </w:rPr>
              <w:t>元及以上的</w:t>
            </w:r>
            <w:r>
              <w:rPr>
                <w:rFonts w:hint="eastAsia" w:ascii="宋体" w:hAnsi="宋体" w:eastAsia="宋体" w:cs="宋体"/>
                <w:sz w:val="21"/>
                <w:szCs w:val="21"/>
                <w:highlight w:val="none"/>
              </w:rPr>
              <w:t>工程</w:t>
            </w: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，每项得</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本小项最高得5分</w:t>
            </w:r>
            <w:r>
              <w:rPr>
                <w:rFonts w:hint="eastAsia" w:ascii="宋体" w:hAnsi="宋体" w:eastAsia="宋体" w:cs="宋体"/>
                <w:sz w:val="21"/>
                <w:szCs w:val="21"/>
                <w:highlight w:val="none"/>
                <w:lang w:eastAsia="zh-CN"/>
              </w:rPr>
              <w:t>；</w:t>
            </w:r>
          </w:p>
          <w:p w14:paraId="0D7A44D4">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本项最高得25</w:t>
            </w:r>
            <w:r>
              <w:rPr>
                <w:rFonts w:hint="eastAsia" w:ascii="宋体" w:hAnsi="宋体" w:eastAsia="宋体" w:cs="宋体"/>
                <w:sz w:val="21"/>
                <w:szCs w:val="21"/>
                <w:highlight w:val="none"/>
              </w:rPr>
              <w:t>分,不满足要求项不得分</w:t>
            </w:r>
            <w:r>
              <w:rPr>
                <w:rFonts w:hint="eastAsia" w:ascii="宋体" w:hAnsi="宋体" w:eastAsia="宋体" w:cs="宋体"/>
                <w:sz w:val="21"/>
                <w:szCs w:val="21"/>
                <w:highlight w:val="none"/>
                <w:lang w:eastAsia="zh-CN"/>
              </w:rPr>
              <w:t>。</w:t>
            </w:r>
          </w:p>
          <w:p w14:paraId="1D1639CC">
            <w:p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注：①</w:t>
            </w:r>
            <w:r>
              <w:rPr>
                <w:rFonts w:hint="eastAsia" w:ascii="宋体" w:hAnsi="宋体" w:eastAsia="宋体" w:cs="宋体"/>
                <w:sz w:val="21"/>
                <w:szCs w:val="21"/>
                <w:highlight w:val="none"/>
              </w:rPr>
              <w:t>每项业绩须提供</w:t>
            </w:r>
            <w:r>
              <w:rPr>
                <w:rFonts w:hint="eastAsia" w:ascii="宋体" w:hAnsi="宋体" w:eastAsia="宋体" w:cs="宋体"/>
                <w:sz w:val="21"/>
                <w:szCs w:val="21"/>
                <w:highlight w:val="none"/>
                <w:lang w:val="en-US" w:eastAsia="zh-CN"/>
              </w:rPr>
              <w:t>评审成果文件的关键页（必须包含建设单位及响应人双方盖章、项目名称、核定金额、核定时间等信息）或</w:t>
            </w:r>
            <w:r>
              <w:rPr>
                <w:rFonts w:hint="eastAsia" w:ascii="宋体" w:hAnsi="宋体" w:eastAsia="宋体" w:cs="宋体"/>
                <w:sz w:val="21"/>
                <w:szCs w:val="21"/>
                <w:highlight w:val="none"/>
              </w:rPr>
              <w:t>其他有效证明</w:t>
            </w:r>
            <w:r>
              <w:rPr>
                <w:rFonts w:hint="eastAsia" w:ascii="宋体" w:hAnsi="宋体" w:eastAsia="宋体" w:cs="宋体"/>
                <w:sz w:val="21"/>
                <w:szCs w:val="21"/>
                <w:highlight w:val="none"/>
                <w:lang w:val="en-US" w:eastAsia="zh-CN"/>
              </w:rPr>
              <w:t>文件的</w:t>
            </w:r>
            <w:r>
              <w:rPr>
                <w:rFonts w:hint="eastAsia" w:ascii="宋体" w:hAnsi="宋体" w:eastAsia="宋体" w:cs="宋体"/>
                <w:sz w:val="21"/>
                <w:szCs w:val="21"/>
                <w:highlight w:val="none"/>
              </w:rPr>
              <w:t>复印件，否则不得分</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②核定金额可向下兼容，即400万元及以上的工程项目可作为100万元及以上或30万元及以上项目的评审项得分，100万元及以上的工程项目可作为30万元及以上项目的评审项得分，但不可重复计算。</w:t>
            </w:r>
          </w:p>
        </w:tc>
      </w:tr>
      <w:tr w14:paraId="20DF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12" w:type="dxa"/>
            <w:vMerge w:val="continue"/>
            <w:vAlign w:val="center"/>
          </w:tcPr>
          <w:p w14:paraId="5C1CDE30">
            <w:pPr>
              <w:spacing w:line="320" w:lineRule="exact"/>
              <w:ind w:left="6" w:hanging="6"/>
              <w:jc w:val="center"/>
              <w:rPr>
                <w:rFonts w:ascii="宋体" w:hAnsi="宋体" w:eastAsia="宋体" w:cs="宋体"/>
                <w:sz w:val="21"/>
                <w:szCs w:val="21"/>
                <w:highlight w:val="none"/>
              </w:rPr>
            </w:pPr>
          </w:p>
        </w:tc>
        <w:tc>
          <w:tcPr>
            <w:tcW w:w="930" w:type="dxa"/>
            <w:shd w:val="clear" w:color="auto" w:fill="auto"/>
            <w:vAlign w:val="center"/>
          </w:tcPr>
          <w:p w14:paraId="74EB63B7">
            <w:pPr>
              <w:spacing w:line="32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sz w:val="21"/>
                <w:szCs w:val="21"/>
                <w:highlight w:val="none"/>
                <w:lang w:val="en-US" w:eastAsia="zh-CN"/>
              </w:rPr>
              <w:t>项目负责人</w:t>
            </w:r>
          </w:p>
        </w:tc>
        <w:tc>
          <w:tcPr>
            <w:tcW w:w="850" w:type="dxa"/>
            <w:shd w:val="clear" w:color="auto" w:fill="auto"/>
            <w:vAlign w:val="center"/>
          </w:tcPr>
          <w:p w14:paraId="3A895C93">
            <w:pPr>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6分</w:t>
            </w:r>
          </w:p>
        </w:tc>
        <w:tc>
          <w:tcPr>
            <w:tcW w:w="6307" w:type="dxa"/>
            <w:shd w:val="clear" w:color="auto" w:fill="auto"/>
            <w:vAlign w:val="center"/>
          </w:tcPr>
          <w:p w14:paraId="36F5BE55">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根据供应商拟投入的项目负责人情况进行评审：</w:t>
            </w:r>
          </w:p>
          <w:p w14:paraId="5D47F4A8">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1、具有一级注册造价工程师（土木建筑工程或安装工程专业），得2分；</w:t>
            </w:r>
          </w:p>
          <w:p w14:paraId="5E3F1216">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2、具有工程造价类高级工程师，得4分；具有工程造价类中级工程师，得2分；其他情况不得分。</w:t>
            </w:r>
          </w:p>
          <w:p w14:paraId="1D86C712">
            <w:pPr>
              <w:numPr>
                <w:ilvl w:val="0"/>
                <w:numId w:val="0"/>
              </w:numPr>
              <w:spacing w:line="320" w:lineRule="exact"/>
              <w:ind w:left="0" w:leftChars="0" w:firstLine="0" w:firstLineChars="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en-US" w:eastAsia="zh-CN"/>
              </w:rPr>
              <w:t>需在响应文件中明确项目负责人，并</w:t>
            </w:r>
            <w:r>
              <w:rPr>
                <w:rFonts w:hint="eastAsia" w:ascii="宋体" w:hAnsi="宋体" w:eastAsia="宋体" w:cs="宋体"/>
                <w:sz w:val="21"/>
                <w:szCs w:val="21"/>
                <w:highlight w:val="none"/>
              </w:rPr>
              <w:t>提供</w:t>
            </w:r>
            <w:r>
              <w:rPr>
                <w:rFonts w:hint="eastAsia" w:ascii="宋体" w:hAnsi="宋体" w:eastAsia="宋体" w:cs="宋体"/>
                <w:sz w:val="21"/>
                <w:szCs w:val="21"/>
                <w:highlight w:val="none"/>
                <w:lang w:val="en-US" w:eastAsia="zh-CN"/>
              </w:rPr>
              <w:t>其</w:t>
            </w:r>
            <w:r>
              <w:rPr>
                <w:rFonts w:hint="eastAsia" w:ascii="宋体" w:hAnsi="宋体" w:eastAsia="宋体" w:cs="宋体"/>
                <w:sz w:val="21"/>
                <w:szCs w:val="21"/>
                <w:highlight w:val="none"/>
              </w:rPr>
              <w:t>相关证书</w:t>
            </w:r>
            <w:r>
              <w:rPr>
                <w:rFonts w:hint="eastAsia" w:ascii="宋体" w:hAnsi="宋体" w:eastAsia="宋体" w:cs="宋体"/>
                <w:sz w:val="21"/>
                <w:szCs w:val="21"/>
                <w:highlight w:val="none"/>
                <w:lang w:val="en-US" w:eastAsia="zh-CN"/>
              </w:rPr>
              <w:t>复印件</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截止日前近三个月内任意一个月供应商为</w:t>
            </w:r>
            <w:r>
              <w:rPr>
                <w:rFonts w:hint="eastAsia" w:ascii="宋体" w:hAnsi="宋体" w:eastAsia="宋体" w:cs="宋体"/>
                <w:sz w:val="21"/>
                <w:szCs w:val="21"/>
                <w:highlight w:val="none"/>
                <w:lang w:val="en-US" w:eastAsia="zh-CN"/>
              </w:rPr>
              <w:t>其</w:t>
            </w:r>
            <w:r>
              <w:rPr>
                <w:rFonts w:hint="eastAsia" w:ascii="宋体" w:hAnsi="宋体" w:eastAsia="宋体" w:cs="宋体"/>
                <w:sz w:val="21"/>
                <w:szCs w:val="21"/>
                <w:highlight w:val="none"/>
              </w:rPr>
              <w:t>在服务机构购买社保的社保凭证复印件</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以上资料均需</w:t>
            </w:r>
            <w:r>
              <w:rPr>
                <w:rFonts w:hint="eastAsia" w:ascii="宋体" w:hAnsi="宋体" w:eastAsia="宋体" w:cs="宋体"/>
                <w:sz w:val="21"/>
                <w:szCs w:val="21"/>
                <w:highlight w:val="none"/>
              </w:rPr>
              <w:t>加盖供应商单位公章，不提供不得分。</w:t>
            </w:r>
          </w:p>
        </w:tc>
      </w:tr>
      <w:tr w14:paraId="1027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12" w:type="dxa"/>
            <w:vMerge w:val="continue"/>
            <w:vAlign w:val="center"/>
          </w:tcPr>
          <w:p w14:paraId="4779B480">
            <w:pPr>
              <w:spacing w:line="320" w:lineRule="exact"/>
              <w:ind w:left="6" w:hanging="6"/>
              <w:jc w:val="center"/>
              <w:rPr>
                <w:rFonts w:ascii="宋体" w:hAnsi="宋体" w:eastAsia="宋体" w:cs="宋体"/>
                <w:sz w:val="21"/>
                <w:szCs w:val="21"/>
                <w:highlight w:val="none"/>
              </w:rPr>
            </w:pPr>
          </w:p>
        </w:tc>
        <w:tc>
          <w:tcPr>
            <w:tcW w:w="930" w:type="dxa"/>
            <w:shd w:val="clear" w:color="auto" w:fill="auto"/>
            <w:vAlign w:val="center"/>
          </w:tcPr>
          <w:p w14:paraId="0A3F9D77">
            <w:pPr>
              <w:spacing w:line="32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eastAsia="宋体"/>
                <w:sz w:val="21"/>
                <w:szCs w:val="21"/>
                <w:highlight w:val="none"/>
              </w:rPr>
              <w:t>服务团队人员配备情况</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项目负责人除外</w:t>
            </w:r>
            <w:r>
              <w:rPr>
                <w:rFonts w:hint="eastAsia" w:ascii="宋体" w:hAnsi="宋体" w:eastAsia="宋体"/>
                <w:sz w:val="21"/>
                <w:szCs w:val="21"/>
                <w:highlight w:val="none"/>
                <w:lang w:eastAsia="zh-CN"/>
              </w:rPr>
              <w:t>）</w:t>
            </w:r>
          </w:p>
        </w:tc>
        <w:tc>
          <w:tcPr>
            <w:tcW w:w="850" w:type="dxa"/>
            <w:shd w:val="clear" w:color="auto" w:fill="auto"/>
            <w:vAlign w:val="center"/>
          </w:tcPr>
          <w:p w14:paraId="72D886E7">
            <w:pPr>
              <w:spacing w:line="320" w:lineRule="exact"/>
              <w:jc w:val="center"/>
              <w:rPr>
                <w:rFonts w:hint="eastAsia" w:ascii="宋体" w:hAnsi="宋体" w:eastAsia="宋体" w:cs="宋体"/>
                <w:kern w:val="2"/>
                <w:sz w:val="21"/>
                <w:szCs w:val="21"/>
                <w:highlight w:val="none"/>
                <w:lang w:val="en-US" w:eastAsia="zh-CN" w:bidi="ar-SA"/>
              </w:rPr>
            </w:pPr>
            <w:r>
              <w:rPr>
                <w:rFonts w:hint="eastAsia" w:ascii="宋体" w:hAnsi="宋体" w:eastAsia="宋体"/>
                <w:sz w:val="21"/>
                <w:szCs w:val="21"/>
                <w:highlight w:val="none"/>
                <w:lang w:val="en-US" w:eastAsia="zh-CN"/>
              </w:rPr>
              <w:t>14</w:t>
            </w:r>
            <w:r>
              <w:rPr>
                <w:rFonts w:hint="eastAsia" w:ascii="宋体" w:hAnsi="宋体" w:eastAsia="宋体"/>
                <w:sz w:val="21"/>
                <w:szCs w:val="21"/>
                <w:highlight w:val="none"/>
              </w:rPr>
              <w:t>分</w:t>
            </w:r>
          </w:p>
        </w:tc>
        <w:tc>
          <w:tcPr>
            <w:tcW w:w="6307" w:type="dxa"/>
            <w:shd w:val="clear" w:color="auto" w:fill="auto"/>
            <w:vAlign w:val="center"/>
          </w:tcPr>
          <w:p w14:paraId="03A1B842">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根据</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拟投入的参与本项目</w:t>
            </w:r>
            <w:r>
              <w:rPr>
                <w:rFonts w:hint="eastAsia" w:ascii="宋体" w:hAnsi="宋体" w:eastAsia="宋体" w:cs="宋体"/>
                <w:sz w:val="21"/>
                <w:szCs w:val="21"/>
                <w:highlight w:val="none"/>
                <w:lang w:val="en-US" w:eastAsia="zh-CN"/>
              </w:rPr>
              <w:t>服务团队</w:t>
            </w:r>
            <w:r>
              <w:rPr>
                <w:rFonts w:hint="eastAsia" w:ascii="宋体" w:hAnsi="宋体" w:eastAsia="宋体" w:cs="宋体"/>
                <w:sz w:val="21"/>
                <w:szCs w:val="21"/>
                <w:highlight w:val="none"/>
              </w:rPr>
              <w:t>人员</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项目负责人除外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情况进行评</w:t>
            </w:r>
            <w:r>
              <w:rPr>
                <w:rFonts w:hint="eastAsia" w:ascii="宋体" w:hAnsi="宋体" w:eastAsia="宋体" w:cs="宋体"/>
                <w:sz w:val="21"/>
                <w:szCs w:val="21"/>
                <w:highlight w:val="none"/>
                <w:lang w:val="en-US" w:eastAsia="zh-CN"/>
              </w:rPr>
              <w:t>审：</w:t>
            </w:r>
          </w:p>
          <w:p w14:paraId="774EFED8">
            <w:pPr>
              <w:spacing w:line="320" w:lineRule="exac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1、团队人员中具有中级或以上职称的</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每提供1人得3分；具有助理级职称的，每提供1人得2分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本项合计最高得7分。</w:t>
            </w:r>
          </w:p>
          <w:p w14:paraId="16538096">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2、团队人员中</w:t>
            </w:r>
            <w:r>
              <w:rPr>
                <w:rFonts w:hint="eastAsia" w:ascii="宋体" w:hAnsi="宋体" w:eastAsia="宋体" w:cs="宋体"/>
                <w:sz w:val="21"/>
                <w:szCs w:val="21"/>
                <w:highlight w:val="none"/>
                <w:lang w:eastAsia="zh-CN"/>
              </w:rPr>
              <w:t>在</w:t>
            </w:r>
            <w:r>
              <w:rPr>
                <w:rFonts w:hint="eastAsia" w:ascii="宋体" w:hAnsi="宋体" w:eastAsia="宋体" w:cs="宋体"/>
                <w:sz w:val="21"/>
                <w:szCs w:val="21"/>
                <w:highlight w:val="none"/>
                <w:lang w:val="en-US" w:eastAsia="zh-CN"/>
              </w:rPr>
              <w:t>基本人员配置基础上（包括项目负责人在内共2名注册造价工程师，其中不少于1名一级注册造价工程师）</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每提供1名一级注册造价工程师得3分，每提供1名二级注册造价工程师得2分，</w:t>
            </w:r>
            <w:r>
              <w:rPr>
                <w:rFonts w:hint="eastAsia" w:ascii="宋体" w:hAnsi="宋体" w:eastAsia="宋体" w:cs="宋体"/>
                <w:sz w:val="21"/>
                <w:szCs w:val="21"/>
                <w:highlight w:val="none"/>
              </w:rPr>
              <w:t>本</w:t>
            </w:r>
            <w:r>
              <w:rPr>
                <w:rFonts w:hint="eastAsia" w:ascii="宋体" w:hAnsi="宋体" w:eastAsia="宋体" w:cs="宋体"/>
                <w:sz w:val="21"/>
                <w:szCs w:val="21"/>
                <w:highlight w:val="none"/>
                <w:lang w:val="en-US" w:eastAsia="zh-CN"/>
              </w:rPr>
              <w:t>小</w:t>
            </w:r>
            <w:r>
              <w:rPr>
                <w:rFonts w:hint="eastAsia" w:ascii="宋体" w:hAnsi="宋体" w:eastAsia="宋体" w:cs="宋体"/>
                <w:sz w:val="21"/>
                <w:szCs w:val="21"/>
                <w:highlight w:val="none"/>
              </w:rPr>
              <w:t>项最高得</w:t>
            </w:r>
            <w:r>
              <w:rPr>
                <w:rFonts w:hint="eastAsia" w:ascii="宋体" w:hAnsi="宋体" w:eastAsia="宋体" w:cs="宋体"/>
                <w:sz w:val="21"/>
                <w:szCs w:val="21"/>
                <w:highlight w:val="none"/>
                <w:lang w:val="en-US" w:eastAsia="zh-CN"/>
              </w:rPr>
              <w:t>7</w:t>
            </w:r>
            <w:r>
              <w:rPr>
                <w:rFonts w:hint="eastAsia" w:ascii="宋体" w:hAnsi="宋体" w:eastAsia="宋体" w:cs="宋体"/>
                <w:sz w:val="21"/>
                <w:szCs w:val="21"/>
                <w:highlight w:val="none"/>
              </w:rPr>
              <w:t>分。</w:t>
            </w:r>
          </w:p>
          <w:p w14:paraId="7C851967">
            <w:pPr>
              <w:numPr>
                <w:ilvl w:val="0"/>
                <w:numId w:val="0"/>
              </w:numPr>
              <w:spacing w:line="320" w:lineRule="exact"/>
              <w:ind w:left="0" w:leftChars="0" w:firstLine="0" w:firstLineChars="0"/>
              <w:jc w:val="left"/>
              <w:rPr>
                <w:rFonts w:hint="eastAsia" w:ascii="宋体" w:hAnsi="宋体" w:eastAsia="宋体" w:cs="Times New Roman"/>
                <w:kern w:val="2"/>
                <w:sz w:val="21"/>
                <w:szCs w:val="21"/>
                <w:highlight w:val="none"/>
                <w:lang w:val="en-US" w:eastAsia="zh-CN" w:bidi="ar-SA"/>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en-US" w:eastAsia="zh-CN"/>
              </w:rPr>
              <w:t>1、上述注册造价工程师均需为</w:t>
            </w:r>
            <w:r>
              <w:rPr>
                <w:rFonts w:hint="eastAsia" w:ascii="宋体" w:hAnsi="宋体" w:eastAsia="宋体"/>
                <w:sz w:val="21"/>
                <w:szCs w:val="21"/>
                <w:highlight w:val="none"/>
                <w:lang w:val="en-US" w:eastAsia="zh-CN"/>
              </w:rPr>
              <w:t>土木建筑工程或安装工程专业；2、</w:t>
            </w:r>
            <w:r>
              <w:rPr>
                <w:rFonts w:hint="eastAsia" w:ascii="宋体" w:hAnsi="宋体" w:eastAsia="宋体" w:cs="宋体"/>
                <w:sz w:val="21"/>
                <w:szCs w:val="21"/>
                <w:highlight w:val="none"/>
              </w:rPr>
              <w:t>提供上述人员的相关证书、</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截止日前近三个月内任意一个月供应商为上述服务团队人员在服务机构购买社保的社保凭证复印件并加盖供应商单位公章</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已达到退休年龄</w:t>
            </w:r>
            <w:r>
              <w:rPr>
                <w:rFonts w:hint="eastAsia" w:ascii="宋体" w:hAnsi="宋体" w:eastAsia="宋体" w:cs="宋体"/>
                <w:sz w:val="21"/>
                <w:szCs w:val="21"/>
                <w:highlight w:val="none"/>
                <w:lang w:val="en-US" w:eastAsia="zh-CN"/>
              </w:rPr>
              <w:t>的</w:t>
            </w:r>
            <w:r>
              <w:rPr>
                <w:rFonts w:hint="eastAsia" w:ascii="宋体" w:hAnsi="宋体" w:eastAsia="宋体" w:cs="宋体"/>
                <w:sz w:val="21"/>
                <w:szCs w:val="21"/>
                <w:highlight w:val="none"/>
              </w:rPr>
              <w:t>，则可提供养老保险待遇领取情况资料或</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退休证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和单位的返聘证明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，不提供不得分。</w:t>
            </w:r>
          </w:p>
        </w:tc>
      </w:tr>
      <w:tr w14:paraId="30594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112" w:type="dxa"/>
            <w:vMerge w:val="continue"/>
            <w:vAlign w:val="center"/>
          </w:tcPr>
          <w:p w14:paraId="55B47833">
            <w:pPr>
              <w:spacing w:line="320" w:lineRule="exact"/>
              <w:ind w:left="6" w:hanging="6"/>
              <w:jc w:val="center"/>
              <w:rPr>
                <w:rFonts w:ascii="宋体" w:hAnsi="宋体" w:eastAsia="宋体" w:cs="宋体"/>
                <w:sz w:val="21"/>
                <w:szCs w:val="21"/>
                <w:highlight w:val="none"/>
              </w:rPr>
            </w:pPr>
          </w:p>
        </w:tc>
        <w:tc>
          <w:tcPr>
            <w:tcW w:w="930" w:type="dxa"/>
            <w:vAlign w:val="center"/>
          </w:tcPr>
          <w:p w14:paraId="55C93E8B">
            <w:pPr>
              <w:spacing w:line="320" w:lineRule="exact"/>
              <w:jc w:val="center"/>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服务响应</w:t>
            </w:r>
          </w:p>
        </w:tc>
        <w:tc>
          <w:tcPr>
            <w:tcW w:w="850" w:type="dxa"/>
            <w:vAlign w:val="center"/>
          </w:tcPr>
          <w:p w14:paraId="17594A3B">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5分</w:t>
            </w:r>
          </w:p>
        </w:tc>
        <w:tc>
          <w:tcPr>
            <w:tcW w:w="6307" w:type="dxa"/>
            <w:vAlign w:val="center"/>
          </w:tcPr>
          <w:p w14:paraId="0EE2D878">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根据供应商承诺在接到采购人通知后，响应并派出人员到场进行服务的时间进行评审：</w:t>
            </w:r>
          </w:p>
          <w:p w14:paraId="231CCAD4">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1、承诺2小时(含)以内响应并派出人员到场进行服务的得5分；</w:t>
            </w:r>
          </w:p>
          <w:p w14:paraId="630A9FB6">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2、承诺2小时&lt;时间≤4小时响应并派出人员到场进行服务的，得4分；</w:t>
            </w:r>
          </w:p>
          <w:p w14:paraId="1AB6E114">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3、承诺4小时&lt;时间≤8小时响应并派出人员到场进行服务的得3分；</w:t>
            </w:r>
          </w:p>
          <w:p w14:paraId="2EFBAE99">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4、承诺8小时&lt;时间≤24小时响应并派出人员到场进行服务的得2分；</w:t>
            </w:r>
          </w:p>
          <w:p w14:paraId="58B48876">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5、承诺24小时&lt;时间≤48小时响应并派出人员到场进行服务的得1分；</w:t>
            </w:r>
          </w:p>
          <w:p w14:paraId="7AD9E4A2">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6、其他情况不得分。</w:t>
            </w:r>
          </w:p>
          <w:p w14:paraId="68547F2D">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本项最高得分为5分。按得分较高的评审，不重复计分。</w:t>
            </w:r>
          </w:p>
          <w:p w14:paraId="64F675BE">
            <w:pPr>
              <w:spacing w:line="32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注:需在响应文件中提供包含上述相应内容的承诺函（格式自拟），并加盖供应商单位公章，未提供不得分。</w:t>
            </w:r>
          </w:p>
        </w:tc>
      </w:tr>
      <w:tr w14:paraId="08935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restart"/>
            <w:vAlign w:val="center"/>
          </w:tcPr>
          <w:p w14:paraId="251F28DD">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rPr>
              <w:t>技术部分</w:t>
            </w:r>
            <w:r>
              <w:rPr>
                <w:rFonts w:hint="eastAsia" w:ascii="宋体" w:hAnsi="宋体" w:eastAsia="宋体" w:cs="宋体"/>
                <w:sz w:val="21"/>
                <w:szCs w:val="21"/>
                <w:highlight w:val="none"/>
                <w:lang w:val="en-US" w:eastAsia="zh-CN"/>
              </w:rPr>
              <w:t>30</w:t>
            </w:r>
            <w:r>
              <w:rPr>
                <w:rFonts w:hint="eastAsia" w:ascii="宋体" w:hAnsi="宋体" w:eastAsia="宋体" w:cs="宋体"/>
                <w:sz w:val="21"/>
                <w:szCs w:val="21"/>
                <w:highlight w:val="none"/>
              </w:rPr>
              <w:t>分</w:t>
            </w:r>
          </w:p>
        </w:tc>
        <w:tc>
          <w:tcPr>
            <w:tcW w:w="930" w:type="dxa"/>
            <w:vAlign w:val="center"/>
          </w:tcPr>
          <w:p w14:paraId="428B3343">
            <w:pPr>
              <w:spacing w:line="320" w:lineRule="exact"/>
              <w:jc w:val="center"/>
              <w:rPr>
                <w:rFonts w:ascii="宋体" w:hAnsi="宋体" w:eastAsia="宋体" w:cs="宋体"/>
                <w:sz w:val="21"/>
                <w:szCs w:val="21"/>
                <w:highlight w:val="none"/>
              </w:rPr>
            </w:pPr>
            <w:r>
              <w:rPr>
                <w:rFonts w:ascii="Segoe UI" w:hAnsi="Segoe UI" w:eastAsia="Segoe UI" w:cs="Segoe UI"/>
                <w:i w:val="0"/>
                <w:iCs w:val="0"/>
                <w:caps w:val="0"/>
                <w:color w:val="0F1115"/>
                <w:spacing w:val="0"/>
                <w:sz w:val="22"/>
                <w:szCs w:val="22"/>
                <w:highlight w:val="none"/>
                <w:shd w:val="clear" w:fill="FFFFFF"/>
              </w:rPr>
              <w:t>咨询服务工作方案</w:t>
            </w:r>
          </w:p>
        </w:tc>
        <w:tc>
          <w:tcPr>
            <w:tcW w:w="850" w:type="dxa"/>
            <w:vAlign w:val="center"/>
          </w:tcPr>
          <w:p w14:paraId="798F796C">
            <w:pPr>
              <w:spacing w:line="320" w:lineRule="exact"/>
              <w:jc w:val="center"/>
              <w:rPr>
                <w:rFonts w:ascii="宋体" w:hAnsi="宋体" w:eastAsia="宋体" w:cs="宋体"/>
                <w:sz w:val="21"/>
                <w:szCs w:val="21"/>
                <w:highlight w:val="none"/>
              </w:rPr>
            </w:pPr>
            <w:r>
              <w:rPr>
                <w:rFonts w:hint="eastAsia" w:ascii="宋体" w:hAnsi="宋体" w:eastAsia="宋体" w:cs="宋体"/>
                <w:sz w:val="21"/>
                <w:szCs w:val="21"/>
                <w:highlight w:val="none"/>
                <w:lang w:val="en-US" w:eastAsia="zh-CN"/>
              </w:rPr>
              <w:t>10</w:t>
            </w:r>
            <w:r>
              <w:rPr>
                <w:rFonts w:hint="eastAsia" w:ascii="宋体" w:hAnsi="宋体" w:eastAsia="宋体" w:cs="宋体"/>
                <w:sz w:val="21"/>
                <w:szCs w:val="21"/>
                <w:highlight w:val="none"/>
              </w:rPr>
              <w:t>分</w:t>
            </w:r>
          </w:p>
        </w:tc>
        <w:tc>
          <w:tcPr>
            <w:tcW w:w="6307" w:type="dxa"/>
            <w:vAlign w:val="center"/>
          </w:tcPr>
          <w:p w14:paraId="2D9CA4AA">
            <w:pPr>
              <w:numPr>
                <w:ilvl w:val="0"/>
                <w:numId w:val="0"/>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根据供应商提供的</w:t>
            </w:r>
            <w:r>
              <w:rPr>
                <w:rFonts w:hint="eastAsia" w:ascii="宋体" w:hAnsi="宋体" w:eastAsia="宋体"/>
                <w:sz w:val="21"/>
                <w:szCs w:val="21"/>
                <w:highlight w:val="none"/>
                <w:lang w:val="en-US" w:eastAsia="zh-CN"/>
              </w:rPr>
              <w:t>工作</w:t>
            </w:r>
            <w:r>
              <w:rPr>
                <w:rFonts w:hint="eastAsia" w:ascii="宋体" w:hAnsi="宋体" w:eastAsia="宋体"/>
                <w:sz w:val="21"/>
                <w:szCs w:val="21"/>
                <w:highlight w:val="none"/>
              </w:rPr>
              <w:t>方案进行评审，包括但不限于对本项目的理解与重点难点分析</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全</w:t>
            </w:r>
            <w:r>
              <w:rPr>
                <w:rFonts w:hint="eastAsia" w:ascii="宋体" w:hAnsi="宋体" w:eastAsia="宋体"/>
                <w:sz w:val="21"/>
                <w:szCs w:val="21"/>
                <w:highlight w:val="none"/>
                <w:lang w:eastAsia="zh-CN"/>
              </w:rPr>
              <w:t>过程各</w:t>
            </w:r>
            <w:r>
              <w:rPr>
                <w:rFonts w:hint="eastAsia" w:ascii="宋体" w:hAnsi="宋体" w:eastAsia="宋体"/>
                <w:sz w:val="21"/>
                <w:szCs w:val="21"/>
                <w:highlight w:val="none"/>
                <w:lang w:val="en-US" w:eastAsia="zh-CN"/>
              </w:rPr>
              <w:t>个</w:t>
            </w:r>
            <w:r>
              <w:rPr>
                <w:rFonts w:hint="eastAsia" w:ascii="宋体" w:hAnsi="宋体" w:eastAsia="宋体"/>
                <w:sz w:val="21"/>
                <w:szCs w:val="21"/>
                <w:highlight w:val="none"/>
                <w:lang w:eastAsia="zh-CN"/>
              </w:rPr>
              <w:t>阶段的工作内容与流程、</w:t>
            </w:r>
            <w:r>
              <w:rPr>
                <w:rFonts w:hint="eastAsia" w:ascii="宋体" w:hAnsi="宋体" w:eastAsia="宋体"/>
                <w:sz w:val="21"/>
                <w:szCs w:val="21"/>
                <w:highlight w:val="none"/>
                <w:lang w:val="en-US" w:eastAsia="zh-CN"/>
              </w:rPr>
              <w:t>内部审核机制、质量控制措施</w:t>
            </w:r>
            <w:r>
              <w:rPr>
                <w:rFonts w:hint="eastAsia" w:ascii="宋体" w:hAnsi="宋体" w:eastAsia="宋体"/>
                <w:sz w:val="21"/>
                <w:szCs w:val="21"/>
                <w:highlight w:val="none"/>
              </w:rPr>
              <w:t>等。</w:t>
            </w:r>
          </w:p>
          <w:p w14:paraId="4C3AAFB7">
            <w:pPr>
              <w:numPr>
                <w:ilvl w:val="0"/>
                <w:numId w:val="0"/>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1、</w:t>
            </w:r>
            <w:r>
              <w:rPr>
                <w:rFonts w:hint="eastAsia" w:ascii="宋体" w:hAnsi="宋体" w:eastAsia="宋体"/>
                <w:sz w:val="21"/>
                <w:szCs w:val="21"/>
                <w:highlight w:val="none"/>
                <w:lang w:val="en-US" w:eastAsia="zh-CN"/>
              </w:rPr>
              <w:t>对项目</w:t>
            </w:r>
            <w:r>
              <w:rPr>
                <w:rFonts w:hint="eastAsia" w:ascii="宋体" w:hAnsi="宋体" w:eastAsia="宋体"/>
                <w:sz w:val="21"/>
                <w:szCs w:val="21"/>
                <w:highlight w:val="none"/>
              </w:rPr>
              <w:t>理解</w:t>
            </w:r>
            <w:r>
              <w:rPr>
                <w:rFonts w:hint="eastAsia" w:ascii="宋体" w:hAnsi="宋体" w:eastAsia="宋体"/>
                <w:sz w:val="21"/>
                <w:szCs w:val="21"/>
                <w:highlight w:val="none"/>
                <w:lang w:val="en-US" w:eastAsia="zh-CN"/>
              </w:rPr>
              <w:t>透彻</w:t>
            </w:r>
            <w:r>
              <w:rPr>
                <w:rFonts w:hint="eastAsia" w:ascii="宋体" w:hAnsi="宋体" w:eastAsia="宋体"/>
                <w:sz w:val="21"/>
                <w:szCs w:val="21"/>
                <w:highlight w:val="none"/>
                <w:lang w:eastAsia="zh-CN"/>
              </w:rPr>
              <w:t>，内容全面、覆盖所有要求阶段，流程清晰、逻辑性强，</w:t>
            </w:r>
            <w:r>
              <w:rPr>
                <w:rFonts w:hint="eastAsia" w:ascii="宋体" w:hAnsi="宋体" w:eastAsia="宋体"/>
                <w:sz w:val="21"/>
                <w:szCs w:val="21"/>
                <w:highlight w:val="none"/>
                <w:lang w:val="en-US" w:eastAsia="zh-CN"/>
              </w:rPr>
              <w:t>有效保证成果质量</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10</w:t>
            </w:r>
            <w:r>
              <w:rPr>
                <w:rFonts w:hint="eastAsia" w:ascii="宋体" w:hAnsi="宋体" w:eastAsia="宋体"/>
                <w:sz w:val="21"/>
                <w:szCs w:val="21"/>
                <w:highlight w:val="none"/>
              </w:rPr>
              <w:t>分；</w:t>
            </w:r>
          </w:p>
          <w:p w14:paraId="050210E9">
            <w:pPr>
              <w:numPr>
                <w:ilvl w:val="0"/>
                <w:numId w:val="0"/>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2、</w:t>
            </w:r>
            <w:r>
              <w:rPr>
                <w:rFonts w:hint="eastAsia" w:ascii="宋体" w:hAnsi="宋体" w:eastAsia="宋体"/>
                <w:sz w:val="21"/>
                <w:szCs w:val="21"/>
                <w:highlight w:val="none"/>
                <w:lang w:val="en-US" w:eastAsia="zh-CN"/>
              </w:rPr>
              <w:t>对项目</w:t>
            </w:r>
            <w:r>
              <w:rPr>
                <w:rFonts w:hint="eastAsia" w:ascii="宋体" w:hAnsi="宋体" w:eastAsia="宋体"/>
                <w:sz w:val="21"/>
                <w:szCs w:val="21"/>
                <w:highlight w:val="none"/>
              </w:rPr>
              <w:t>理解准确</w:t>
            </w:r>
            <w:r>
              <w:rPr>
                <w:rFonts w:hint="eastAsia" w:ascii="宋体" w:hAnsi="宋体" w:eastAsia="宋体"/>
                <w:sz w:val="21"/>
                <w:szCs w:val="21"/>
                <w:highlight w:val="none"/>
                <w:lang w:eastAsia="zh-CN"/>
              </w:rPr>
              <w:t>，内容</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lang w:eastAsia="zh-CN"/>
              </w:rPr>
              <w:t>全面、</w:t>
            </w:r>
            <w:r>
              <w:rPr>
                <w:rFonts w:hint="eastAsia" w:ascii="宋体" w:hAnsi="宋体" w:eastAsia="宋体"/>
                <w:sz w:val="21"/>
                <w:szCs w:val="21"/>
                <w:highlight w:val="none"/>
                <w:lang w:val="en-US" w:eastAsia="zh-CN"/>
              </w:rPr>
              <w:t>基本</w:t>
            </w:r>
            <w:r>
              <w:rPr>
                <w:rFonts w:hint="eastAsia" w:ascii="宋体" w:hAnsi="宋体" w:eastAsia="宋体"/>
                <w:sz w:val="21"/>
                <w:szCs w:val="21"/>
                <w:highlight w:val="none"/>
                <w:lang w:eastAsia="zh-CN"/>
              </w:rPr>
              <w:t>覆盖</w:t>
            </w:r>
            <w:r>
              <w:rPr>
                <w:rFonts w:hint="eastAsia" w:ascii="宋体" w:hAnsi="宋体" w:eastAsia="宋体"/>
                <w:sz w:val="21"/>
                <w:szCs w:val="21"/>
                <w:highlight w:val="none"/>
                <w:lang w:val="en-US" w:eastAsia="zh-CN"/>
              </w:rPr>
              <w:t>各个</w:t>
            </w:r>
            <w:r>
              <w:rPr>
                <w:rFonts w:hint="eastAsia" w:ascii="宋体" w:hAnsi="宋体" w:eastAsia="宋体"/>
                <w:sz w:val="21"/>
                <w:szCs w:val="21"/>
                <w:highlight w:val="none"/>
                <w:lang w:eastAsia="zh-CN"/>
              </w:rPr>
              <w:t>阶段，流程</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lang w:eastAsia="zh-CN"/>
              </w:rPr>
              <w:t>清晰、逻辑性</w:t>
            </w:r>
            <w:r>
              <w:rPr>
                <w:rFonts w:hint="eastAsia" w:ascii="宋体" w:hAnsi="宋体" w:eastAsia="宋体"/>
                <w:sz w:val="21"/>
                <w:szCs w:val="21"/>
                <w:highlight w:val="none"/>
                <w:lang w:val="en-US" w:eastAsia="zh-CN"/>
              </w:rPr>
              <w:t>较</w:t>
            </w:r>
            <w:r>
              <w:rPr>
                <w:rFonts w:hint="eastAsia" w:ascii="宋体" w:hAnsi="宋体" w:eastAsia="宋体"/>
                <w:sz w:val="21"/>
                <w:szCs w:val="21"/>
                <w:highlight w:val="none"/>
                <w:lang w:eastAsia="zh-CN"/>
              </w:rPr>
              <w:t>强，</w:t>
            </w:r>
            <w:r>
              <w:rPr>
                <w:rFonts w:hint="eastAsia" w:ascii="宋体" w:hAnsi="宋体" w:eastAsia="宋体"/>
                <w:sz w:val="21"/>
                <w:szCs w:val="21"/>
                <w:highlight w:val="none"/>
                <w:lang w:val="en-US" w:eastAsia="zh-CN"/>
              </w:rPr>
              <w:t>能保证成果质量</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分；</w:t>
            </w:r>
          </w:p>
          <w:p w14:paraId="0FA630DE">
            <w:pPr>
              <w:numPr>
                <w:ilvl w:val="0"/>
                <w:numId w:val="0"/>
              </w:numPr>
              <w:spacing w:line="320" w:lineRule="exact"/>
              <w:ind w:right="150" w:rightChars="50"/>
              <w:rPr>
                <w:rFonts w:hint="eastAsia" w:ascii="宋体" w:hAnsi="宋体" w:eastAsia="宋体"/>
                <w:sz w:val="21"/>
                <w:szCs w:val="21"/>
                <w:highlight w:val="none"/>
              </w:rPr>
            </w:pPr>
            <w:r>
              <w:rPr>
                <w:rFonts w:hint="eastAsia" w:ascii="宋体" w:hAnsi="宋体" w:eastAsia="宋体"/>
                <w:sz w:val="21"/>
                <w:szCs w:val="21"/>
                <w:highlight w:val="none"/>
              </w:rPr>
              <w:t>3、</w:t>
            </w:r>
            <w:r>
              <w:rPr>
                <w:rFonts w:hint="eastAsia" w:ascii="宋体" w:hAnsi="宋体" w:eastAsia="宋体"/>
                <w:sz w:val="21"/>
                <w:szCs w:val="21"/>
                <w:highlight w:val="none"/>
                <w:lang w:val="en-US" w:eastAsia="zh-CN"/>
              </w:rPr>
              <w:t>对项目</w:t>
            </w:r>
            <w:r>
              <w:rPr>
                <w:rFonts w:hint="eastAsia" w:ascii="宋体" w:hAnsi="宋体" w:eastAsia="宋体"/>
                <w:sz w:val="21"/>
                <w:szCs w:val="21"/>
                <w:highlight w:val="none"/>
              </w:rPr>
              <w:t>理解</w:t>
            </w:r>
            <w:r>
              <w:rPr>
                <w:rFonts w:hint="eastAsia" w:ascii="宋体" w:hAnsi="宋体" w:eastAsia="宋体"/>
                <w:sz w:val="21"/>
                <w:szCs w:val="21"/>
                <w:highlight w:val="none"/>
                <w:lang w:val="en-US" w:eastAsia="zh-CN"/>
              </w:rPr>
              <w:t>一般</w:t>
            </w:r>
            <w:r>
              <w:rPr>
                <w:rFonts w:hint="eastAsia" w:ascii="宋体" w:hAnsi="宋体" w:eastAsia="宋体"/>
                <w:sz w:val="21"/>
                <w:szCs w:val="21"/>
                <w:highlight w:val="none"/>
                <w:lang w:eastAsia="zh-CN"/>
              </w:rPr>
              <w:t>，内容</w:t>
            </w:r>
            <w:r>
              <w:rPr>
                <w:rFonts w:hint="eastAsia" w:ascii="宋体" w:hAnsi="宋体" w:eastAsia="宋体"/>
                <w:sz w:val="21"/>
                <w:szCs w:val="21"/>
                <w:highlight w:val="none"/>
                <w:lang w:val="en-US" w:eastAsia="zh-CN"/>
              </w:rPr>
              <w:t>不够</w:t>
            </w:r>
            <w:r>
              <w:rPr>
                <w:rFonts w:hint="eastAsia" w:ascii="宋体" w:hAnsi="宋体" w:eastAsia="宋体"/>
                <w:sz w:val="21"/>
                <w:szCs w:val="21"/>
                <w:highlight w:val="none"/>
                <w:lang w:eastAsia="zh-CN"/>
              </w:rPr>
              <w:t>全面、流程</w:t>
            </w:r>
            <w:r>
              <w:rPr>
                <w:rFonts w:hint="eastAsia" w:ascii="宋体" w:hAnsi="宋体" w:eastAsia="宋体"/>
                <w:sz w:val="21"/>
                <w:szCs w:val="21"/>
                <w:highlight w:val="none"/>
                <w:lang w:val="en-US" w:eastAsia="zh-CN"/>
              </w:rPr>
              <w:t>基本可行</w:t>
            </w:r>
            <w:r>
              <w:rPr>
                <w:rFonts w:hint="eastAsia" w:ascii="宋体" w:hAnsi="宋体" w:eastAsia="宋体"/>
                <w:sz w:val="21"/>
                <w:szCs w:val="21"/>
                <w:highlight w:val="none"/>
                <w:lang w:eastAsia="zh-CN"/>
              </w:rPr>
              <w:t>、逻辑性</w:t>
            </w:r>
            <w:r>
              <w:rPr>
                <w:rFonts w:hint="eastAsia" w:ascii="宋体" w:hAnsi="宋体" w:eastAsia="宋体"/>
                <w:sz w:val="21"/>
                <w:szCs w:val="21"/>
                <w:highlight w:val="none"/>
                <w:lang w:val="en-US" w:eastAsia="zh-CN"/>
              </w:rPr>
              <w:t>一般</w:t>
            </w:r>
            <w:r>
              <w:rPr>
                <w:rFonts w:hint="eastAsia" w:ascii="宋体" w:hAnsi="宋体" w:eastAsia="宋体"/>
                <w:sz w:val="21"/>
                <w:szCs w:val="21"/>
                <w:highlight w:val="none"/>
                <w:lang w:eastAsia="zh-CN"/>
              </w:rPr>
              <w:t>，</w:t>
            </w:r>
            <w:r>
              <w:rPr>
                <w:rFonts w:hint="eastAsia" w:ascii="宋体" w:hAnsi="宋体" w:eastAsia="宋体"/>
                <w:sz w:val="21"/>
                <w:szCs w:val="21"/>
                <w:highlight w:val="none"/>
                <w:lang w:val="en-US" w:eastAsia="zh-CN"/>
              </w:rPr>
              <w:t>对成果质量影响不大</w:t>
            </w:r>
            <w:r>
              <w:rPr>
                <w:rFonts w:hint="eastAsia" w:ascii="宋体" w:hAnsi="宋体" w:eastAsia="宋体"/>
                <w:sz w:val="21"/>
                <w:szCs w:val="21"/>
                <w:highlight w:val="none"/>
              </w:rPr>
              <w:t>的，得</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分；</w:t>
            </w:r>
          </w:p>
          <w:p w14:paraId="4AD2C40C">
            <w:pPr>
              <w:spacing w:line="320" w:lineRule="exact"/>
              <w:jc w:val="left"/>
              <w:rPr>
                <w:rFonts w:ascii="宋体" w:hAnsi="宋体" w:eastAsia="宋体" w:cs="宋体"/>
                <w:sz w:val="21"/>
                <w:szCs w:val="21"/>
                <w:highlight w:val="none"/>
              </w:rPr>
            </w:pPr>
            <w:r>
              <w:rPr>
                <w:rFonts w:hint="eastAsia" w:ascii="宋体" w:hAnsi="宋体" w:eastAsia="宋体"/>
                <w:sz w:val="21"/>
                <w:szCs w:val="21"/>
                <w:highlight w:val="none"/>
              </w:rPr>
              <w:t>4、未提供服务方案的，得0分。</w:t>
            </w:r>
          </w:p>
        </w:tc>
      </w:tr>
      <w:tr w14:paraId="43C6B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continue"/>
            <w:vAlign w:val="center"/>
          </w:tcPr>
          <w:p w14:paraId="6EBBD83F">
            <w:pPr>
              <w:spacing w:line="320" w:lineRule="exact"/>
              <w:jc w:val="center"/>
              <w:rPr>
                <w:rFonts w:hint="eastAsia" w:ascii="宋体" w:hAnsi="宋体" w:eastAsia="宋体" w:cs="宋体"/>
                <w:sz w:val="21"/>
                <w:szCs w:val="21"/>
                <w:highlight w:val="none"/>
              </w:rPr>
            </w:pPr>
          </w:p>
        </w:tc>
        <w:tc>
          <w:tcPr>
            <w:tcW w:w="930" w:type="dxa"/>
            <w:vAlign w:val="center"/>
          </w:tcPr>
          <w:p w14:paraId="4E8F4D94">
            <w:pPr>
              <w:spacing w:line="320" w:lineRule="exact"/>
              <w:jc w:val="center"/>
              <w:rPr>
                <w:rFonts w:hint="eastAsia" w:ascii="宋体" w:hAnsi="宋体" w:eastAsia="宋体"/>
                <w:sz w:val="21"/>
                <w:szCs w:val="21"/>
                <w:highlight w:val="none"/>
              </w:rPr>
            </w:pPr>
            <w:r>
              <w:rPr>
                <w:rFonts w:hint="eastAsia" w:ascii="宋体" w:hAnsi="宋体" w:eastAsia="宋体"/>
                <w:sz w:val="21"/>
                <w:szCs w:val="21"/>
                <w:highlight w:val="none"/>
              </w:rPr>
              <w:t>质量保证</w:t>
            </w:r>
            <w:r>
              <w:rPr>
                <w:rFonts w:hint="eastAsia" w:ascii="宋体" w:hAnsi="宋体" w:eastAsia="宋体"/>
                <w:sz w:val="21"/>
                <w:szCs w:val="21"/>
                <w:highlight w:val="none"/>
                <w:lang w:val="en-US" w:eastAsia="zh-CN"/>
              </w:rPr>
              <w:t>措施</w:t>
            </w:r>
          </w:p>
        </w:tc>
        <w:tc>
          <w:tcPr>
            <w:tcW w:w="850" w:type="dxa"/>
            <w:vAlign w:val="center"/>
          </w:tcPr>
          <w:p w14:paraId="578B4593">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14:paraId="6D1B81E0">
            <w:pPr>
              <w:spacing w:line="320" w:lineRule="exact"/>
              <w:jc w:val="left"/>
              <w:rPr>
                <w:rFonts w:hint="eastAsia" w:ascii="宋体" w:hAnsi="宋体" w:eastAsia="宋体"/>
                <w:sz w:val="21"/>
                <w:szCs w:val="21"/>
                <w:highlight w:val="none"/>
              </w:rPr>
            </w:pPr>
            <w:r>
              <w:rPr>
                <w:rFonts w:hint="eastAsia" w:ascii="宋体" w:hAnsi="宋体" w:eastAsia="宋体"/>
                <w:sz w:val="21"/>
                <w:szCs w:val="21"/>
                <w:highlight w:val="none"/>
              </w:rPr>
              <w:t>根据供应商提供的</w:t>
            </w:r>
            <w:r>
              <w:rPr>
                <w:rFonts w:ascii="Segoe UI" w:hAnsi="Segoe UI" w:eastAsia="Segoe UI" w:cs="Segoe UI"/>
                <w:i w:val="0"/>
                <w:iCs w:val="0"/>
                <w:caps w:val="0"/>
                <w:color w:val="0F1115"/>
                <w:spacing w:val="0"/>
                <w:sz w:val="22"/>
                <w:szCs w:val="22"/>
                <w:highlight w:val="none"/>
                <w:shd w:val="clear" w:fill="FFFFFF"/>
              </w:rPr>
              <w:t>质量保证</w:t>
            </w:r>
            <w:r>
              <w:rPr>
                <w:rFonts w:hint="eastAsia" w:ascii="宋体" w:hAnsi="宋体" w:eastAsia="宋体"/>
                <w:sz w:val="21"/>
                <w:szCs w:val="21"/>
                <w:highlight w:val="none"/>
                <w:lang w:val="en-US" w:eastAsia="zh-CN"/>
              </w:rPr>
              <w:t>措施</w:t>
            </w:r>
            <w:r>
              <w:rPr>
                <w:rFonts w:hint="eastAsia" w:ascii="宋体" w:hAnsi="宋体" w:eastAsia="宋体"/>
                <w:sz w:val="21"/>
                <w:szCs w:val="21"/>
                <w:highlight w:val="none"/>
              </w:rPr>
              <w:t>进行评审，包括但不限于质量目标（如误差率控制标准）和具体的保证措施等。</w:t>
            </w:r>
          </w:p>
          <w:p w14:paraId="34AC8E56">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cs="Times New Roman"/>
                <w:kern w:val="2"/>
                <w:sz w:val="21"/>
                <w:szCs w:val="21"/>
                <w:highlight w:val="none"/>
                <w:lang w:val="en-US" w:eastAsia="zh-CN" w:bidi="ar-SA"/>
              </w:rPr>
              <w:t>1、质量目标明确，保证</w:t>
            </w:r>
            <w:r>
              <w:rPr>
                <w:rFonts w:hint="eastAsia" w:ascii="宋体" w:hAnsi="宋体" w:eastAsia="宋体"/>
                <w:sz w:val="21"/>
                <w:szCs w:val="21"/>
                <w:highlight w:val="none"/>
                <w:lang w:val="en-US" w:eastAsia="zh-CN"/>
              </w:rPr>
              <w:t>措施具体有效，针对可能出现的风险点，提出明显强化作用的具体管控措施和内部复核机制的，得10分；</w:t>
            </w:r>
          </w:p>
          <w:p w14:paraId="37D30DDA">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2、有</w:t>
            </w:r>
            <w:r>
              <w:rPr>
                <w:rFonts w:hint="eastAsia" w:ascii="宋体" w:hAnsi="宋体" w:eastAsia="宋体" w:cs="Times New Roman"/>
                <w:kern w:val="2"/>
                <w:sz w:val="21"/>
                <w:szCs w:val="21"/>
                <w:highlight w:val="none"/>
                <w:lang w:val="en-US" w:eastAsia="zh-CN" w:bidi="ar-SA"/>
              </w:rPr>
              <w:t>质量目标内容，保证</w:t>
            </w:r>
            <w:r>
              <w:rPr>
                <w:rFonts w:hint="eastAsia" w:ascii="宋体" w:hAnsi="宋体" w:eastAsia="宋体"/>
                <w:sz w:val="21"/>
                <w:szCs w:val="21"/>
                <w:highlight w:val="none"/>
                <w:lang w:val="en-US" w:eastAsia="zh-CN"/>
              </w:rPr>
              <w:t>措施较具体有效，能就编制或审核过程提出具体管控措施，基本能保证成果质量的，得7分；</w:t>
            </w:r>
          </w:p>
          <w:p w14:paraId="4E262819">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3、无明确质量目标，但能基本考虑如何保证成果质量的，得3分；</w:t>
            </w:r>
          </w:p>
          <w:p w14:paraId="3A582CA0">
            <w:pPr>
              <w:numPr>
                <w:ilvl w:val="0"/>
                <w:numId w:val="0"/>
              </w:numPr>
              <w:spacing w:line="32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4、未提供的，得0分。</w:t>
            </w:r>
          </w:p>
        </w:tc>
      </w:tr>
      <w:tr w14:paraId="4D1EE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continue"/>
            <w:vAlign w:val="center"/>
          </w:tcPr>
          <w:p w14:paraId="58F03C3F">
            <w:pPr>
              <w:spacing w:line="320" w:lineRule="exact"/>
              <w:jc w:val="center"/>
              <w:rPr>
                <w:rFonts w:hint="eastAsia" w:ascii="宋体" w:hAnsi="宋体" w:eastAsia="宋体" w:cs="宋体"/>
                <w:sz w:val="21"/>
                <w:szCs w:val="21"/>
                <w:highlight w:val="none"/>
              </w:rPr>
            </w:pPr>
          </w:p>
        </w:tc>
        <w:tc>
          <w:tcPr>
            <w:tcW w:w="930" w:type="dxa"/>
            <w:vAlign w:val="center"/>
          </w:tcPr>
          <w:p w14:paraId="55E71370">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人员组织与动态服务方案</w:t>
            </w:r>
          </w:p>
        </w:tc>
        <w:tc>
          <w:tcPr>
            <w:tcW w:w="850" w:type="dxa"/>
            <w:vAlign w:val="center"/>
          </w:tcPr>
          <w:p w14:paraId="51E408A0">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8分</w:t>
            </w:r>
          </w:p>
        </w:tc>
        <w:tc>
          <w:tcPr>
            <w:tcW w:w="6307" w:type="dxa"/>
            <w:vAlign w:val="center"/>
          </w:tcPr>
          <w:p w14:paraId="5A6606FD">
            <w:pPr>
              <w:numPr>
                <w:ilvl w:val="0"/>
                <w:numId w:val="0"/>
              </w:numPr>
              <w:spacing w:line="32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根据供应商的人员组织与动态服务方案进行评审，包括如何快速组建与项目匹配的团队、AB角保障、突发情况人员更换预案等。</w:t>
            </w:r>
          </w:p>
          <w:p w14:paraId="43873832">
            <w:pPr>
              <w:numPr>
                <w:ilvl w:val="0"/>
                <w:numId w:val="0"/>
              </w:numPr>
              <w:spacing w:line="32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i w:val="0"/>
                <w:iCs w:val="0"/>
                <w:caps w:val="0"/>
                <w:color w:val="0F1115"/>
                <w:spacing w:val="0"/>
                <w:sz w:val="21"/>
                <w:szCs w:val="21"/>
                <w:highlight w:val="none"/>
                <w:shd w:val="clear" w:fill="FFFFFF"/>
              </w:rPr>
              <w:t>流程标准化</w:t>
            </w:r>
            <w:r>
              <w:rPr>
                <w:rFonts w:hint="eastAsia" w:ascii="宋体" w:hAnsi="宋体" w:eastAsia="宋体" w:cs="宋体"/>
                <w:i w:val="0"/>
                <w:iCs w:val="0"/>
                <w:caps w:val="0"/>
                <w:color w:val="0F1115"/>
                <w:spacing w:val="0"/>
                <w:sz w:val="21"/>
                <w:szCs w:val="21"/>
                <w:highlight w:val="none"/>
                <w:shd w:val="clear" w:fill="FFFFFF"/>
                <w:lang w:eastAsia="zh-CN"/>
              </w:rPr>
              <w:t>， AB角保障机制</w:t>
            </w:r>
            <w:r>
              <w:rPr>
                <w:rFonts w:hint="eastAsia" w:ascii="宋体" w:hAnsi="宋体" w:eastAsia="宋体" w:cs="宋体"/>
                <w:i w:val="0"/>
                <w:iCs w:val="0"/>
                <w:caps w:val="0"/>
                <w:color w:val="0F1115"/>
                <w:spacing w:val="0"/>
                <w:sz w:val="21"/>
                <w:szCs w:val="21"/>
                <w:highlight w:val="none"/>
                <w:shd w:val="clear" w:fill="FFFFFF"/>
                <w:lang w:val="en-US" w:eastAsia="zh-CN"/>
              </w:rPr>
              <w:t>完善，突发人员更换预案周密的，得8分</w:t>
            </w:r>
            <w:r>
              <w:rPr>
                <w:rFonts w:hint="eastAsia" w:ascii="宋体" w:hAnsi="宋体" w:eastAsia="宋体" w:cs="宋体"/>
                <w:sz w:val="21"/>
                <w:szCs w:val="21"/>
                <w:highlight w:val="none"/>
                <w:lang w:val="en-US" w:eastAsia="zh-CN"/>
              </w:rPr>
              <w:t>；</w:t>
            </w:r>
          </w:p>
          <w:p w14:paraId="7F31D69F">
            <w:pPr>
              <w:numPr>
                <w:ilvl w:val="0"/>
                <w:numId w:val="0"/>
              </w:numPr>
              <w:spacing w:line="32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2、流程较明确，</w:t>
            </w:r>
            <w:r>
              <w:rPr>
                <w:rFonts w:hint="eastAsia" w:ascii="宋体" w:hAnsi="宋体" w:eastAsia="宋体" w:cs="宋体"/>
                <w:i w:val="0"/>
                <w:iCs w:val="0"/>
                <w:caps w:val="0"/>
                <w:color w:val="0F1115"/>
                <w:spacing w:val="0"/>
                <w:sz w:val="21"/>
                <w:szCs w:val="21"/>
                <w:highlight w:val="none"/>
                <w:shd w:val="clear" w:fill="FFFFFF"/>
                <w:lang w:eastAsia="zh-CN"/>
              </w:rPr>
              <w:t>AB角保障机制</w:t>
            </w:r>
            <w:r>
              <w:rPr>
                <w:rFonts w:hint="eastAsia" w:ascii="宋体" w:hAnsi="宋体" w:eastAsia="宋体" w:cs="宋体"/>
                <w:i w:val="0"/>
                <w:iCs w:val="0"/>
                <w:caps w:val="0"/>
                <w:color w:val="0F1115"/>
                <w:spacing w:val="0"/>
                <w:sz w:val="21"/>
                <w:szCs w:val="21"/>
                <w:highlight w:val="none"/>
                <w:shd w:val="clear" w:fill="FFFFFF"/>
                <w:lang w:val="en-US" w:eastAsia="zh-CN"/>
              </w:rPr>
              <w:t>及突发人员更换预案可行的，</w:t>
            </w:r>
            <w:r>
              <w:rPr>
                <w:rFonts w:hint="eastAsia" w:ascii="宋体" w:hAnsi="宋体" w:eastAsia="宋体" w:cs="宋体"/>
                <w:sz w:val="21"/>
                <w:szCs w:val="21"/>
                <w:highlight w:val="none"/>
                <w:lang w:val="en-US" w:eastAsia="zh-CN"/>
              </w:rPr>
              <w:t>得5分；</w:t>
            </w:r>
          </w:p>
          <w:p w14:paraId="482DD3FF">
            <w:pPr>
              <w:numPr>
                <w:ilvl w:val="0"/>
                <w:numId w:val="0"/>
              </w:numPr>
              <w:spacing w:line="320" w:lineRule="exact"/>
              <w:jc w:val="lef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3、流程笼统，仅提及设B角但无具体人选或协作程序，预案简单，可操作性不强，缺乏具体内容和保障的，得2分；</w:t>
            </w:r>
          </w:p>
          <w:p w14:paraId="0A2F34D0">
            <w:pPr>
              <w:numPr>
                <w:ilvl w:val="0"/>
                <w:numId w:val="0"/>
              </w:numPr>
              <w:spacing w:line="32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4、未提供或其他情况不得分。</w:t>
            </w:r>
          </w:p>
        </w:tc>
      </w:tr>
      <w:tr w14:paraId="3EA82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Merge w:val="continue"/>
            <w:vAlign w:val="center"/>
          </w:tcPr>
          <w:p w14:paraId="294A4D50">
            <w:pPr>
              <w:spacing w:line="320" w:lineRule="exact"/>
              <w:jc w:val="center"/>
              <w:rPr>
                <w:rFonts w:hint="eastAsia" w:ascii="宋体" w:hAnsi="宋体" w:eastAsia="宋体" w:cs="宋体"/>
                <w:sz w:val="21"/>
                <w:szCs w:val="21"/>
                <w:highlight w:val="none"/>
              </w:rPr>
            </w:pPr>
          </w:p>
        </w:tc>
        <w:tc>
          <w:tcPr>
            <w:tcW w:w="930" w:type="dxa"/>
            <w:vAlign w:val="center"/>
          </w:tcPr>
          <w:p w14:paraId="3131E621">
            <w:pPr>
              <w:spacing w:line="320" w:lineRule="exact"/>
              <w:jc w:val="center"/>
              <w:rPr>
                <w:rFonts w:hint="eastAsia" w:ascii="宋体" w:hAnsi="宋体" w:eastAsia="宋体"/>
                <w:sz w:val="21"/>
                <w:szCs w:val="21"/>
                <w:highlight w:val="none"/>
                <w:lang w:eastAsia="zh-CN"/>
              </w:rPr>
            </w:pPr>
            <w:r>
              <w:rPr>
                <w:rFonts w:hint="eastAsia" w:ascii="宋体" w:hAnsi="宋体" w:eastAsia="宋体"/>
                <w:sz w:val="21"/>
                <w:szCs w:val="21"/>
                <w:highlight w:val="none"/>
              </w:rPr>
              <w:t>询价网情况</w:t>
            </w:r>
          </w:p>
        </w:tc>
        <w:tc>
          <w:tcPr>
            <w:tcW w:w="850" w:type="dxa"/>
            <w:vAlign w:val="center"/>
          </w:tcPr>
          <w:p w14:paraId="3E314BC1">
            <w:pPr>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sz w:val="21"/>
                <w:szCs w:val="21"/>
                <w:highlight w:val="none"/>
                <w:lang w:val="en-US" w:eastAsia="zh-CN"/>
              </w:rPr>
              <w:t>2</w:t>
            </w:r>
            <w:r>
              <w:rPr>
                <w:rFonts w:hint="eastAsia" w:ascii="宋体" w:hAnsi="宋体" w:eastAsia="宋体"/>
                <w:sz w:val="21"/>
                <w:szCs w:val="21"/>
                <w:highlight w:val="none"/>
              </w:rPr>
              <w:t>分</w:t>
            </w:r>
          </w:p>
        </w:tc>
        <w:tc>
          <w:tcPr>
            <w:tcW w:w="6307" w:type="dxa"/>
            <w:vAlign w:val="center"/>
          </w:tcPr>
          <w:p w14:paraId="3525F9BF">
            <w:pPr>
              <w:numPr>
                <w:ilvl w:val="0"/>
                <w:numId w:val="0"/>
              </w:numPr>
              <w:spacing w:line="32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具有建筑与装饰或安装相关工程造价询价网有效使用权限的，每个询价网得1分，其他或未提供不得分。本项最高得分为</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分。</w:t>
            </w:r>
          </w:p>
          <w:p w14:paraId="3D59E342">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cs="宋体"/>
                <w:sz w:val="21"/>
                <w:szCs w:val="21"/>
                <w:highlight w:val="none"/>
              </w:rPr>
              <w:t>注:需在</w:t>
            </w:r>
            <w:r>
              <w:rPr>
                <w:rFonts w:hint="eastAsia" w:ascii="宋体" w:hAnsi="宋体" w:eastAsia="宋体" w:cs="宋体"/>
                <w:sz w:val="21"/>
                <w:szCs w:val="21"/>
                <w:highlight w:val="none"/>
                <w:lang w:val="en-US" w:eastAsia="zh-CN"/>
              </w:rPr>
              <w:t>响应</w:t>
            </w:r>
            <w:r>
              <w:rPr>
                <w:rFonts w:hint="eastAsia" w:ascii="宋体" w:hAnsi="宋体" w:eastAsia="宋体" w:cs="宋体"/>
                <w:sz w:val="21"/>
                <w:szCs w:val="21"/>
                <w:highlight w:val="none"/>
              </w:rPr>
              <w:t>文件中提供</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购买相应询价网使用权限的发票(或购买合同)复印件，并加盖</w:t>
            </w:r>
            <w:r>
              <w:rPr>
                <w:rFonts w:hint="eastAsia" w:ascii="宋体" w:hAnsi="宋体" w:eastAsia="宋体" w:cs="宋体"/>
                <w:sz w:val="21"/>
                <w:szCs w:val="21"/>
                <w:highlight w:val="none"/>
                <w:lang w:val="en-US" w:eastAsia="zh-CN"/>
              </w:rPr>
              <w:t>供应商</w:t>
            </w:r>
            <w:r>
              <w:rPr>
                <w:rFonts w:hint="eastAsia" w:ascii="宋体" w:hAnsi="宋体" w:eastAsia="宋体" w:cs="宋体"/>
                <w:sz w:val="21"/>
                <w:szCs w:val="21"/>
                <w:highlight w:val="none"/>
              </w:rPr>
              <w:t>单位公章，未提供不得分。</w:t>
            </w:r>
          </w:p>
        </w:tc>
      </w:tr>
      <w:tr w14:paraId="0D22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1112" w:type="dxa"/>
            <w:vAlign w:val="center"/>
          </w:tcPr>
          <w:p w14:paraId="468937B9">
            <w:pPr>
              <w:spacing w:line="32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报价部分</w:t>
            </w:r>
          </w:p>
          <w:p w14:paraId="71612C3F">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930" w:type="dxa"/>
            <w:vAlign w:val="center"/>
          </w:tcPr>
          <w:p w14:paraId="25517BB8">
            <w:pPr>
              <w:spacing w:line="320" w:lineRule="exact"/>
              <w:jc w:val="center"/>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折扣率</w:t>
            </w:r>
          </w:p>
        </w:tc>
        <w:tc>
          <w:tcPr>
            <w:tcW w:w="850" w:type="dxa"/>
            <w:vAlign w:val="center"/>
          </w:tcPr>
          <w:p w14:paraId="43B4C3B6">
            <w:pPr>
              <w:spacing w:line="32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10分</w:t>
            </w:r>
          </w:p>
        </w:tc>
        <w:tc>
          <w:tcPr>
            <w:tcW w:w="6307" w:type="dxa"/>
            <w:vAlign w:val="center"/>
          </w:tcPr>
          <w:p w14:paraId="5C09DE5A">
            <w:pPr>
              <w:numPr>
                <w:ilvl w:val="0"/>
                <w:numId w:val="0"/>
              </w:numPr>
              <w:spacing w:line="320" w:lineRule="exact"/>
              <w:jc w:val="left"/>
              <w:rPr>
                <w:rFonts w:hint="default" w:ascii="宋体" w:hAnsi="宋体" w:eastAsia="宋体"/>
                <w:sz w:val="21"/>
                <w:szCs w:val="21"/>
                <w:highlight w:val="none"/>
                <w:lang w:val="en-US" w:eastAsia="zh-CN"/>
              </w:rPr>
            </w:pPr>
            <w:r>
              <w:rPr>
                <w:rFonts w:hint="eastAsia" w:ascii="宋体" w:hAnsi="宋体" w:eastAsia="宋体"/>
                <w:sz w:val="21"/>
                <w:szCs w:val="21"/>
                <w:highlight w:val="none"/>
                <w:lang w:val="en-US" w:eastAsia="zh-CN"/>
              </w:rPr>
              <w:t>响应报价最后得分＝P/T×10</w:t>
            </w:r>
          </w:p>
          <w:p w14:paraId="073E13BA">
            <w:pPr>
              <w:numPr>
                <w:ilvl w:val="0"/>
                <w:numId w:val="0"/>
              </w:numPr>
              <w:spacing w:line="320" w:lineRule="exact"/>
              <w:jc w:val="left"/>
              <w:rPr>
                <w:rFonts w:hint="eastAsia" w:ascii="宋体" w:hAnsi="宋体" w:eastAsia="宋体"/>
                <w:sz w:val="21"/>
                <w:szCs w:val="21"/>
                <w:highlight w:val="none"/>
                <w:lang w:val="en-US" w:eastAsia="zh-CN"/>
              </w:rPr>
            </w:pPr>
            <w:r>
              <w:rPr>
                <w:rFonts w:hint="eastAsia" w:ascii="宋体" w:hAnsi="宋体" w:eastAsia="宋体"/>
                <w:sz w:val="21"/>
                <w:szCs w:val="21"/>
                <w:highlight w:val="none"/>
                <w:lang w:val="en-US" w:eastAsia="zh-CN"/>
              </w:rPr>
              <w:t>其中P为有效响应人响应的最低折扣率，T为各响应人的响应折扣率。</w:t>
            </w:r>
          </w:p>
        </w:tc>
      </w:tr>
    </w:tbl>
    <w:p w14:paraId="35E36F08">
      <w:pPr>
        <w:spacing w:line="320" w:lineRule="exact"/>
        <w:rPr>
          <w:rFonts w:ascii="宋体" w:hAnsi="宋体" w:eastAsia="宋体" w:cs="宋体"/>
          <w:sz w:val="21"/>
          <w:szCs w:val="21"/>
          <w:highlight w:val="none"/>
        </w:rPr>
      </w:pPr>
      <w:r>
        <w:rPr>
          <w:rFonts w:hint="eastAsia" w:ascii="宋体" w:hAnsi="宋体" w:eastAsia="宋体" w:cs="宋体"/>
          <w:sz w:val="21"/>
          <w:szCs w:val="21"/>
          <w:highlight w:val="none"/>
          <w:lang w:val="zh-TW" w:eastAsia="zh-TW"/>
        </w:rPr>
        <w:t>注：</w:t>
      </w:r>
      <w:r>
        <w:rPr>
          <w:rFonts w:hint="eastAsia" w:ascii="宋体" w:hAnsi="宋体" w:eastAsia="宋体" w:cs="宋体"/>
          <w:sz w:val="21"/>
          <w:szCs w:val="21"/>
          <w:highlight w:val="none"/>
        </w:rPr>
        <w:t>①</w:t>
      </w:r>
      <w:r>
        <w:rPr>
          <w:rFonts w:hint="eastAsia" w:ascii="宋体" w:hAnsi="宋体" w:eastAsia="宋体" w:cs="宋体"/>
          <w:sz w:val="21"/>
          <w:szCs w:val="21"/>
          <w:highlight w:val="none"/>
          <w:lang w:val="zh-TW" w:eastAsia="zh-TW"/>
        </w:rPr>
        <w:t>以上各评分项，若有缺项则该项不得</w:t>
      </w:r>
      <w:r>
        <w:rPr>
          <w:rFonts w:hint="eastAsia" w:ascii="宋体" w:hAnsi="宋体" w:eastAsia="宋体" w:cs="宋体"/>
          <w:sz w:val="21"/>
          <w:szCs w:val="21"/>
          <w:highlight w:val="none"/>
          <w:lang w:val="zh-TW"/>
        </w:rPr>
        <w:t>分。</w:t>
      </w:r>
    </w:p>
    <w:p w14:paraId="5C90D1E8">
      <w:pPr>
        <w:autoSpaceDE w:val="0"/>
        <w:autoSpaceDN w:val="0"/>
        <w:adjustRightInd w:val="0"/>
        <w:spacing w:line="320" w:lineRule="exact"/>
        <w:ind w:firstLine="420"/>
        <w:rPr>
          <w:rFonts w:ascii="宋体" w:hAnsi="宋体" w:eastAsia="宋体" w:cs="宋体"/>
          <w:sz w:val="21"/>
          <w:szCs w:val="21"/>
          <w:highlight w:val="none"/>
          <w:lang w:val="zh-TW"/>
        </w:rPr>
      </w:pPr>
      <w:r>
        <w:rPr>
          <w:rFonts w:hint="eastAsia" w:ascii="宋体" w:hAnsi="宋体" w:eastAsia="宋体" w:cs="宋体"/>
          <w:sz w:val="21"/>
          <w:szCs w:val="21"/>
          <w:highlight w:val="none"/>
        </w:rPr>
        <w:t>②</w:t>
      </w:r>
      <w:r>
        <w:rPr>
          <w:rFonts w:hint="eastAsia" w:ascii="宋体" w:hAnsi="宋体" w:eastAsia="宋体" w:cs="宋体"/>
          <w:sz w:val="21"/>
          <w:szCs w:val="21"/>
          <w:highlight w:val="none"/>
          <w:lang w:val="zh-TW" w:eastAsia="zh-TW"/>
        </w:rPr>
        <w:t>计分过程中按四舍五入的法则，最终结果取至小数点后</w:t>
      </w:r>
      <w:r>
        <w:rPr>
          <w:rFonts w:hint="eastAsia" w:ascii="宋体" w:hAnsi="宋体" w:eastAsia="宋体" w:cs="宋体"/>
          <w:sz w:val="21"/>
          <w:szCs w:val="21"/>
          <w:highlight w:val="none"/>
        </w:rPr>
        <w:t>2</w:t>
      </w:r>
      <w:r>
        <w:rPr>
          <w:rFonts w:hint="eastAsia" w:ascii="宋体" w:hAnsi="宋体" w:eastAsia="宋体" w:cs="宋体"/>
          <w:sz w:val="21"/>
          <w:szCs w:val="21"/>
          <w:highlight w:val="none"/>
          <w:lang w:val="zh-TW" w:eastAsia="zh-TW"/>
        </w:rPr>
        <w:t>位。</w:t>
      </w:r>
      <w:r>
        <w:rPr>
          <w:rFonts w:hint="eastAsia" w:ascii="宋体" w:hAnsi="宋体" w:eastAsia="宋体" w:cs="宋体"/>
          <w:kern w:val="0"/>
          <w:sz w:val="21"/>
          <w:szCs w:val="21"/>
          <w:highlight w:val="none"/>
        </w:rPr>
        <w:t>评审委员会对满足遴选文件实质性要求的遴选响应文件，按照遴选文件规定的评分标准进行打分。</w:t>
      </w:r>
    </w:p>
    <w:p w14:paraId="26F80657">
      <w:pPr>
        <w:tabs>
          <w:tab w:val="left" w:pos="1245"/>
        </w:tabs>
        <w:spacing w:line="360" w:lineRule="auto"/>
        <w:ind w:firstLine="422" w:firstLineChars="200"/>
        <w:outlineLvl w:val="2"/>
        <w:rPr>
          <w:rFonts w:eastAsia="宋体"/>
          <w:b/>
          <w:sz w:val="21"/>
          <w:szCs w:val="21"/>
          <w:highlight w:val="none"/>
          <w:lang w:eastAsia="zh-TW"/>
        </w:rPr>
      </w:pPr>
    </w:p>
    <w:p w14:paraId="57954EE2">
      <w:pPr>
        <w:pStyle w:val="23"/>
        <w:tabs>
          <w:tab w:val="left" w:pos="1365"/>
        </w:tabs>
        <w:spacing w:line="360" w:lineRule="auto"/>
        <w:outlineLvl w:val="1"/>
        <w:rPr>
          <w:rFonts w:ascii="Times New Roman" w:hAnsi="Times New Roman"/>
          <w:b/>
          <w:sz w:val="24"/>
          <w:szCs w:val="21"/>
          <w:highlight w:val="none"/>
        </w:rPr>
      </w:pPr>
      <w:bookmarkStart w:id="199" w:name="_Toc184723305"/>
      <w:r>
        <w:rPr>
          <w:rFonts w:hint="eastAsia" w:ascii="Times New Roman" w:hAnsi="Times New Roman"/>
          <w:b/>
          <w:sz w:val="24"/>
          <w:szCs w:val="21"/>
          <w:highlight w:val="none"/>
        </w:rPr>
        <w:t>三</w:t>
      </w:r>
      <w:r>
        <w:rPr>
          <w:rFonts w:ascii="Times New Roman" w:hAnsi="Times New Roman"/>
          <w:b/>
          <w:sz w:val="24"/>
          <w:szCs w:val="21"/>
          <w:highlight w:val="none"/>
        </w:rPr>
        <w:t>、</w:t>
      </w:r>
      <w:r>
        <w:rPr>
          <w:rFonts w:hint="eastAsia" w:ascii="Times New Roman" w:hAnsi="Times New Roman"/>
          <w:b/>
          <w:sz w:val="24"/>
          <w:szCs w:val="21"/>
          <w:highlight w:val="none"/>
        </w:rPr>
        <w:t>成交供应商的确定</w:t>
      </w:r>
      <w:bookmarkEnd w:id="199"/>
    </w:p>
    <w:p w14:paraId="2AF61666">
      <w:pPr>
        <w:spacing w:line="360" w:lineRule="auto"/>
        <w:ind w:firstLine="480" w:firstLineChars="200"/>
        <w:rPr>
          <w:rFonts w:eastAsia="宋体"/>
          <w:sz w:val="24"/>
          <w:szCs w:val="21"/>
          <w:highlight w:val="none"/>
        </w:rPr>
      </w:pPr>
      <w:r>
        <w:rPr>
          <w:rFonts w:hint="eastAsia" w:eastAsia="宋体"/>
          <w:sz w:val="24"/>
          <w:szCs w:val="21"/>
          <w:highlight w:val="none"/>
        </w:rPr>
        <w:t>1</w:t>
      </w:r>
      <w:r>
        <w:rPr>
          <w:rFonts w:eastAsia="宋体"/>
          <w:sz w:val="24"/>
          <w:szCs w:val="21"/>
          <w:highlight w:val="none"/>
        </w:rPr>
        <w:t>.</w:t>
      </w:r>
      <w:r>
        <w:rPr>
          <w:rFonts w:hint="eastAsia" w:eastAsia="宋体"/>
          <w:sz w:val="24"/>
          <w:szCs w:val="21"/>
          <w:highlight w:val="none"/>
        </w:rPr>
        <w:t>推荐成交候选报价供应商名单：将各有效遴选供应商按其评审得分（由高到低）顺序排列并排名。</w:t>
      </w:r>
    </w:p>
    <w:p w14:paraId="63871FA6">
      <w:pPr>
        <w:spacing w:line="360" w:lineRule="auto"/>
        <w:ind w:firstLine="480" w:firstLineChars="200"/>
        <w:rPr>
          <w:rFonts w:hint="eastAsia" w:eastAsia="宋体"/>
          <w:color w:val="auto"/>
          <w:sz w:val="24"/>
          <w:szCs w:val="21"/>
          <w:highlight w:val="none"/>
        </w:rPr>
      </w:pPr>
      <w:r>
        <w:rPr>
          <w:rFonts w:hint="eastAsia" w:eastAsia="宋体"/>
          <w:color w:val="auto"/>
          <w:sz w:val="24"/>
          <w:szCs w:val="21"/>
          <w:highlight w:val="none"/>
        </w:rPr>
        <w:t>2.评审得分最高的六家供应商为中选供应商。若</w:t>
      </w:r>
      <w:r>
        <w:rPr>
          <w:rFonts w:hint="eastAsia" w:eastAsia="宋体"/>
          <w:color w:val="auto"/>
          <w:sz w:val="24"/>
          <w:szCs w:val="21"/>
          <w:highlight w:val="none"/>
          <w:lang w:val="en-US" w:eastAsia="zh-CN"/>
        </w:rPr>
        <w:t>存在</w:t>
      </w:r>
      <w:r>
        <w:rPr>
          <w:rFonts w:hint="eastAsia" w:eastAsia="宋体"/>
          <w:color w:val="auto"/>
          <w:sz w:val="24"/>
          <w:szCs w:val="21"/>
          <w:highlight w:val="none"/>
        </w:rPr>
        <w:t>并列</w:t>
      </w:r>
      <w:r>
        <w:rPr>
          <w:rFonts w:hint="eastAsia" w:eastAsia="宋体"/>
          <w:color w:val="auto"/>
          <w:sz w:val="24"/>
          <w:szCs w:val="21"/>
          <w:highlight w:val="none"/>
          <w:lang w:val="en-US" w:eastAsia="zh-CN"/>
        </w:rPr>
        <w:t>情况</w:t>
      </w:r>
      <w:r>
        <w:rPr>
          <w:rFonts w:hint="eastAsia" w:eastAsia="宋体"/>
          <w:color w:val="auto"/>
          <w:sz w:val="24"/>
          <w:szCs w:val="21"/>
          <w:highlight w:val="none"/>
        </w:rPr>
        <w:t>，则按以下规则确定中选资格：</w:t>
      </w:r>
    </w:p>
    <w:p w14:paraId="789CBBFE">
      <w:pPr>
        <w:spacing w:line="360" w:lineRule="auto"/>
        <w:ind w:firstLine="480" w:firstLineChars="200"/>
        <w:rPr>
          <w:rFonts w:hint="eastAsia" w:eastAsia="宋体"/>
          <w:color w:val="auto"/>
          <w:sz w:val="24"/>
          <w:szCs w:val="21"/>
          <w:highlight w:val="none"/>
        </w:rPr>
      </w:pPr>
      <w:r>
        <w:rPr>
          <w:rFonts w:hint="eastAsia" w:eastAsia="宋体"/>
          <w:color w:val="auto"/>
          <w:sz w:val="24"/>
          <w:szCs w:val="21"/>
          <w:highlight w:val="none"/>
          <w:lang w:val="en-US" w:eastAsia="zh-CN"/>
        </w:rPr>
        <w:t>①</w:t>
      </w:r>
      <w:r>
        <w:rPr>
          <w:rFonts w:hint="eastAsia" w:eastAsia="宋体"/>
          <w:color w:val="auto"/>
          <w:sz w:val="24"/>
          <w:szCs w:val="21"/>
          <w:highlight w:val="none"/>
        </w:rPr>
        <w:t>如并列情况未导致候选供应商总数超过六家，则全部中选。</w:t>
      </w:r>
    </w:p>
    <w:p w14:paraId="179437BE">
      <w:pPr>
        <w:spacing w:line="360" w:lineRule="auto"/>
        <w:ind w:firstLine="480" w:firstLineChars="200"/>
        <w:rPr>
          <w:rFonts w:eastAsia="宋体"/>
          <w:sz w:val="24"/>
          <w:szCs w:val="21"/>
          <w:highlight w:val="none"/>
        </w:rPr>
      </w:pPr>
      <w:r>
        <w:rPr>
          <w:rFonts w:hint="eastAsia" w:eastAsia="宋体"/>
          <w:color w:val="auto"/>
          <w:sz w:val="24"/>
          <w:szCs w:val="21"/>
          <w:highlight w:val="none"/>
          <w:lang w:val="en-US" w:eastAsia="zh-CN"/>
        </w:rPr>
        <w:t>②</w:t>
      </w:r>
      <w:r>
        <w:rPr>
          <w:rFonts w:hint="eastAsia" w:eastAsia="宋体"/>
          <w:color w:val="auto"/>
          <w:sz w:val="24"/>
          <w:szCs w:val="21"/>
          <w:highlight w:val="none"/>
        </w:rPr>
        <w:t>如并列</w:t>
      </w:r>
      <w:r>
        <w:rPr>
          <w:rFonts w:hint="eastAsia" w:eastAsia="宋体"/>
          <w:color w:val="auto"/>
          <w:sz w:val="24"/>
          <w:szCs w:val="21"/>
          <w:highlight w:val="none"/>
          <w:lang w:val="en-US" w:eastAsia="zh-CN"/>
        </w:rPr>
        <w:t>情况</w:t>
      </w:r>
      <w:r>
        <w:rPr>
          <w:rFonts w:hint="eastAsia" w:eastAsia="宋体"/>
          <w:color w:val="auto"/>
          <w:sz w:val="24"/>
          <w:szCs w:val="21"/>
          <w:highlight w:val="none"/>
        </w:rPr>
        <w:t>导致候选供应商总数超过六家，则优先依据</w:t>
      </w:r>
      <w:r>
        <w:rPr>
          <w:rFonts w:hint="eastAsia" w:eastAsia="宋体"/>
          <w:color w:val="auto"/>
          <w:sz w:val="24"/>
          <w:szCs w:val="21"/>
          <w:highlight w:val="none"/>
          <w:lang w:val="en-US" w:eastAsia="zh-CN"/>
        </w:rPr>
        <w:t>价格部分得分高低确定排名；若价格部分得分仍相同，则依据</w:t>
      </w:r>
      <w:r>
        <w:rPr>
          <w:rFonts w:hint="eastAsia" w:eastAsia="宋体"/>
          <w:color w:val="auto"/>
          <w:sz w:val="24"/>
          <w:szCs w:val="21"/>
          <w:highlight w:val="none"/>
        </w:rPr>
        <w:t>技术部分得分高低确定排名；若技术部分得分仍相同，则</w:t>
      </w:r>
      <w:r>
        <w:rPr>
          <w:rFonts w:hint="eastAsia" w:eastAsia="宋体"/>
          <w:color w:val="auto"/>
          <w:sz w:val="24"/>
          <w:szCs w:val="21"/>
          <w:highlight w:val="none"/>
          <w:lang w:val="en-US" w:eastAsia="zh-CN"/>
        </w:rPr>
        <w:t>依据商务部分得分高低确定排名；若商务部分得分仍相同，则</w:t>
      </w:r>
      <w:r>
        <w:rPr>
          <w:rFonts w:hint="eastAsia" w:eastAsia="宋体"/>
          <w:color w:val="auto"/>
          <w:sz w:val="24"/>
          <w:szCs w:val="21"/>
          <w:highlight w:val="none"/>
        </w:rPr>
        <w:t>在医院内审监察委员会人员监督下，通过随机抽取方式确定最终中选供应商，直至补足六家为止。</w:t>
      </w:r>
      <w:r>
        <w:rPr>
          <w:sz w:val="36"/>
          <w:szCs w:val="28"/>
          <w:highlight w:val="none"/>
        </w:rPr>
        <w:br w:type="page"/>
      </w:r>
    </w:p>
    <w:p w14:paraId="46515477">
      <w:pPr>
        <w:pStyle w:val="2"/>
        <w:keepNext w:val="0"/>
        <w:keepLines w:val="0"/>
        <w:spacing w:before="0" w:after="0" w:line="360" w:lineRule="auto"/>
        <w:jc w:val="center"/>
        <w:rPr>
          <w:rFonts w:ascii="Times New Roman"/>
          <w:sz w:val="36"/>
          <w:szCs w:val="28"/>
          <w:highlight w:val="none"/>
        </w:rPr>
      </w:pPr>
      <w:bookmarkStart w:id="200" w:name="_Toc184723306"/>
      <w:r>
        <w:rPr>
          <w:rFonts w:ascii="Times New Roman"/>
          <w:sz w:val="36"/>
          <w:szCs w:val="28"/>
          <w:highlight w:val="none"/>
        </w:rPr>
        <w:t>第五部分</w:t>
      </w:r>
      <w:bookmarkEnd w:id="186"/>
      <w:bookmarkEnd w:id="187"/>
      <w:bookmarkEnd w:id="188"/>
      <w:bookmarkEnd w:id="189"/>
      <w:bookmarkEnd w:id="190"/>
      <w:bookmarkStart w:id="201" w:name="_Toc51939458"/>
      <w:bookmarkStart w:id="202" w:name="_Toc52027928"/>
      <w:bookmarkStart w:id="203" w:name="_Toc51756493"/>
      <w:bookmarkStart w:id="204" w:name="_Toc231028109"/>
      <w:bookmarkStart w:id="205" w:name="_Toc56353013"/>
      <w:bookmarkStart w:id="206" w:name="_Toc52021540"/>
      <w:r>
        <w:rPr>
          <w:rFonts w:hint="eastAsia" w:ascii="Times New Roman"/>
          <w:sz w:val="36"/>
          <w:szCs w:val="28"/>
          <w:highlight w:val="none"/>
        </w:rPr>
        <w:t xml:space="preserve"> 合同</w:t>
      </w:r>
      <w:r>
        <w:rPr>
          <w:rFonts w:ascii="Times New Roman"/>
          <w:sz w:val="36"/>
          <w:szCs w:val="28"/>
          <w:highlight w:val="none"/>
        </w:rPr>
        <w:t>书格式</w:t>
      </w:r>
      <w:bookmarkEnd w:id="200"/>
      <w:bookmarkEnd w:id="201"/>
      <w:bookmarkEnd w:id="202"/>
      <w:bookmarkEnd w:id="203"/>
      <w:bookmarkEnd w:id="204"/>
      <w:bookmarkEnd w:id="205"/>
      <w:bookmarkEnd w:id="206"/>
    </w:p>
    <w:p w14:paraId="40AB7A9F">
      <w:pPr>
        <w:spacing w:line="360" w:lineRule="auto"/>
        <w:jc w:val="center"/>
        <w:outlineLvl w:val="1"/>
        <w:rPr>
          <w:rFonts w:ascii="宋体" w:hAnsi="宋体" w:eastAsia="宋体"/>
          <w:sz w:val="36"/>
          <w:highlight w:val="none"/>
        </w:rPr>
      </w:pPr>
      <w:bookmarkStart w:id="207" w:name="_Toc184723307"/>
      <w:r>
        <w:rPr>
          <w:rFonts w:hint="eastAsia" w:ascii="宋体" w:hAnsi="宋体" w:eastAsia="宋体"/>
          <w:b/>
          <w:bCs/>
          <w:sz w:val="36"/>
          <w:highlight w:val="none"/>
        </w:rPr>
        <w:t>（</w:t>
      </w:r>
      <w:r>
        <w:rPr>
          <w:rFonts w:hint="eastAsia" w:eastAsia="宋体"/>
          <w:b/>
          <w:kern w:val="44"/>
          <w:sz w:val="36"/>
          <w:szCs w:val="28"/>
          <w:highlight w:val="none"/>
        </w:rPr>
        <w:t>提供参考，具体内容由采购人及中选人协商制定）</w:t>
      </w:r>
      <w:bookmarkEnd w:id="207"/>
    </w:p>
    <w:bookmarkEnd w:id="191"/>
    <w:bookmarkEnd w:id="192"/>
    <w:bookmarkEnd w:id="193"/>
    <w:bookmarkEnd w:id="194"/>
    <w:bookmarkEnd w:id="195"/>
    <w:bookmarkEnd w:id="196"/>
    <w:p w14:paraId="1E685225">
      <w:pPr>
        <w:jc w:val="center"/>
        <w:rPr>
          <w:highlight w:val="none"/>
        </w:rPr>
      </w:pPr>
      <w:bookmarkStart w:id="208" w:name="_Toc179863374"/>
      <w:bookmarkStart w:id="209" w:name="_Toc130700696"/>
      <w:bookmarkStart w:id="210" w:name="_Toc68692538"/>
      <w:bookmarkStart w:id="211" w:name="_Toc465148449"/>
      <w:bookmarkStart w:id="212" w:name="_Toc463067548"/>
      <w:bookmarkStart w:id="213" w:name="_Toc525038118"/>
      <w:bookmarkStart w:id="214" w:name="_Toc463071832"/>
      <w:bookmarkStart w:id="215" w:name="_Toc130745579"/>
      <w:bookmarkStart w:id="216" w:name="_Toc206902161"/>
      <w:bookmarkStart w:id="217" w:name="_Toc463071379"/>
      <w:bookmarkStart w:id="218" w:name="_Toc56353015"/>
      <w:bookmarkStart w:id="219" w:name="_Toc52027930"/>
      <w:bookmarkStart w:id="220" w:name="_Toc51939472"/>
      <w:bookmarkStart w:id="221" w:name="_Toc51756507"/>
      <w:bookmarkStart w:id="222" w:name="_Toc52021542"/>
      <w:bookmarkStart w:id="223" w:name="_Toc467236767"/>
      <w:bookmarkStart w:id="224" w:name="_Toc486671571"/>
      <w:bookmarkStart w:id="225" w:name="_Toc458262637"/>
      <w:bookmarkStart w:id="226" w:name="_Toc476976199"/>
      <w:bookmarkStart w:id="227" w:name="_Toc454701404"/>
      <w:r>
        <w:rPr>
          <w:highlight w:val="none"/>
        </w:rPr>
        <w:br w:type="page"/>
      </w:r>
      <w:bookmarkStart w:id="228" w:name="OLE_LINK3"/>
      <w:bookmarkStart w:id="229" w:name="OLE_LINK2"/>
      <w:bookmarkStart w:id="230" w:name="_Toc78354640"/>
    </w:p>
    <w:p w14:paraId="136B149A">
      <w:pPr>
        <w:jc w:val="center"/>
        <w:rPr>
          <w:rFonts w:hint="default"/>
          <w:sz w:val="36"/>
          <w:szCs w:val="22"/>
          <w:highlight w:val="none"/>
          <w:lang w:val="en-US" w:eastAsia="zh-CN"/>
        </w:rPr>
      </w:pPr>
      <w:r>
        <w:rPr>
          <w:rFonts w:hint="eastAsia"/>
          <w:sz w:val="36"/>
          <w:szCs w:val="22"/>
          <w:highlight w:val="none"/>
          <w:lang w:val="en-US" w:eastAsia="zh-CN"/>
        </w:rPr>
        <w:t>开平市中医院</w:t>
      </w:r>
      <w:r>
        <w:rPr>
          <w:rFonts w:hint="eastAsia"/>
          <w:b w:val="0"/>
          <w:bCs w:val="0"/>
          <w:sz w:val="36"/>
          <w:szCs w:val="22"/>
          <w:highlight w:val="none"/>
          <w:lang w:val="en-US" w:eastAsia="zh-CN"/>
        </w:rPr>
        <w:t>2026-2028</w:t>
      </w:r>
      <w:r>
        <w:rPr>
          <w:rFonts w:hint="eastAsia"/>
          <w:sz w:val="36"/>
          <w:szCs w:val="22"/>
          <w:highlight w:val="none"/>
          <w:lang w:val="en-US" w:eastAsia="zh-CN"/>
        </w:rPr>
        <w:t>年度工程造价咨询服务供应商资格选取项目采购协议</w:t>
      </w:r>
    </w:p>
    <w:p w14:paraId="6FCB2F01">
      <w:pPr>
        <w:pStyle w:val="17"/>
        <w:jc w:val="center"/>
        <w:rPr>
          <w:rFonts w:hint="eastAsia"/>
          <w:sz w:val="36"/>
          <w:szCs w:val="22"/>
          <w:highlight w:val="none"/>
          <w:lang w:val="en-US" w:eastAsia="zh-CN"/>
        </w:rPr>
      </w:pPr>
      <w:r>
        <w:rPr>
          <w:rFonts w:hint="eastAsia"/>
          <w:sz w:val="36"/>
          <w:szCs w:val="22"/>
          <w:highlight w:val="none"/>
          <w:lang w:val="en-US" w:eastAsia="zh-CN"/>
        </w:rPr>
        <w:t>（参考范本）</w:t>
      </w:r>
    </w:p>
    <w:p w14:paraId="08F85593">
      <w:pPr>
        <w:pStyle w:val="17"/>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协议编号：</w:t>
      </w:r>
    </w:p>
    <w:p w14:paraId="04929598">
      <w:pPr>
        <w:pStyle w:val="23"/>
        <w:spacing w:line="360" w:lineRule="auto"/>
        <w:outlineLvl w:val="1"/>
        <w:rPr>
          <w:rFonts w:hAnsi="宋体"/>
          <w:sz w:val="24"/>
          <w:szCs w:val="24"/>
          <w:highlight w:val="none"/>
        </w:rPr>
      </w:pPr>
      <w:r>
        <w:rPr>
          <w:rFonts w:hint="eastAsia" w:hAnsi="宋体"/>
          <w:sz w:val="24"/>
          <w:szCs w:val="24"/>
          <w:highlight w:val="none"/>
        </w:rPr>
        <w:t>甲方：开平市中医院</w:t>
      </w:r>
    </w:p>
    <w:p w14:paraId="6C4F26FC">
      <w:pPr>
        <w:pStyle w:val="23"/>
        <w:spacing w:line="360" w:lineRule="auto"/>
        <w:outlineLvl w:val="1"/>
        <w:rPr>
          <w:rFonts w:hAnsi="宋体"/>
          <w:sz w:val="24"/>
          <w:szCs w:val="24"/>
          <w:highlight w:val="none"/>
        </w:rPr>
      </w:pPr>
      <w:r>
        <w:rPr>
          <w:rFonts w:hint="eastAsia" w:hAnsi="宋体"/>
          <w:sz w:val="24"/>
          <w:szCs w:val="24"/>
          <w:highlight w:val="none"/>
        </w:rPr>
        <w:t>乙方：</w:t>
      </w:r>
    </w:p>
    <w:p w14:paraId="46115C45">
      <w:pPr>
        <w:pStyle w:val="23"/>
        <w:spacing w:line="360" w:lineRule="auto"/>
        <w:ind w:firstLine="482"/>
        <w:outlineLvl w:val="1"/>
        <w:rPr>
          <w:rFonts w:hAnsi="宋体"/>
          <w:sz w:val="24"/>
          <w:szCs w:val="24"/>
          <w:highlight w:val="none"/>
        </w:rPr>
      </w:pPr>
      <w:r>
        <w:rPr>
          <w:rFonts w:hint="eastAsia" w:hAnsi="宋体"/>
          <w:sz w:val="24"/>
          <w:szCs w:val="24"/>
          <w:highlight w:val="none"/>
        </w:rPr>
        <w:t>甲乙双方根据《中华人民共和国民法典》等法律法规的规定，按照2025年**月**日</w:t>
      </w:r>
      <w:r>
        <w:rPr>
          <w:rFonts w:hint="eastAsia" w:hAnsi="宋体"/>
          <w:sz w:val="24"/>
          <w:szCs w:val="24"/>
          <w:highlight w:val="none"/>
          <w:lang w:val="en-US" w:eastAsia="zh-CN"/>
        </w:rPr>
        <w:t>开平市中医院2026-2028年度工程造价咨询服务供应商资格选取项目</w:t>
      </w:r>
      <w:r>
        <w:rPr>
          <w:rFonts w:hint="eastAsia" w:hAnsi="宋体"/>
          <w:sz w:val="24"/>
          <w:szCs w:val="24"/>
          <w:highlight w:val="none"/>
        </w:rPr>
        <w:t>（采购编号：）的中选结果、遴选文件、乙方的响应文件和成交通知书的要求，经双方协商一致签订本协议</w:t>
      </w:r>
      <w:r>
        <w:rPr>
          <w:rFonts w:hint="eastAsia" w:hAnsi="宋体"/>
          <w:sz w:val="24"/>
          <w:szCs w:val="24"/>
          <w:highlight w:val="none"/>
          <w:lang w:eastAsia="zh-CN"/>
        </w:rPr>
        <w:t>（</w:t>
      </w:r>
      <w:r>
        <w:rPr>
          <w:rFonts w:hint="eastAsia" w:hAnsi="宋体"/>
          <w:sz w:val="24"/>
          <w:szCs w:val="24"/>
          <w:highlight w:val="none"/>
          <w:lang w:val="en-US" w:eastAsia="zh-CN"/>
        </w:rPr>
        <w:t>下称“协议”</w:t>
      </w:r>
      <w:r>
        <w:rPr>
          <w:rFonts w:hint="eastAsia" w:hAnsi="宋体"/>
          <w:sz w:val="24"/>
          <w:szCs w:val="24"/>
          <w:highlight w:val="none"/>
          <w:lang w:eastAsia="zh-CN"/>
        </w:rPr>
        <w:t>）</w:t>
      </w:r>
      <w:r>
        <w:rPr>
          <w:rFonts w:hint="eastAsia" w:hAnsi="宋体"/>
          <w:sz w:val="24"/>
          <w:szCs w:val="24"/>
          <w:highlight w:val="none"/>
        </w:rPr>
        <w:t>。</w:t>
      </w:r>
    </w:p>
    <w:p w14:paraId="5A6B4AA5">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第一条 协议基础与入库</w:t>
      </w:r>
    </w:p>
    <w:p w14:paraId="181CBA31">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1、甲方通过院内遴选方式，确定乙方符合工程造价咨询服务机构资格要求，同意乙方纳入甲方“工程造价咨询服务机构备选库”（下称“服务机构库”）。</w:t>
      </w:r>
    </w:p>
    <w:p w14:paraId="5C2E8BCB">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val="0"/>
          <w:bCs/>
          <w:sz w:val="24"/>
          <w:highlight w:val="none"/>
          <w:lang w:val="en-US" w:eastAsia="zh-CN"/>
        </w:rPr>
        <w:t>2、本协议为框架协议，具体服务内容、费用等以双方就单个项目另行签订的《建设工程造价咨询合同》（见附件二）为准。</w:t>
      </w:r>
    </w:p>
    <w:p w14:paraId="4355BDB7">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第二条 服务期限</w:t>
      </w:r>
    </w:p>
    <w:p w14:paraId="45CB01C2">
      <w:pPr>
        <w:numPr>
          <w:ilvl w:val="0"/>
          <w:numId w:val="0"/>
        </w:numPr>
        <w:tabs>
          <w:tab w:val="right" w:pos="9072"/>
        </w:tabs>
        <w:adjustRightInd w:val="0"/>
        <w:spacing w:line="480" w:lineRule="exact"/>
        <w:ind w:firstLine="480" w:firstLineChars="200"/>
        <w:jc w:val="left"/>
        <w:textAlignment w:val="top"/>
        <w:rPr>
          <w:rFonts w:hint="eastAsia" w:ascii="宋体" w:hAnsi="宋体" w:eastAsia="宋体" w:cs="宋体"/>
          <w:sz w:val="24"/>
          <w:szCs w:val="24"/>
          <w:highlight w:val="none"/>
        </w:rPr>
      </w:pPr>
      <w:r>
        <w:rPr>
          <w:rFonts w:hint="eastAsia" w:ascii="宋体" w:hAnsi="宋体" w:eastAsia="宋体" w:cs="宋体"/>
          <w:sz w:val="24"/>
          <w:szCs w:val="24"/>
          <w:highlight w:val="none"/>
        </w:rPr>
        <w:t>本</w:t>
      </w:r>
      <w:r>
        <w:rPr>
          <w:rFonts w:hint="eastAsia" w:ascii="宋体" w:hAnsi="宋体" w:eastAsia="宋体" w:cs="宋体"/>
          <w:sz w:val="24"/>
          <w:szCs w:val="24"/>
          <w:highlight w:val="none"/>
          <w:lang w:val="en-US" w:eastAsia="zh-CN"/>
        </w:rPr>
        <w:t>协议</w:t>
      </w:r>
      <w:r>
        <w:rPr>
          <w:rFonts w:hint="eastAsia" w:ascii="宋体" w:hAnsi="宋体" w:eastAsia="宋体" w:cs="宋体"/>
          <w:sz w:val="24"/>
          <w:szCs w:val="24"/>
          <w:highlight w:val="none"/>
        </w:rPr>
        <w:t>服务期限自</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日起至</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日止。</w:t>
      </w:r>
    </w:p>
    <w:p w14:paraId="6EEDA924">
      <w:pPr>
        <w:adjustRightInd w:val="0"/>
        <w:spacing w:line="480" w:lineRule="exact"/>
        <w:ind w:firstLine="481"/>
        <w:jc w:val="left"/>
        <w:textAlignment w:val="top"/>
        <w:rPr>
          <w:rFonts w:hint="eastAsia" w:ascii="宋体" w:hAnsi="宋体" w:eastAsia="宋体" w:cs="宋体"/>
          <w:sz w:val="22"/>
          <w:highlight w:val="none"/>
          <w:lang w:val="en-US" w:eastAsia="zh-CN"/>
        </w:rPr>
      </w:pPr>
      <w:r>
        <w:rPr>
          <w:rFonts w:hint="eastAsia" w:ascii="宋体" w:hAnsi="宋体" w:eastAsia="宋体" w:cs="宋体"/>
          <w:sz w:val="24"/>
          <w:szCs w:val="24"/>
          <w:highlight w:val="none"/>
          <w:lang w:val="en-US" w:eastAsia="zh-CN"/>
        </w:rPr>
        <w:t>项目服务期限内，每12个月为一年度，项目服务协议采用“一年度一签”方式签订。中选供应商在年度协议期内考核合格的，该年度协议到期后，可续签下一年协议；如有中选供应商在年度协议期内考核不合格或有重大违法记录的，甲方有权终止协议，并可以从中选候选人中按排名顺序另行确定新的中选供应商替补或公开遴选补充。</w:t>
      </w:r>
    </w:p>
    <w:p w14:paraId="02F9213E">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第三条 服务内容与要求</w:t>
      </w:r>
    </w:p>
    <w:p w14:paraId="22E397E5">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1、根据项目现场实际情况或施工图纸，依据工程量清单计价规范及市场价格信息，精准编制或审核施工图预算、工程量清单及招标控制价，保证清单项目完整、工程量准确、组价合理，满足招标采购需求；</w:t>
      </w:r>
    </w:p>
    <w:p w14:paraId="27CA0CF2">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2、接收施工单位提交的竣工结算资料，全面审核结算书的真实性、准确性、合规性，核对工程量、综合单价、取费标准、材料价格等，编制或审核竣工结算报告；协助医院开展结算争议协调、审计对接工作；</w:t>
      </w:r>
    </w:p>
    <w:p w14:paraId="2FCBD0B8">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 xml:space="preserve">3、提供工程造价政策法规咨询、市场价格信息调研、造价管理专题培训、项目造价后评价等服务；根据医院需求，参与工程相关会议并提供造价专业意见。 </w:t>
      </w:r>
    </w:p>
    <w:p w14:paraId="0B307A85">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val="0"/>
          <w:bCs/>
          <w:sz w:val="24"/>
          <w:highlight w:val="none"/>
          <w:lang w:val="en-US" w:eastAsia="zh-CN"/>
        </w:rPr>
        <w:t>4、服务质量须严格遵守国家规范、行业标准及遴选文件中的服务质量要求，并对成果文件承担质量终身责任。</w:t>
      </w:r>
    </w:p>
    <w:p w14:paraId="0E3BE67D">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第四条 具体项目委托与执行</w:t>
      </w:r>
    </w:p>
    <w:p w14:paraId="02AAF0A1">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1、委托方式：采用库内轮序选取的方式委托服务，乙方须无条件配合甲方在广东省网上中介服务超市完成所有项目的报名工作。</w:t>
      </w:r>
    </w:p>
    <w:p w14:paraId="39A28DCF">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val="0"/>
          <w:bCs/>
          <w:sz w:val="24"/>
          <w:highlight w:val="none"/>
          <w:lang w:val="en-US" w:eastAsia="zh-CN"/>
        </w:rPr>
        <w:t>2、任务确认：双方就单个项目签订《建设工程造价咨询合同》（下称“合同”），明确项目概况、具体服务内容、完成时限、项目负责人、服务费用及支付方式等。该合同与本协议具有同等法律效力。</w:t>
      </w:r>
    </w:p>
    <w:p w14:paraId="29A568D3">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第五条 服务费用与支付</w:t>
      </w:r>
    </w:p>
    <w:p w14:paraId="5D327AE2">
      <w:pPr>
        <w:adjustRightInd w:val="0"/>
        <w:spacing w:line="480" w:lineRule="exact"/>
        <w:ind w:firstLine="481"/>
        <w:jc w:val="left"/>
        <w:textAlignment w:val="top"/>
        <w:rPr>
          <w:rFonts w:hint="default"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服务费计取原则：单个项目服务费按照开平市卫生健康局《关于加强开平市医疗卫生单位建设工程前期费用及网上中介服务超市规范管理的通知》（开卫字(2019)371号）的封顶比例计算的服务费用为基数，再乘以中选折扣率得出最终服务费用。如最终服务费用小于600元，则按600元支付。</w:t>
      </w:r>
    </w:p>
    <w:p w14:paraId="3DADA431">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val="0"/>
          <w:bCs/>
          <w:sz w:val="24"/>
          <w:highlight w:val="none"/>
          <w:lang w:val="en-US" w:eastAsia="zh-CN"/>
        </w:rPr>
        <w:t>2、支付方式：在具体项目合同中约定，通常按工作进度或成果交付节点支付。</w:t>
      </w:r>
    </w:p>
    <w:p w14:paraId="50DF1BC9">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第六条 甲方权利与义务</w:t>
      </w:r>
    </w:p>
    <w:p w14:paraId="510C1F52">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1、对乙方服务工作进行监督、检查，提出合理建议。</w:t>
      </w:r>
    </w:p>
    <w:p w14:paraId="664756D1">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2、依据考核办法（见第八条）对乙方进行定期考核。</w:t>
      </w:r>
    </w:p>
    <w:p w14:paraId="376E452F">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3、按要求提供项目基础资料，为乙方现场工作提供必要便利。</w:t>
      </w:r>
    </w:p>
    <w:p w14:paraId="001717AE">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val="0"/>
          <w:bCs/>
          <w:sz w:val="24"/>
          <w:highlight w:val="none"/>
          <w:lang w:val="en-US" w:eastAsia="zh-CN"/>
        </w:rPr>
        <w:t>4、按约定支付服务费用。</w:t>
      </w:r>
    </w:p>
    <w:p w14:paraId="610D004C">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第七条 乙方权利与义务</w:t>
      </w:r>
    </w:p>
    <w:p w14:paraId="3D6A350C">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1、要求甲方提供与服务工作相关的必要资料和必要工作条件。</w:t>
      </w:r>
    </w:p>
    <w:p w14:paraId="278DF6BA">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2、按约定收取服务费用。</w:t>
      </w:r>
    </w:p>
    <w:p w14:paraId="40815E9C">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3、按约定时间及质量要求完成工作，提交成果报告，并做好档案管理。</w:t>
      </w:r>
    </w:p>
    <w:p w14:paraId="3AC34CFE">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4、未经甲方书面同意，不得将服务任务转包或分包。</w:t>
      </w:r>
    </w:p>
    <w:p w14:paraId="1DED1D8B">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5、应回避任何可能影响公正履职的利益关系，并履行保密义务。</w:t>
      </w:r>
    </w:p>
    <w:p w14:paraId="41F3D527">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val="0"/>
          <w:bCs/>
          <w:sz w:val="24"/>
          <w:highlight w:val="none"/>
          <w:lang w:val="en-US" w:eastAsia="zh-CN"/>
        </w:rPr>
        <w:t>6、接受并配合甲方的监督与考核。</w:t>
      </w:r>
    </w:p>
    <w:p w14:paraId="1F1E1315">
      <w:pPr>
        <w:adjustRightInd w:val="0"/>
        <w:spacing w:line="480" w:lineRule="exact"/>
        <w:ind w:firstLine="481"/>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第八条 入库供应商管理、考核与退出</w:t>
      </w:r>
    </w:p>
    <w:p w14:paraId="4E179A94">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1、考核机制：甲方将建立服务绩效量化考核表，从响应及时性、沟通配合度、成果质量、专业水平、职业道德等方面，对乙方完成的每个项目进行评价。</w:t>
      </w:r>
    </w:p>
    <w:p w14:paraId="76398615">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2、暂停委托：乙方出现以下情形，甲方可暂停向其委托新项目一次：</w:t>
      </w:r>
    </w:p>
    <w:p w14:paraId="51464141">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（1）不在规定时限内配合甲方在广东省网上中介服务超市完成报名；</w:t>
      </w:r>
    </w:p>
    <w:p w14:paraId="607FE2D0">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（2）单次项目考核不合格；</w:t>
      </w:r>
    </w:p>
    <w:p w14:paraId="025144FD">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（3）非不可抗力原因拒绝接受委托；</w:t>
      </w:r>
    </w:p>
    <w:p w14:paraId="2433B3C5">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（4）未经同意擅自更换项目负责人；</w:t>
      </w:r>
    </w:p>
    <w:p w14:paraId="2332783C">
      <w:pPr>
        <w:adjustRightInd w:val="0"/>
        <w:spacing w:line="480" w:lineRule="exact"/>
        <w:ind w:firstLine="481"/>
        <w:jc w:val="left"/>
        <w:textAlignment w:val="top"/>
        <w:rPr>
          <w:rFonts w:hint="eastAsia" w:ascii="宋体" w:hAnsi="宋体" w:eastAsia="宋体" w:cs="Times New Roman"/>
          <w:kern w:val="2"/>
          <w:sz w:val="24"/>
          <w:highlight w:val="none"/>
          <w:lang w:val="en-US" w:eastAsia="zh-CN" w:bidi="ar-SA"/>
        </w:rPr>
      </w:pPr>
      <w:r>
        <w:rPr>
          <w:rFonts w:hint="eastAsia" w:ascii="宋体" w:hAnsi="宋体" w:eastAsia="宋体"/>
          <w:b w:val="0"/>
          <w:bCs/>
          <w:sz w:val="24"/>
          <w:highlight w:val="none"/>
          <w:lang w:val="en-US" w:eastAsia="zh-CN"/>
        </w:rPr>
        <w:t>（5）</w:t>
      </w:r>
      <w:r>
        <w:rPr>
          <w:rFonts w:hint="eastAsia" w:ascii="宋体" w:hAnsi="宋体" w:eastAsia="宋体" w:cs="Times New Roman"/>
          <w:kern w:val="2"/>
          <w:sz w:val="24"/>
          <w:highlight w:val="none"/>
          <w:lang w:val="en-US" w:eastAsia="zh-CN" w:bidi="ar-SA"/>
        </w:rPr>
        <w:t>乙方将服务转包或分包给第三方；</w:t>
      </w:r>
    </w:p>
    <w:p w14:paraId="154A2B08">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cs="Times New Roman"/>
          <w:kern w:val="2"/>
          <w:sz w:val="24"/>
          <w:highlight w:val="none"/>
          <w:lang w:val="en-US" w:eastAsia="zh-CN" w:bidi="ar-SA"/>
        </w:rPr>
        <w:t>（6）</w:t>
      </w:r>
      <w:r>
        <w:rPr>
          <w:rFonts w:hint="eastAsia" w:ascii="宋体" w:hAnsi="宋体" w:eastAsia="宋体"/>
          <w:b w:val="0"/>
          <w:bCs/>
          <w:sz w:val="24"/>
          <w:highlight w:val="none"/>
          <w:lang w:val="en-US" w:eastAsia="zh-CN"/>
        </w:rPr>
        <w:t>出现重大成果质量差错。</w:t>
      </w:r>
    </w:p>
    <w:p w14:paraId="32B55E55">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3、退出机制：乙方出现以下情形，甲方有权单方终止本协议，将其清退出库：</w:t>
      </w:r>
    </w:p>
    <w:p w14:paraId="7C2A6380">
      <w:pPr>
        <w:adjustRightInd w:val="0"/>
        <w:spacing w:line="480" w:lineRule="exact"/>
        <w:ind w:firstLine="481"/>
        <w:jc w:val="left"/>
        <w:textAlignment w:val="top"/>
        <w:rPr>
          <w:rFonts w:hint="default"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（1）年度累计三次不在规定时限内配合甲方在广东省网上中介服务超市完成报名；</w:t>
      </w:r>
    </w:p>
    <w:p w14:paraId="44860074">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（2）年度累计两次项目考核不合格；</w:t>
      </w:r>
    </w:p>
    <w:p w14:paraId="3037CBE2">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（2）年度累计三次拒绝接受委托；</w:t>
      </w:r>
    </w:p>
    <w:p w14:paraId="4ED513D3">
      <w:pPr>
        <w:adjustRightInd w:val="0"/>
        <w:spacing w:line="480" w:lineRule="exact"/>
        <w:ind w:firstLine="481"/>
        <w:jc w:val="left"/>
        <w:textAlignment w:val="top"/>
        <w:rPr>
          <w:rFonts w:hint="eastAsia" w:ascii="宋体" w:hAnsi="宋体" w:eastAsia="宋体" w:cs="Times New Roman"/>
          <w:kern w:val="2"/>
          <w:sz w:val="24"/>
          <w:highlight w:val="none"/>
          <w:lang w:val="en-US" w:eastAsia="zh-CN" w:bidi="ar-SA"/>
        </w:rPr>
      </w:pPr>
      <w:r>
        <w:rPr>
          <w:rFonts w:hint="eastAsia" w:ascii="宋体" w:hAnsi="宋体" w:eastAsia="宋体"/>
          <w:b w:val="0"/>
          <w:bCs/>
          <w:sz w:val="24"/>
          <w:highlight w:val="none"/>
          <w:lang w:val="en-US" w:eastAsia="zh-CN"/>
        </w:rPr>
        <w:t>（3）年度累计三次</w:t>
      </w:r>
      <w:r>
        <w:rPr>
          <w:rFonts w:hint="eastAsia" w:ascii="宋体" w:hAnsi="宋体" w:eastAsia="宋体" w:cs="Times New Roman"/>
          <w:kern w:val="2"/>
          <w:sz w:val="24"/>
          <w:highlight w:val="none"/>
          <w:lang w:val="en-US" w:eastAsia="zh-CN" w:bidi="ar-SA"/>
        </w:rPr>
        <w:t>将服务转包或分包给第三方；</w:t>
      </w:r>
    </w:p>
    <w:p w14:paraId="65B12D1A">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cs="Times New Roman"/>
          <w:kern w:val="2"/>
          <w:sz w:val="24"/>
          <w:highlight w:val="none"/>
          <w:lang w:val="en-US" w:eastAsia="zh-CN" w:bidi="ar-SA"/>
        </w:rPr>
        <w:t>（4）</w:t>
      </w:r>
      <w:r>
        <w:rPr>
          <w:rFonts w:hint="eastAsia" w:ascii="宋体" w:hAnsi="宋体" w:eastAsia="宋体"/>
          <w:b w:val="0"/>
          <w:bCs/>
          <w:sz w:val="24"/>
          <w:highlight w:val="none"/>
          <w:lang w:val="en-US" w:eastAsia="zh-CN"/>
        </w:rPr>
        <w:t>因过错给甲方造成重大经济损失；</w:t>
      </w:r>
    </w:p>
    <w:p w14:paraId="22E3EA7C">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（5）存在商业贿赂等严重不正当竞争行为；</w:t>
      </w:r>
    </w:p>
    <w:p w14:paraId="5B4E5D07">
      <w:pPr>
        <w:adjustRightInd w:val="0"/>
        <w:spacing w:line="480" w:lineRule="exact"/>
        <w:ind w:firstLine="481"/>
        <w:jc w:val="left"/>
        <w:textAlignment w:val="top"/>
        <w:rPr>
          <w:rFonts w:hint="eastAsia" w:ascii="宋体" w:hAnsi="宋体" w:eastAsia="宋体"/>
          <w:b w:val="0"/>
          <w:bCs/>
          <w:sz w:val="24"/>
          <w:highlight w:val="none"/>
          <w:lang w:val="en-US" w:eastAsia="zh-CN"/>
        </w:rPr>
      </w:pPr>
      <w:r>
        <w:rPr>
          <w:rFonts w:hint="eastAsia" w:ascii="宋体" w:hAnsi="宋体" w:eastAsia="宋体"/>
          <w:b w:val="0"/>
          <w:bCs/>
          <w:sz w:val="24"/>
          <w:highlight w:val="none"/>
          <w:lang w:val="en-US" w:eastAsia="zh-CN"/>
        </w:rPr>
        <w:t>（6）企业资质、信用丧失或主要人员资格不符，经通知未整改；</w:t>
      </w:r>
    </w:p>
    <w:p w14:paraId="2DCD5AA9">
      <w:pPr>
        <w:adjustRightInd w:val="0"/>
        <w:spacing w:line="480" w:lineRule="exact"/>
        <w:ind w:firstLine="481"/>
        <w:jc w:val="left"/>
        <w:textAlignment w:val="top"/>
        <w:rPr>
          <w:rFonts w:hint="eastAsia" w:eastAsia="仿宋_GB2312"/>
          <w:highlight w:val="none"/>
          <w:lang w:eastAsia="zh-CN"/>
        </w:rPr>
      </w:pPr>
      <w:r>
        <w:rPr>
          <w:rFonts w:hint="eastAsia" w:ascii="宋体" w:hAnsi="宋体" w:eastAsia="宋体"/>
          <w:b w:val="0"/>
          <w:bCs/>
          <w:sz w:val="24"/>
          <w:highlight w:val="none"/>
          <w:lang w:val="en-US" w:eastAsia="zh-CN"/>
        </w:rPr>
        <w:t>（7）其他严重违约或违法行为。</w:t>
      </w:r>
    </w:p>
    <w:p w14:paraId="3BFE1A3E">
      <w:pPr>
        <w:numPr>
          <w:ilvl w:val="0"/>
          <w:numId w:val="0"/>
        </w:num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b/>
          <w:sz w:val="24"/>
          <w:highlight w:val="none"/>
          <w:lang w:val="en-US" w:eastAsia="zh-CN"/>
        </w:rPr>
        <w:t xml:space="preserve">第九条 </w:t>
      </w:r>
      <w:r>
        <w:rPr>
          <w:rFonts w:hint="eastAsia" w:ascii="宋体" w:hAnsi="宋体" w:eastAsia="宋体"/>
          <w:b/>
          <w:sz w:val="24"/>
          <w:highlight w:val="none"/>
        </w:rPr>
        <w:t xml:space="preserve"> </w:t>
      </w:r>
      <w:r>
        <w:rPr>
          <w:rFonts w:hint="eastAsia" w:ascii="宋体" w:hAnsi="宋体" w:eastAsia="宋体"/>
          <w:b/>
          <w:sz w:val="24"/>
          <w:highlight w:val="none"/>
          <w:lang w:val="en-US" w:eastAsia="zh-CN"/>
        </w:rPr>
        <w:t>双方违约责任</w:t>
      </w:r>
    </w:p>
    <w:p w14:paraId="31C63704">
      <w:pPr>
        <w:adjustRightInd w:val="0"/>
        <w:spacing w:line="480" w:lineRule="exact"/>
        <w:ind w:firstLine="480" w:firstLineChars="200"/>
        <w:textAlignment w:val="top"/>
        <w:rPr>
          <w:rFonts w:hint="eastAsia" w:ascii="宋体" w:hAnsi="宋体" w:eastAsia="宋体"/>
          <w:strike/>
          <w:dstrike w:val="0"/>
          <w:sz w:val="24"/>
          <w:highlight w:val="none"/>
        </w:rPr>
      </w:pPr>
      <w:r>
        <w:rPr>
          <w:rFonts w:hint="eastAsia" w:ascii="宋体" w:hAnsi="宋体" w:eastAsia="宋体"/>
          <w:sz w:val="24"/>
          <w:highlight w:val="none"/>
          <w:lang w:val="en-US" w:eastAsia="zh-CN"/>
        </w:rPr>
        <w:t>1、</w:t>
      </w:r>
      <w:r>
        <w:rPr>
          <w:rFonts w:hint="eastAsia" w:ascii="宋体" w:hAnsi="宋体" w:eastAsia="宋体"/>
          <w:sz w:val="24"/>
          <w:highlight w:val="none"/>
        </w:rPr>
        <w:t>若</w:t>
      </w:r>
      <w:r>
        <w:rPr>
          <w:rFonts w:hint="eastAsia" w:ascii="宋体" w:hAnsi="宋体" w:eastAsia="宋体"/>
          <w:sz w:val="24"/>
          <w:highlight w:val="none"/>
          <w:lang w:val="en-US" w:eastAsia="zh-CN"/>
        </w:rPr>
        <w:t>乙方</w:t>
      </w:r>
      <w:r>
        <w:rPr>
          <w:rFonts w:hint="eastAsia" w:ascii="宋体" w:hAnsi="宋体" w:eastAsia="宋体"/>
          <w:sz w:val="24"/>
          <w:highlight w:val="none"/>
        </w:rPr>
        <w:t>违反</w:t>
      </w:r>
      <w:r>
        <w:rPr>
          <w:rFonts w:hint="eastAsia" w:ascii="宋体" w:hAnsi="宋体" w:eastAsia="宋体"/>
          <w:sz w:val="24"/>
          <w:highlight w:val="none"/>
          <w:lang w:val="en-US" w:eastAsia="zh-CN"/>
        </w:rPr>
        <w:t>协议或</w:t>
      </w:r>
      <w:r>
        <w:rPr>
          <w:rFonts w:hint="eastAsia" w:ascii="宋体" w:hAnsi="宋体" w:eastAsia="宋体"/>
          <w:sz w:val="24"/>
          <w:highlight w:val="none"/>
        </w:rPr>
        <w:t>合同约定，出现服务质量不合格、延误工作或违规操作等情况，</w:t>
      </w:r>
      <w:r>
        <w:rPr>
          <w:rFonts w:hint="eastAsia" w:ascii="宋体" w:hAnsi="宋体" w:eastAsia="宋体"/>
          <w:sz w:val="24"/>
          <w:highlight w:val="none"/>
          <w:lang w:val="en-US" w:eastAsia="zh-CN"/>
        </w:rPr>
        <w:t>甲方</w:t>
      </w:r>
      <w:r>
        <w:rPr>
          <w:rFonts w:hint="eastAsia" w:ascii="宋体" w:hAnsi="宋体" w:eastAsia="宋体"/>
          <w:sz w:val="24"/>
          <w:highlight w:val="none"/>
        </w:rPr>
        <w:t>有权扣除相应服务费用，情节严重的可终止合同</w:t>
      </w:r>
      <w:r>
        <w:rPr>
          <w:rFonts w:hint="eastAsia" w:ascii="宋体" w:hAnsi="宋体" w:eastAsia="宋体"/>
          <w:sz w:val="24"/>
          <w:highlight w:val="none"/>
          <w:lang w:val="en-US" w:eastAsia="zh-CN"/>
        </w:rPr>
        <w:t>或协议</w:t>
      </w:r>
      <w:r>
        <w:rPr>
          <w:rFonts w:hint="eastAsia" w:ascii="宋体" w:hAnsi="宋体" w:eastAsia="宋体"/>
          <w:sz w:val="24"/>
          <w:highlight w:val="none"/>
        </w:rPr>
        <w:t>，并要求其承担赔偿责任。</w:t>
      </w:r>
    </w:p>
    <w:p w14:paraId="37B0CE0F">
      <w:pPr>
        <w:widowControl w:val="0"/>
        <w:adjustRightInd w:val="0"/>
        <w:spacing w:line="480" w:lineRule="exact"/>
        <w:ind w:firstLine="480"/>
        <w:jc w:val="both"/>
        <w:textAlignment w:val="top"/>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2、若甲乙双方因违反法律及相关规定，导致合同被宣告无效，有过错的一方应承担赔偿责任；若双方均存在过错，则各自承担相应责任。</w:t>
      </w:r>
    </w:p>
    <w:p w14:paraId="74DA0A6E">
      <w:pPr>
        <w:widowControl w:val="0"/>
        <w:adjustRightInd w:val="0"/>
        <w:spacing w:line="480" w:lineRule="exact"/>
        <w:ind w:firstLine="480"/>
        <w:jc w:val="both"/>
        <w:textAlignment w:val="top"/>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3、乙方未按合同约定完成服务的，每逾期一日按该项目服务费用的1%向甲方支付违约金；</w:t>
      </w:r>
      <w:r>
        <w:rPr>
          <w:rFonts w:ascii="Segoe UI" w:hAnsi="Segoe UI" w:eastAsia="Segoe UI" w:cs="Segoe UI"/>
          <w:i w:val="0"/>
          <w:iCs w:val="0"/>
          <w:caps w:val="0"/>
          <w:color w:val="0F1115"/>
          <w:spacing w:val="0"/>
          <w:sz w:val="24"/>
          <w:szCs w:val="24"/>
          <w:highlight w:val="none"/>
          <w:shd w:val="clear" w:fill="FFFFFF"/>
        </w:rPr>
        <w:t>因乙方成果文件质量低劣、错漏造成甲方损失的，乙方应承担相应赔偿责任。</w:t>
      </w:r>
    </w:p>
    <w:p w14:paraId="483B680E">
      <w:pPr>
        <w:widowControl w:val="0"/>
        <w:adjustRightInd w:val="0"/>
        <w:spacing w:line="480" w:lineRule="exact"/>
        <w:ind w:firstLine="480"/>
        <w:jc w:val="both"/>
        <w:textAlignment w:val="top"/>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4、乙方违反保密义务的，向甲方支付违约金5万元；造成甲方损失的，违约金不足以弥补损失部分由乙方承担。</w:t>
      </w:r>
    </w:p>
    <w:p w14:paraId="077051EA">
      <w:pPr>
        <w:widowControl w:val="0"/>
        <w:adjustRightInd w:val="0"/>
        <w:spacing w:line="480" w:lineRule="exact"/>
        <w:ind w:firstLine="480"/>
        <w:jc w:val="both"/>
        <w:textAlignment w:val="top"/>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5.乙方将服务转包或分包给第三方的，甲方有权立即终止合同，乙方需承担甲方全部损失，并支付该项目服务费用50%的违约金。</w:t>
      </w:r>
    </w:p>
    <w:p w14:paraId="1CE1204C">
      <w:pPr>
        <w:tabs>
          <w:tab w:val="left" w:pos="1350"/>
        </w:tabs>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w:t>
      </w:r>
      <w:r>
        <w:rPr>
          <w:rFonts w:hint="eastAsia" w:ascii="宋体" w:hAnsi="宋体" w:eastAsia="宋体"/>
          <w:b/>
          <w:sz w:val="24"/>
          <w:highlight w:val="none"/>
          <w:lang w:val="en-US" w:eastAsia="zh-CN"/>
        </w:rPr>
        <w:t>十</w:t>
      </w:r>
      <w:r>
        <w:rPr>
          <w:rFonts w:hint="eastAsia" w:ascii="宋体" w:hAnsi="宋体" w:eastAsia="宋体"/>
          <w:b/>
          <w:sz w:val="24"/>
          <w:highlight w:val="none"/>
        </w:rPr>
        <w:t>条  不可抗力</w:t>
      </w:r>
    </w:p>
    <w:p w14:paraId="4098917A">
      <w:pPr>
        <w:pStyle w:val="18"/>
        <w:ind w:left="0" w:firstLine="480" w:firstLineChars="200"/>
        <w:textAlignment w:val="top"/>
        <w:rPr>
          <w:rFonts w:ascii="宋体" w:hAnsi="宋体" w:eastAsia="宋体"/>
          <w:sz w:val="24"/>
          <w:szCs w:val="24"/>
          <w:highlight w:val="none"/>
        </w:rPr>
      </w:pPr>
      <w:r>
        <w:rPr>
          <w:rFonts w:hint="eastAsia" w:ascii="宋体" w:hAnsi="宋体" w:eastAsia="宋体"/>
          <w:sz w:val="24"/>
          <w:szCs w:val="24"/>
          <w:highlight w:val="none"/>
        </w:rPr>
        <w:t>甲乙双方任何一方由于不可抗力原因不能履行</w:t>
      </w:r>
      <w:r>
        <w:rPr>
          <w:rFonts w:hint="eastAsia" w:ascii="宋体" w:hAnsi="宋体" w:eastAsia="宋体"/>
          <w:sz w:val="24"/>
          <w:szCs w:val="24"/>
          <w:highlight w:val="none"/>
          <w:lang w:val="en-US" w:eastAsia="zh-CN"/>
        </w:rPr>
        <w:t>合同或协议</w:t>
      </w:r>
      <w:r>
        <w:rPr>
          <w:rFonts w:hint="eastAsia" w:ascii="宋体" w:hAnsi="宋体" w:eastAsia="宋体"/>
          <w:sz w:val="24"/>
          <w:szCs w:val="24"/>
          <w:highlight w:val="none"/>
        </w:rPr>
        <w:t>时，应及时向对方通报不能履行或不能完全履行的理由，以减轻可能给对方造成的损失，在取得有关机构证明后，允许延期履行、部分履行或不履行合同</w:t>
      </w:r>
      <w:r>
        <w:rPr>
          <w:rFonts w:hint="eastAsia" w:ascii="宋体" w:hAnsi="宋体" w:eastAsia="宋体"/>
          <w:sz w:val="24"/>
          <w:szCs w:val="24"/>
          <w:highlight w:val="none"/>
          <w:lang w:val="en-US" w:eastAsia="zh-CN"/>
        </w:rPr>
        <w:t>或协议</w:t>
      </w:r>
      <w:r>
        <w:rPr>
          <w:rFonts w:hint="eastAsia" w:ascii="宋体" w:hAnsi="宋体" w:eastAsia="宋体"/>
          <w:sz w:val="24"/>
          <w:szCs w:val="24"/>
          <w:highlight w:val="none"/>
        </w:rPr>
        <w:t>，并根据情况可部分或全部免予承担违约责任。</w:t>
      </w:r>
    </w:p>
    <w:p w14:paraId="4583AC9E">
      <w:pPr>
        <w:adjustRightInd w:val="0"/>
        <w:spacing w:line="480" w:lineRule="exact"/>
        <w:ind w:firstLine="482" w:firstLineChars="200"/>
        <w:jc w:val="left"/>
        <w:textAlignment w:val="top"/>
        <w:rPr>
          <w:rFonts w:ascii="宋体" w:hAnsi="宋体" w:eastAsia="宋体"/>
          <w:b/>
          <w:sz w:val="24"/>
          <w:highlight w:val="none"/>
        </w:rPr>
      </w:pPr>
      <w:r>
        <w:rPr>
          <w:rFonts w:hint="eastAsia" w:ascii="宋体" w:hAnsi="宋体" w:eastAsia="宋体"/>
          <w:b/>
          <w:sz w:val="24"/>
          <w:highlight w:val="none"/>
        </w:rPr>
        <w:t>第</w:t>
      </w:r>
      <w:r>
        <w:rPr>
          <w:rFonts w:hint="eastAsia" w:ascii="宋体" w:hAnsi="宋体" w:eastAsia="宋体"/>
          <w:b/>
          <w:sz w:val="24"/>
          <w:highlight w:val="none"/>
          <w:lang w:val="en-US" w:eastAsia="zh-CN"/>
        </w:rPr>
        <w:t>十一</w:t>
      </w:r>
      <w:r>
        <w:rPr>
          <w:rFonts w:hint="eastAsia" w:ascii="宋体" w:hAnsi="宋体" w:eastAsia="宋体"/>
          <w:b/>
          <w:sz w:val="24"/>
          <w:highlight w:val="none"/>
        </w:rPr>
        <w:t>条  争议的解决</w:t>
      </w:r>
    </w:p>
    <w:p w14:paraId="52CF5104">
      <w:pPr>
        <w:adjustRightInd w:val="0"/>
        <w:spacing w:line="480" w:lineRule="exact"/>
        <w:ind w:firstLine="480" w:firstLineChars="200"/>
        <w:textAlignment w:val="top"/>
        <w:rPr>
          <w:rFonts w:ascii="宋体" w:hAnsi="宋体" w:eastAsia="宋体"/>
          <w:sz w:val="24"/>
          <w:highlight w:val="none"/>
        </w:rPr>
      </w:pPr>
      <w:r>
        <w:rPr>
          <w:rFonts w:hint="eastAsia" w:ascii="宋体" w:hAnsi="宋体" w:eastAsia="宋体"/>
          <w:sz w:val="24"/>
          <w:highlight w:val="none"/>
        </w:rPr>
        <w:t>若执行本</w:t>
      </w:r>
      <w:r>
        <w:rPr>
          <w:rFonts w:hint="eastAsia" w:ascii="宋体" w:hAnsi="宋体" w:eastAsia="宋体"/>
          <w:sz w:val="24"/>
          <w:highlight w:val="none"/>
          <w:lang w:val="en-US" w:eastAsia="zh-CN"/>
        </w:rPr>
        <w:t>协议</w:t>
      </w:r>
      <w:r>
        <w:rPr>
          <w:rFonts w:hint="eastAsia" w:ascii="宋体" w:hAnsi="宋体" w:eastAsia="宋体"/>
          <w:sz w:val="24"/>
          <w:highlight w:val="none"/>
        </w:rPr>
        <w:t>的过程中发生纠纷，双方当事人应当及时协商解决；协商不成时，可向</w:t>
      </w:r>
      <w:r>
        <w:rPr>
          <w:rFonts w:hint="eastAsia" w:ascii="宋体" w:hAnsi="宋体" w:eastAsia="宋体"/>
          <w:sz w:val="24"/>
          <w:highlight w:val="none"/>
          <w:lang w:val="en-US" w:eastAsia="zh-CN"/>
        </w:rPr>
        <w:t>协议</w:t>
      </w:r>
      <w:r>
        <w:rPr>
          <w:rFonts w:hint="eastAsia" w:ascii="宋体" w:hAnsi="宋体" w:eastAsia="宋体"/>
          <w:sz w:val="24"/>
          <w:highlight w:val="none"/>
        </w:rPr>
        <w:t>签订地人民法院提起诉讼。</w:t>
      </w:r>
    </w:p>
    <w:p w14:paraId="2FCD4FC9">
      <w:pPr>
        <w:tabs>
          <w:tab w:val="left" w:pos="1350"/>
        </w:tabs>
        <w:adjustRightInd w:val="0"/>
        <w:spacing w:line="480" w:lineRule="exact"/>
        <w:ind w:firstLine="482" w:firstLineChars="200"/>
        <w:jc w:val="left"/>
        <w:textAlignment w:val="top"/>
        <w:rPr>
          <w:rFonts w:hint="default" w:ascii="宋体" w:hAnsi="宋体" w:eastAsia="宋体"/>
          <w:b/>
          <w:sz w:val="24"/>
          <w:highlight w:val="none"/>
          <w:lang w:val="en-US" w:eastAsia="zh-CN"/>
        </w:rPr>
      </w:pPr>
      <w:r>
        <w:rPr>
          <w:rFonts w:hint="eastAsia" w:ascii="宋体" w:hAnsi="宋体" w:eastAsia="宋体"/>
          <w:b/>
          <w:sz w:val="24"/>
          <w:highlight w:val="none"/>
        </w:rPr>
        <w:t>第</w:t>
      </w:r>
      <w:r>
        <w:rPr>
          <w:rFonts w:hint="eastAsia" w:ascii="宋体" w:hAnsi="宋体" w:eastAsia="宋体"/>
          <w:b/>
          <w:sz w:val="24"/>
          <w:highlight w:val="none"/>
          <w:lang w:val="en-US" w:eastAsia="zh-CN"/>
        </w:rPr>
        <w:t>十二</w:t>
      </w:r>
      <w:r>
        <w:rPr>
          <w:rFonts w:hint="eastAsia" w:ascii="宋体" w:hAnsi="宋体" w:eastAsia="宋体"/>
          <w:b/>
          <w:sz w:val="24"/>
          <w:highlight w:val="none"/>
        </w:rPr>
        <w:t>条  无效</w:t>
      </w:r>
      <w:r>
        <w:rPr>
          <w:rFonts w:hint="eastAsia" w:ascii="宋体" w:hAnsi="宋体" w:eastAsia="宋体"/>
          <w:b/>
          <w:sz w:val="24"/>
          <w:highlight w:val="none"/>
          <w:lang w:val="en-US" w:eastAsia="zh-CN"/>
        </w:rPr>
        <w:t>协议/协议终止</w:t>
      </w:r>
    </w:p>
    <w:p w14:paraId="4E0E60A6">
      <w:pPr>
        <w:pStyle w:val="17"/>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1.服务期限届满且双方无续签意愿的，</w:t>
      </w:r>
      <w:r>
        <w:rPr>
          <w:rFonts w:hint="eastAsia" w:ascii="宋体" w:hAnsi="宋体" w:eastAsia="宋体" w:cs="宋体"/>
          <w:sz w:val="24"/>
          <w:szCs w:val="24"/>
          <w:highlight w:val="none"/>
          <w:lang w:val="en-US" w:eastAsia="zh-CN"/>
        </w:rPr>
        <w:t>协议</w:t>
      </w:r>
      <w:r>
        <w:rPr>
          <w:rFonts w:hint="eastAsia" w:ascii="宋体" w:hAnsi="宋体" w:eastAsia="宋体" w:cs="宋体"/>
          <w:sz w:val="24"/>
          <w:szCs w:val="24"/>
          <w:highlight w:val="none"/>
        </w:rPr>
        <w:t>自动终止；</w:t>
      </w:r>
    </w:p>
    <w:p w14:paraId="3A3EC672">
      <w:pPr>
        <w:pStyle w:val="17"/>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若一方出现严重违约行为，致使</w:t>
      </w:r>
      <w:r>
        <w:rPr>
          <w:rFonts w:hint="eastAsia" w:ascii="宋体" w:hAnsi="宋体" w:eastAsia="宋体" w:cs="宋体"/>
          <w:sz w:val="24"/>
          <w:szCs w:val="24"/>
          <w:highlight w:val="none"/>
          <w:lang w:val="en-US" w:eastAsia="zh-CN"/>
        </w:rPr>
        <w:t>协议</w:t>
      </w:r>
      <w:r>
        <w:rPr>
          <w:rFonts w:hint="eastAsia" w:ascii="宋体" w:hAnsi="宋体" w:eastAsia="宋体" w:cs="宋体"/>
          <w:sz w:val="24"/>
          <w:szCs w:val="24"/>
          <w:highlight w:val="none"/>
          <w:lang w:eastAsia="zh-CN"/>
        </w:rPr>
        <w:t>无法继续履行，另一方有权以书面形式通知对方终止</w:t>
      </w:r>
      <w:r>
        <w:rPr>
          <w:rFonts w:hint="eastAsia" w:ascii="宋体" w:hAnsi="宋体" w:eastAsia="宋体" w:cs="宋体"/>
          <w:sz w:val="24"/>
          <w:szCs w:val="24"/>
          <w:highlight w:val="none"/>
          <w:lang w:val="en-US" w:eastAsia="zh-CN"/>
        </w:rPr>
        <w:t>协议</w:t>
      </w:r>
      <w:r>
        <w:rPr>
          <w:rFonts w:hint="eastAsia" w:ascii="宋体" w:hAnsi="宋体" w:eastAsia="宋体" w:cs="宋体"/>
          <w:sz w:val="24"/>
          <w:szCs w:val="24"/>
          <w:highlight w:val="none"/>
          <w:lang w:eastAsia="zh-CN"/>
        </w:rPr>
        <w:t>。</w:t>
      </w:r>
    </w:p>
    <w:p w14:paraId="0AF8DE2B">
      <w:pPr>
        <w:numPr>
          <w:ilvl w:val="0"/>
          <w:numId w:val="0"/>
        </w:numPr>
        <w:adjustRightInd w:val="0"/>
        <w:spacing w:line="480" w:lineRule="exact"/>
        <w:ind w:firstLine="482" w:firstLineChars="200"/>
        <w:jc w:val="left"/>
        <w:textAlignment w:val="top"/>
        <w:rPr>
          <w:rFonts w:hint="eastAsia" w:ascii="宋体" w:hAnsi="宋体" w:eastAsia="宋体"/>
          <w:b/>
          <w:sz w:val="24"/>
          <w:highlight w:val="none"/>
          <w:lang w:val="en-US" w:eastAsia="zh-CN"/>
        </w:rPr>
      </w:pPr>
      <w:r>
        <w:rPr>
          <w:rFonts w:hint="eastAsia" w:ascii="宋体" w:hAnsi="宋体" w:eastAsia="宋体" w:cs="Times New Roman"/>
          <w:b/>
          <w:kern w:val="2"/>
          <w:sz w:val="24"/>
          <w:highlight w:val="none"/>
          <w:lang w:val="en-US" w:eastAsia="zh-CN" w:bidi="ar-SA"/>
        </w:rPr>
        <w:t>第十三条</w:t>
      </w:r>
      <w:r>
        <w:rPr>
          <w:rFonts w:hint="eastAsia" w:ascii="宋体" w:hAnsi="宋体" w:eastAsia="宋体"/>
          <w:b/>
          <w:sz w:val="24"/>
          <w:highlight w:val="none"/>
          <w:lang w:val="en-US" w:eastAsia="zh-CN"/>
        </w:rPr>
        <w:t xml:space="preserve">   保密要求</w:t>
      </w:r>
    </w:p>
    <w:p w14:paraId="2F3EDA00">
      <w:pPr>
        <w:pStyle w:val="17"/>
        <w:ind w:firstLine="480" w:firstLineChars="200"/>
        <w:rPr>
          <w:rFonts w:hint="default" w:ascii="宋体" w:hAnsi="宋体" w:eastAsia="宋体"/>
          <w:b/>
          <w:sz w:val="24"/>
          <w:highlight w:val="none"/>
          <w:lang w:val="en-US" w:eastAsia="zh-CN"/>
        </w:rPr>
      </w:pPr>
      <w:r>
        <w:rPr>
          <w:rFonts w:hint="eastAsia" w:ascii="宋体" w:hAnsi="宋体" w:eastAsia="宋体" w:cs="宋体"/>
          <w:sz w:val="24"/>
          <w:szCs w:val="24"/>
          <w:highlight w:val="none"/>
          <w:lang w:val="en-US" w:eastAsia="zh-CN"/>
        </w:rPr>
        <w:t>乙方</w:t>
      </w:r>
      <w:r>
        <w:rPr>
          <w:rFonts w:hint="eastAsia" w:ascii="宋体" w:hAnsi="宋体" w:eastAsia="宋体" w:cs="宋体"/>
          <w:b w:val="0"/>
          <w:bCs/>
          <w:sz w:val="24"/>
          <w:szCs w:val="24"/>
          <w:highlight w:val="none"/>
          <w:lang w:val="en-US" w:eastAsia="zh-CN"/>
        </w:rPr>
        <w:t>在参与本次遴选及后续服务过程中，对接触到的甲方商业秘密、项目信息及相关资料负有保密义务，未经允许不得向任何第三方泄露，保密义务在服务结束后仍然有效。</w:t>
      </w:r>
    </w:p>
    <w:p w14:paraId="0245E4F9">
      <w:pPr>
        <w:numPr>
          <w:ilvl w:val="0"/>
          <w:numId w:val="0"/>
        </w:numPr>
        <w:adjustRightInd w:val="0"/>
        <w:spacing w:line="480" w:lineRule="exact"/>
        <w:ind w:firstLine="482" w:firstLineChars="200"/>
        <w:jc w:val="left"/>
        <w:textAlignment w:val="top"/>
        <w:rPr>
          <w:rFonts w:hint="eastAsia" w:ascii="宋体" w:hAnsi="宋体" w:eastAsia="宋体"/>
          <w:b/>
          <w:sz w:val="24"/>
          <w:highlight w:val="none"/>
        </w:rPr>
      </w:pPr>
      <w:r>
        <w:rPr>
          <w:rFonts w:hint="eastAsia" w:ascii="宋体" w:hAnsi="宋体" w:eastAsia="宋体" w:cs="Times New Roman"/>
          <w:b/>
          <w:kern w:val="2"/>
          <w:sz w:val="24"/>
          <w:highlight w:val="none"/>
          <w:lang w:val="en-US" w:eastAsia="zh-CN" w:bidi="ar-SA"/>
        </w:rPr>
        <w:t xml:space="preserve">第十四条  </w:t>
      </w:r>
      <w:r>
        <w:rPr>
          <w:rFonts w:hint="eastAsia" w:ascii="宋体" w:hAnsi="宋体" w:eastAsia="宋体"/>
          <w:b/>
          <w:sz w:val="24"/>
          <w:highlight w:val="none"/>
        </w:rPr>
        <w:t>附则</w:t>
      </w:r>
    </w:p>
    <w:p w14:paraId="467A0467">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（一）本</w:t>
      </w:r>
      <w:r>
        <w:rPr>
          <w:rFonts w:hint="eastAsia" w:ascii="宋体" w:hAnsi="宋体" w:eastAsia="宋体"/>
          <w:sz w:val="24"/>
          <w:highlight w:val="none"/>
          <w:lang w:eastAsia="zh-CN"/>
        </w:rPr>
        <w:t>协议</w:t>
      </w:r>
      <w:r>
        <w:rPr>
          <w:rFonts w:hint="eastAsia" w:ascii="宋体" w:hAnsi="宋体" w:eastAsia="宋体"/>
          <w:sz w:val="24"/>
          <w:highlight w:val="none"/>
        </w:rPr>
        <w:t>一式</w:t>
      </w:r>
      <w:r>
        <w:rPr>
          <w:rFonts w:hint="eastAsia" w:ascii="宋体" w:hAnsi="宋体" w:eastAsia="宋体"/>
          <w:sz w:val="24"/>
          <w:highlight w:val="none"/>
          <w:u w:val="single"/>
        </w:rPr>
        <w:t xml:space="preserve">   </w:t>
      </w:r>
      <w:r>
        <w:rPr>
          <w:rFonts w:hint="eastAsia" w:ascii="宋体" w:hAnsi="宋体" w:eastAsia="宋体"/>
          <w:sz w:val="24"/>
          <w:highlight w:val="none"/>
        </w:rPr>
        <w:t>份，甲方执</w:t>
      </w:r>
      <w:r>
        <w:rPr>
          <w:rFonts w:hint="eastAsia" w:ascii="宋体" w:hAnsi="宋体" w:eastAsia="宋体"/>
          <w:sz w:val="24"/>
          <w:highlight w:val="none"/>
          <w:u w:val="single"/>
        </w:rPr>
        <w:t xml:space="preserve">   </w:t>
      </w:r>
      <w:r>
        <w:rPr>
          <w:rFonts w:hint="eastAsia" w:ascii="宋体" w:hAnsi="宋体" w:eastAsia="宋体"/>
          <w:sz w:val="24"/>
          <w:highlight w:val="none"/>
        </w:rPr>
        <w:t>份，乙方执</w:t>
      </w:r>
      <w:r>
        <w:rPr>
          <w:rFonts w:hint="eastAsia" w:ascii="宋体" w:hAnsi="宋体" w:eastAsia="宋体"/>
          <w:sz w:val="24"/>
          <w:highlight w:val="none"/>
          <w:u w:val="single"/>
        </w:rPr>
        <w:t xml:space="preserve">   </w:t>
      </w:r>
      <w:r>
        <w:rPr>
          <w:rFonts w:hint="eastAsia" w:ascii="宋体" w:hAnsi="宋体" w:eastAsia="宋体"/>
          <w:sz w:val="24"/>
          <w:highlight w:val="none"/>
        </w:rPr>
        <w:t>份，每份均具同等法律效力。</w:t>
      </w:r>
    </w:p>
    <w:p w14:paraId="69840239">
      <w:pPr>
        <w:adjustRightInd w:val="0"/>
        <w:spacing w:line="480" w:lineRule="exact"/>
        <w:ind w:firstLine="446" w:firstLineChars="186"/>
        <w:jc w:val="left"/>
        <w:textAlignment w:val="top"/>
        <w:rPr>
          <w:rFonts w:ascii="宋体" w:hAnsi="宋体" w:eastAsia="宋体"/>
          <w:sz w:val="24"/>
          <w:highlight w:val="none"/>
        </w:rPr>
      </w:pPr>
      <w:r>
        <w:rPr>
          <w:rFonts w:hint="eastAsia" w:ascii="宋体" w:hAnsi="宋体" w:eastAsia="宋体"/>
          <w:sz w:val="24"/>
          <w:highlight w:val="none"/>
        </w:rPr>
        <w:t>（二）本</w:t>
      </w:r>
      <w:r>
        <w:rPr>
          <w:rFonts w:hint="eastAsia" w:ascii="宋体" w:hAnsi="宋体" w:eastAsia="宋体"/>
          <w:sz w:val="24"/>
          <w:highlight w:val="none"/>
          <w:lang w:eastAsia="zh-CN"/>
        </w:rPr>
        <w:t>协议</w:t>
      </w:r>
      <w:r>
        <w:rPr>
          <w:rFonts w:hint="eastAsia" w:ascii="宋体" w:hAnsi="宋体" w:eastAsia="宋体"/>
          <w:sz w:val="24"/>
          <w:highlight w:val="none"/>
        </w:rPr>
        <w:t>自甲乙双方签字盖章后生效。</w:t>
      </w:r>
    </w:p>
    <w:p w14:paraId="30684D13">
      <w:pPr>
        <w:pStyle w:val="25"/>
        <w:autoSpaceDE/>
        <w:autoSpaceDN/>
        <w:spacing w:line="480" w:lineRule="exact"/>
        <w:ind w:firstLine="480" w:firstLineChars="200"/>
        <w:textAlignment w:val="top"/>
        <w:rPr>
          <w:rFonts w:hAnsi="宋体"/>
          <w:sz w:val="24"/>
          <w:szCs w:val="24"/>
          <w:highlight w:val="none"/>
        </w:rPr>
      </w:pPr>
    </w:p>
    <w:p w14:paraId="465D0FD5">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甲方（盖章）：</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w:t>
      </w:r>
      <w:r>
        <w:rPr>
          <w:rFonts w:hint="eastAsia" w:ascii="宋体" w:hAnsi="宋体" w:eastAsia="宋体"/>
          <w:sz w:val="24"/>
          <w:highlight w:val="none"/>
          <w:lang w:val="en-US" w:eastAsia="zh-CN"/>
        </w:rPr>
        <w:t xml:space="preserve">    </w:t>
      </w:r>
      <w:r>
        <w:rPr>
          <w:rFonts w:hint="eastAsia" w:ascii="宋体" w:hAnsi="宋体" w:eastAsia="宋体"/>
          <w:sz w:val="24"/>
          <w:highlight w:val="none"/>
        </w:rPr>
        <w:t>乙方（盖章）：</w:t>
      </w:r>
    </w:p>
    <w:p w14:paraId="2C1D725F">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法定代表人：</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法定代表人/负责人：</w:t>
      </w:r>
    </w:p>
    <w:p w14:paraId="0981C5A3">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地址：</w:t>
      </w:r>
      <w:r>
        <w:rPr>
          <w:rFonts w:ascii="宋体" w:hAnsi="宋体" w:eastAsia="宋体"/>
          <w:sz w:val="24"/>
          <w:highlight w:val="none"/>
        </w:rPr>
        <w:t xml:space="preserve">                    </w:t>
      </w:r>
      <w:r>
        <w:rPr>
          <w:rFonts w:hint="eastAsia" w:ascii="宋体" w:hAnsi="宋体" w:eastAsia="宋体"/>
          <w:sz w:val="24"/>
          <w:highlight w:val="none"/>
        </w:rPr>
        <w:t xml:space="preserve">        地址：</w:t>
      </w:r>
    </w:p>
    <w:p w14:paraId="37D73C96">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电话：</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 xml:space="preserve">      电话：</w:t>
      </w:r>
    </w:p>
    <w:p w14:paraId="64267BCC">
      <w:pPr>
        <w:spacing w:line="480" w:lineRule="exact"/>
        <w:ind w:firstLine="480" w:firstLineChars="200"/>
        <w:rPr>
          <w:rFonts w:ascii="宋体" w:hAnsi="宋体" w:eastAsia="宋体"/>
          <w:sz w:val="24"/>
          <w:highlight w:val="none"/>
        </w:rPr>
      </w:pPr>
    </w:p>
    <w:p w14:paraId="19534A97">
      <w:pPr>
        <w:spacing w:line="480" w:lineRule="exact"/>
        <w:ind w:firstLine="480" w:firstLineChars="200"/>
        <w:rPr>
          <w:rFonts w:ascii="宋体" w:hAnsi="宋体" w:eastAsia="宋体"/>
          <w:sz w:val="24"/>
          <w:highlight w:val="none"/>
        </w:rPr>
      </w:pPr>
      <w:r>
        <w:rPr>
          <w:rFonts w:hint="eastAsia" w:ascii="宋体" w:hAnsi="宋体" w:eastAsia="宋体"/>
          <w:sz w:val="24"/>
          <w:highlight w:val="none"/>
        </w:rPr>
        <w:t>签约时间：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年</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月</w:t>
      </w:r>
      <w:r>
        <w:rPr>
          <w:rFonts w:ascii="宋体" w:hAnsi="宋体" w:eastAsia="宋体"/>
          <w:sz w:val="24"/>
          <w:highlight w:val="none"/>
        </w:rPr>
        <w:t xml:space="preserve"> </w:t>
      </w:r>
      <w:r>
        <w:rPr>
          <w:rFonts w:hint="eastAsia" w:ascii="宋体" w:hAnsi="宋体" w:eastAsia="宋体"/>
          <w:sz w:val="24"/>
          <w:highlight w:val="none"/>
        </w:rPr>
        <w:t xml:space="preserve"> </w:t>
      </w:r>
      <w:r>
        <w:rPr>
          <w:rFonts w:ascii="宋体" w:hAnsi="宋体" w:eastAsia="宋体"/>
          <w:sz w:val="24"/>
          <w:highlight w:val="none"/>
        </w:rPr>
        <w:t xml:space="preserve">  </w:t>
      </w:r>
      <w:r>
        <w:rPr>
          <w:rFonts w:hint="eastAsia" w:ascii="宋体" w:hAnsi="宋体" w:eastAsia="宋体"/>
          <w:sz w:val="24"/>
          <w:highlight w:val="none"/>
        </w:rPr>
        <w:t>日</w:t>
      </w:r>
    </w:p>
    <w:p w14:paraId="672E02D0">
      <w:pPr>
        <w:spacing w:line="480" w:lineRule="exact"/>
        <w:ind w:firstLine="480" w:firstLineChars="200"/>
        <w:rPr>
          <w:highlight w:val="none"/>
        </w:rPr>
      </w:pPr>
      <w:r>
        <w:rPr>
          <w:rFonts w:hint="eastAsia" w:ascii="宋体" w:hAnsi="宋体" w:eastAsia="宋体"/>
          <w:sz w:val="24"/>
          <w:highlight w:val="none"/>
        </w:rPr>
        <w:t>签约地点：</w:t>
      </w:r>
    </w:p>
    <w:bookmarkEnd w:id="228"/>
    <w:bookmarkEnd w:id="229"/>
    <w:p w14:paraId="55EA94E7">
      <w:pPr>
        <w:pStyle w:val="23"/>
        <w:spacing w:line="360" w:lineRule="auto"/>
        <w:ind w:firstLine="482"/>
        <w:outlineLvl w:val="1"/>
        <w:rPr>
          <w:rFonts w:hAnsi="宋体"/>
          <w:sz w:val="24"/>
          <w:szCs w:val="24"/>
          <w:highlight w:val="none"/>
        </w:rPr>
      </w:pPr>
    </w:p>
    <w:p w14:paraId="530C67A1">
      <w:pPr>
        <w:pStyle w:val="23"/>
        <w:spacing w:line="360" w:lineRule="auto"/>
        <w:outlineLvl w:val="1"/>
        <w:rPr>
          <w:rFonts w:hAnsi="宋体"/>
          <w:sz w:val="24"/>
          <w:szCs w:val="24"/>
          <w:highlight w:val="none"/>
        </w:rPr>
      </w:pPr>
    </w:p>
    <w:p w14:paraId="2ABF19E7">
      <w:pPr>
        <w:pStyle w:val="23"/>
        <w:spacing w:line="360" w:lineRule="auto"/>
        <w:ind w:firstLine="482"/>
        <w:outlineLvl w:val="1"/>
        <w:rPr>
          <w:highlight w:val="none"/>
        </w:rPr>
      </w:pPr>
      <w:r>
        <w:rPr>
          <w:rFonts w:hint="eastAsia" w:hAnsi="宋体"/>
          <w:sz w:val="24"/>
          <w:szCs w:val="24"/>
          <w:highlight w:val="none"/>
          <w:lang w:val="en-US" w:eastAsia="zh-CN"/>
        </w:rPr>
        <w:t>附：开平市卫生健康局《关于加强开平市医疗卫生单位建设工程前期费用及网上中介服务超市规范管理的通知》（开卫字(2019)371号）（节选）</w:t>
      </w:r>
    </w:p>
    <w:p w14:paraId="15AAE03A">
      <w:pPr>
        <w:pStyle w:val="23"/>
        <w:spacing w:line="360" w:lineRule="auto"/>
        <w:outlineLvl w:val="1"/>
        <w:rPr>
          <w:rFonts w:hAnsi="宋体"/>
          <w:sz w:val="24"/>
          <w:szCs w:val="24"/>
          <w:highlight w:val="none"/>
        </w:rPr>
      </w:pPr>
      <w:r>
        <w:rPr>
          <w:highlight w:val="none"/>
        </w:rPr>
        <w:drawing>
          <wp:inline distT="0" distB="0" distL="114300" distR="114300">
            <wp:extent cx="5285740" cy="402590"/>
            <wp:effectExtent l="0" t="0" r="10160"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5285740" cy="402590"/>
                    </a:xfrm>
                    <a:prstGeom prst="rect">
                      <a:avLst/>
                    </a:prstGeom>
                    <a:noFill/>
                    <a:ln>
                      <a:noFill/>
                    </a:ln>
                  </pic:spPr>
                </pic:pic>
              </a:graphicData>
            </a:graphic>
          </wp:inline>
        </w:drawing>
      </w:r>
      <w:r>
        <w:rPr>
          <w:highlight w:val="none"/>
        </w:rPr>
        <w:drawing>
          <wp:inline distT="0" distB="0" distL="114300" distR="114300">
            <wp:extent cx="5285740" cy="1431290"/>
            <wp:effectExtent l="0" t="0" r="10160" b="1651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5285740" cy="1431290"/>
                    </a:xfrm>
                    <a:prstGeom prst="rect">
                      <a:avLst/>
                    </a:prstGeom>
                    <a:noFill/>
                    <a:ln>
                      <a:noFill/>
                    </a:ln>
                  </pic:spPr>
                </pic:pic>
              </a:graphicData>
            </a:graphic>
          </wp:inline>
        </w:drawing>
      </w:r>
      <w:r>
        <w:rPr>
          <w:highlight w:val="none"/>
        </w:rPr>
        <w:drawing>
          <wp:inline distT="0" distB="0" distL="114300" distR="114300">
            <wp:extent cx="5288915" cy="4109720"/>
            <wp:effectExtent l="0" t="0" r="6985"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tretch>
                      <a:fillRect/>
                    </a:stretch>
                  </pic:blipFill>
                  <pic:spPr>
                    <a:xfrm>
                      <a:off x="0" y="0"/>
                      <a:ext cx="5288915" cy="4109720"/>
                    </a:xfrm>
                    <a:prstGeom prst="rect">
                      <a:avLst/>
                    </a:prstGeom>
                    <a:noFill/>
                    <a:ln>
                      <a:noFill/>
                    </a:ln>
                  </pic:spPr>
                </pic:pic>
              </a:graphicData>
            </a:graphic>
          </wp:inline>
        </w:drawing>
      </w:r>
    </w:p>
    <w:bookmarkEnd w:id="208"/>
    <w:bookmarkEnd w:id="209"/>
    <w:bookmarkEnd w:id="210"/>
    <w:bookmarkEnd w:id="211"/>
    <w:bookmarkEnd w:id="212"/>
    <w:bookmarkEnd w:id="213"/>
    <w:bookmarkEnd w:id="214"/>
    <w:bookmarkEnd w:id="215"/>
    <w:bookmarkEnd w:id="216"/>
    <w:bookmarkEnd w:id="217"/>
    <w:bookmarkEnd w:id="230"/>
    <w:p w14:paraId="7C9F9BDF">
      <w:pPr>
        <w:pStyle w:val="40"/>
        <w:spacing w:line="360" w:lineRule="auto"/>
        <w:rPr>
          <w:sz w:val="36"/>
          <w:highlight w:val="none"/>
        </w:rPr>
      </w:pPr>
      <w:bookmarkStart w:id="231" w:name="_Toc184723378"/>
      <w:r>
        <w:rPr>
          <w:sz w:val="36"/>
          <w:highlight w:val="none"/>
        </w:rPr>
        <w:t>第六部分</w:t>
      </w:r>
      <w:bookmarkEnd w:id="218"/>
      <w:bookmarkEnd w:id="219"/>
      <w:bookmarkEnd w:id="220"/>
      <w:bookmarkEnd w:id="221"/>
      <w:bookmarkEnd w:id="222"/>
      <w:r>
        <w:rPr>
          <w:sz w:val="36"/>
          <w:highlight w:val="none"/>
        </w:rPr>
        <w:t xml:space="preserve"> 遴选响应文件格式</w:t>
      </w:r>
      <w:bookmarkEnd w:id="223"/>
      <w:bookmarkEnd w:id="224"/>
      <w:bookmarkEnd w:id="225"/>
      <w:bookmarkEnd w:id="226"/>
      <w:bookmarkEnd w:id="227"/>
      <w:bookmarkEnd w:id="231"/>
    </w:p>
    <w:p w14:paraId="18AE2FC3">
      <w:pPr>
        <w:rPr>
          <w:rFonts w:hint="eastAsia"/>
          <w:highlight w:val="none"/>
        </w:rPr>
      </w:pPr>
      <w:r>
        <w:rPr>
          <w:rFonts w:hint="eastAsia"/>
          <w:highlight w:val="none"/>
        </w:rPr>
        <w:t>详见附件《遴选响应文件》。</w:t>
      </w:r>
    </w:p>
    <w:p w14:paraId="56510167">
      <w:pPr>
        <w:rPr>
          <w:rFonts w:hint="eastAsia"/>
          <w:highlight w:val="none"/>
        </w:rPr>
      </w:pPr>
    </w:p>
    <w:p w14:paraId="33A4BC82">
      <w:pPr>
        <w:rPr>
          <w:rFonts w:hint="eastAsia"/>
          <w:highlight w:val="none"/>
        </w:rPr>
      </w:pPr>
    </w:p>
    <w:p w14:paraId="635F9C8F">
      <w:pPr>
        <w:rPr>
          <w:rFonts w:hint="eastAsia"/>
          <w:highlight w:val="none"/>
        </w:rPr>
      </w:pPr>
    </w:p>
    <w:p w14:paraId="1AC4C2F6">
      <w:pPr>
        <w:rPr>
          <w:rFonts w:hint="eastAsia"/>
          <w:highlight w:val="none"/>
        </w:rPr>
      </w:pPr>
    </w:p>
    <w:p w14:paraId="42110504">
      <w:pPr>
        <w:rPr>
          <w:rFonts w:hint="eastAsia"/>
          <w:highlight w:val="none"/>
        </w:rPr>
      </w:pPr>
    </w:p>
    <w:p w14:paraId="668D6D83">
      <w:pPr>
        <w:rPr>
          <w:rFonts w:hint="eastAsia"/>
          <w:highlight w:val="none"/>
        </w:rPr>
      </w:pPr>
    </w:p>
    <w:p w14:paraId="488F0FA6">
      <w:pPr>
        <w:rPr>
          <w:rFonts w:hint="eastAsia"/>
          <w:highlight w:val="none"/>
        </w:rPr>
      </w:pPr>
    </w:p>
    <w:p w14:paraId="17647DD1">
      <w:pPr>
        <w:rPr>
          <w:rFonts w:hint="eastAsia"/>
          <w:highlight w:val="none"/>
        </w:rPr>
      </w:pPr>
    </w:p>
    <w:p w14:paraId="7E17C8C7">
      <w:pPr>
        <w:rPr>
          <w:rFonts w:hint="eastAsia"/>
          <w:highlight w:val="none"/>
        </w:rPr>
      </w:pPr>
    </w:p>
    <w:p w14:paraId="1A470EC9">
      <w:pPr>
        <w:rPr>
          <w:rFonts w:hint="eastAsia"/>
          <w:highlight w:val="none"/>
        </w:rPr>
      </w:pPr>
    </w:p>
    <w:p w14:paraId="0B7BFD42">
      <w:pPr>
        <w:rPr>
          <w:rFonts w:hint="eastAsia"/>
          <w:highlight w:val="none"/>
        </w:rPr>
      </w:pPr>
    </w:p>
    <w:p w14:paraId="7A3922A9">
      <w:pPr>
        <w:rPr>
          <w:rFonts w:hint="eastAsia"/>
          <w:highlight w:val="none"/>
        </w:rPr>
      </w:pPr>
    </w:p>
    <w:p w14:paraId="19FFE2EB">
      <w:pPr>
        <w:rPr>
          <w:rFonts w:hint="eastAsia"/>
          <w:highlight w:val="none"/>
        </w:rPr>
      </w:pPr>
    </w:p>
    <w:p w14:paraId="481FC7E1">
      <w:pPr>
        <w:rPr>
          <w:rFonts w:hint="eastAsia"/>
          <w:highlight w:val="none"/>
        </w:rPr>
      </w:pPr>
    </w:p>
    <w:p w14:paraId="42B2B6FD">
      <w:pPr>
        <w:rPr>
          <w:rFonts w:hint="eastAsia"/>
          <w:highlight w:val="none"/>
        </w:rPr>
      </w:pPr>
    </w:p>
    <w:p w14:paraId="1311C71B">
      <w:pPr>
        <w:rPr>
          <w:rFonts w:hint="eastAsia"/>
          <w:highlight w:val="none"/>
        </w:rPr>
      </w:pPr>
    </w:p>
    <w:p w14:paraId="2AEEB6FD">
      <w:pPr>
        <w:rPr>
          <w:rFonts w:hint="eastAsia"/>
          <w:highlight w:val="none"/>
        </w:rPr>
      </w:pPr>
    </w:p>
    <w:p w14:paraId="14DEE297">
      <w:pPr>
        <w:rPr>
          <w:rFonts w:hint="eastAsia"/>
          <w:highlight w:val="none"/>
        </w:rPr>
      </w:pPr>
    </w:p>
    <w:p w14:paraId="4AECDCAF">
      <w:pPr>
        <w:rPr>
          <w:rFonts w:hint="eastAsia"/>
          <w:highlight w:val="none"/>
        </w:rPr>
      </w:pPr>
    </w:p>
    <w:p w14:paraId="2F5DA42C">
      <w:pPr>
        <w:rPr>
          <w:rFonts w:hint="eastAsia"/>
          <w:highlight w:val="none"/>
        </w:rPr>
      </w:pPr>
    </w:p>
    <w:p w14:paraId="65C4013E">
      <w:pPr>
        <w:rPr>
          <w:rFonts w:hint="eastAsia"/>
          <w:highlight w:val="none"/>
        </w:rPr>
      </w:pPr>
    </w:p>
    <w:p w14:paraId="5E17D56B">
      <w:pPr>
        <w:rPr>
          <w:rFonts w:hint="eastAsia"/>
          <w:highlight w:val="none"/>
        </w:rPr>
      </w:pPr>
    </w:p>
    <w:p w14:paraId="7B8EE96A">
      <w:pPr>
        <w:rPr>
          <w:rFonts w:hint="eastAsia"/>
          <w:highlight w:val="none"/>
        </w:rPr>
      </w:pPr>
    </w:p>
    <w:p w14:paraId="7B426E22">
      <w:pPr>
        <w:rPr>
          <w:rFonts w:hint="eastAsia"/>
          <w:highlight w:val="none"/>
        </w:rPr>
      </w:pPr>
    </w:p>
    <w:p w14:paraId="115EA906">
      <w:pPr>
        <w:rPr>
          <w:rFonts w:hint="eastAsia"/>
          <w:highlight w:val="none"/>
        </w:rPr>
      </w:pPr>
    </w:p>
    <w:p w14:paraId="73091A35">
      <w:pPr>
        <w:rPr>
          <w:rFonts w:hint="eastAsia"/>
          <w:highlight w:val="none"/>
        </w:rPr>
      </w:pPr>
    </w:p>
    <w:p w14:paraId="59EE31F4">
      <w:pPr>
        <w:rPr>
          <w:rFonts w:hint="eastAsia"/>
          <w:highlight w:val="none"/>
        </w:rPr>
      </w:pPr>
    </w:p>
    <w:p w14:paraId="44BB48B1">
      <w:pPr>
        <w:rPr>
          <w:rFonts w:hint="eastAsia"/>
          <w:highlight w:val="none"/>
        </w:rPr>
      </w:pPr>
    </w:p>
    <w:p w14:paraId="4BAA2C83">
      <w:pPr>
        <w:rPr>
          <w:rFonts w:hint="eastAsia"/>
          <w:highlight w:val="none"/>
        </w:rPr>
      </w:pPr>
    </w:p>
    <w:p w14:paraId="3561A7DE">
      <w:pPr>
        <w:rPr>
          <w:rFonts w:hint="eastAsia"/>
          <w:highlight w:val="none"/>
        </w:rPr>
      </w:pPr>
    </w:p>
    <w:p w14:paraId="67E6524A">
      <w:pPr>
        <w:rPr>
          <w:rFonts w:hint="eastAsia"/>
          <w:highlight w:val="none"/>
        </w:rPr>
      </w:pPr>
    </w:p>
    <w:p w14:paraId="76540382">
      <w:pPr>
        <w:rPr>
          <w:rFonts w:hint="eastAsia"/>
          <w:highlight w:val="none"/>
        </w:rPr>
      </w:pPr>
    </w:p>
    <w:p w14:paraId="29DC90CC">
      <w:pPr>
        <w:rPr>
          <w:rFonts w:hint="eastAsia"/>
          <w:highlight w:val="none"/>
        </w:rPr>
      </w:pPr>
    </w:p>
    <w:p w14:paraId="7C52CC68">
      <w:pPr>
        <w:rPr>
          <w:rFonts w:hint="eastAsia"/>
          <w:highlight w:val="none"/>
        </w:rPr>
      </w:pPr>
    </w:p>
    <w:p w14:paraId="4DD9EE56">
      <w:pPr>
        <w:rPr>
          <w:rFonts w:hint="eastAsia"/>
          <w:highlight w:val="none"/>
        </w:rPr>
      </w:pPr>
    </w:p>
    <w:p w14:paraId="4F6DF05B">
      <w:pPr>
        <w:rPr>
          <w:rFonts w:hint="eastAsia"/>
          <w:highlight w:val="none"/>
        </w:rPr>
      </w:pPr>
    </w:p>
    <w:p w14:paraId="3266BAC5">
      <w:pPr>
        <w:rPr>
          <w:rFonts w:hint="eastAsia"/>
          <w:highlight w:val="none"/>
        </w:rPr>
      </w:pPr>
    </w:p>
    <w:p w14:paraId="405CFB7E">
      <w:pPr>
        <w:rPr>
          <w:ins w:id="18" w:author="明" w:date="2025-12-19T17:44:12Z"/>
          <w:rFonts w:hint="eastAsia"/>
          <w:highlight w:val="none"/>
          <w:lang w:val="en-US" w:eastAsia="zh-CN"/>
        </w:rPr>
      </w:pPr>
      <w:r>
        <w:rPr>
          <w:rFonts w:hint="eastAsia"/>
          <w:highlight w:val="none"/>
          <w:lang w:val="en-US" w:eastAsia="zh-CN"/>
        </w:rPr>
        <w:t>附：《开平市中医院工程造价咨询机构服务考核表》</w:t>
      </w:r>
    </w:p>
    <w:p w14:paraId="5B2D2331">
      <w:pPr>
        <w:rPr>
          <w:ins w:id="19" w:author="明" w:date="2025-12-19T17:44:13Z"/>
          <w:rFonts w:hint="eastAsia"/>
          <w:highlight w:val="none"/>
          <w:lang w:val="en-US" w:eastAsia="zh-CN"/>
        </w:rPr>
      </w:pPr>
    </w:p>
    <w:tbl>
      <w:tblPr>
        <w:tblStyle w:val="42"/>
        <w:tblW w:w="92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0"/>
        <w:gridCol w:w="1200"/>
        <w:gridCol w:w="885"/>
        <w:gridCol w:w="4590"/>
        <w:gridCol w:w="1550"/>
      </w:tblGrid>
      <w:tr w14:paraId="6FB83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12BCD">
            <w:pPr>
              <w:jc w:val="center"/>
              <w:rPr>
                <w:rFonts w:hint="eastAsia" w:ascii="宋体" w:hAnsi="宋体" w:eastAsia="宋体" w:cs="宋体"/>
                <w:b/>
                <w:bCs/>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E2F2">
            <w:pPr>
              <w:keepNext w:val="0"/>
              <w:keepLines w:val="0"/>
              <w:widowControl/>
              <w:suppressLineNumbers w:val="0"/>
              <w:jc w:val="center"/>
              <w:textAlignment w:val="center"/>
              <w:rPr>
                <w:rFonts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考核指标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838B">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分值</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5E35">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评分标准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24F4">
            <w:pPr>
              <w:keepNext w:val="0"/>
              <w:keepLines w:val="0"/>
              <w:widowControl/>
              <w:suppressLineNumbers w:val="0"/>
              <w:jc w:val="center"/>
              <w:textAlignment w:val="center"/>
              <w:rPr>
                <w:rFonts w:hint="eastAsia" w:ascii="等线" w:hAnsi="等线" w:eastAsia="等线" w:cs="等线"/>
                <w:b/>
                <w:bCs/>
                <w:i w:val="0"/>
                <w:iCs w:val="0"/>
                <w:color w:val="000000"/>
                <w:sz w:val="20"/>
                <w:szCs w:val="20"/>
                <w:highlight w:val="none"/>
                <w:u w:val="none"/>
              </w:rPr>
            </w:pPr>
            <w:r>
              <w:rPr>
                <w:rFonts w:hint="eastAsia" w:ascii="等线" w:hAnsi="等线" w:eastAsia="等线" w:cs="等线"/>
                <w:b/>
                <w:bCs/>
                <w:i w:val="0"/>
                <w:iCs w:val="0"/>
                <w:color w:val="000000"/>
                <w:kern w:val="0"/>
                <w:sz w:val="20"/>
                <w:szCs w:val="20"/>
                <w:highlight w:val="none"/>
                <w:u w:val="none"/>
                <w:lang w:val="en-US" w:eastAsia="zh-CN" w:bidi="ar"/>
              </w:rPr>
              <w:t>得分</w:t>
            </w:r>
          </w:p>
        </w:tc>
      </w:tr>
      <w:tr w14:paraId="4271B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9410BD">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响应及时性（35分）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E59E1">
            <w:pPr>
              <w:keepNext w:val="0"/>
              <w:keepLines w:val="0"/>
              <w:widowControl/>
              <w:suppressLineNumbers w:val="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报名响应</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D973D">
            <w:pPr>
              <w:keepNext w:val="0"/>
              <w:keepLines w:val="0"/>
              <w:widowControl/>
              <w:suppressLineNumbers w:val="0"/>
              <w:jc w:val="center"/>
              <w:textAlignment w:val="center"/>
              <w:rPr>
                <w:rFonts w:ascii="Arial" w:hAnsi="Arial" w:eastAsia="宋体" w:cs="Arial"/>
                <w:i w:val="0"/>
                <w:iCs w:val="0"/>
                <w:color w:val="000000"/>
                <w:sz w:val="20"/>
                <w:szCs w:val="20"/>
                <w:highlight w:val="none"/>
                <w:u w:val="none"/>
              </w:rPr>
            </w:pPr>
            <w:r>
              <w:rPr>
                <w:rFonts w:hint="eastAsia" w:ascii="Arial" w:hAnsi="Arial" w:eastAsia="宋体" w:cs="Arial"/>
                <w:i w:val="0"/>
                <w:iCs w:val="0"/>
                <w:color w:val="000000"/>
                <w:kern w:val="0"/>
                <w:sz w:val="20"/>
                <w:szCs w:val="20"/>
                <w:highlight w:val="none"/>
                <w:u w:val="none"/>
                <w:lang w:val="en-US" w:eastAsia="zh-CN" w:bidi="ar"/>
              </w:rPr>
              <w:t>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4FB72200">
            <w:pPr>
              <w:keepNext w:val="0"/>
              <w:keepLines w:val="0"/>
              <w:widowControl/>
              <w:suppressLineNumbers w:val="0"/>
              <w:jc w:val="left"/>
              <w:textAlignment w:val="top"/>
              <w:rPr>
                <w:rFonts w:hint="default" w:ascii="等线" w:hAnsi="等线" w:eastAsia="等线" w:cs="等线"/>
                <w:i w:val="0"/>
                <w:iCs w:val="0"/>
                <w:color w:val="000000"/>
                <w:sz w:val="20"/>
                <w:szCs w:val="20"/>
                <w:highlight w:val="none"/>
                <w:u w:val="none"/>
                <w:lang w:val="en-US"/>
              </w:rPr>
            </w:pPr>
            <w:r>
              <w:rPr>
                <w:rFonts w:hint="eastAsia" w:ascii="等线" w:hAnsi="等线" w:eastAsia="等线" w:cs="等线"/>
                <w:i w:val="0"/>
                <w:iCs w:val="0"/>
                <w:color w:val="000000"/>
                <w:kern w:val="0"/>
                <w:sz w:val="20"/>
                <w:szCs w:val="20"/>
                <w:highlight w:val="none"/>
                <w:u w:val="none"/>
                <w:lang w:val="en-US" w:eastAsia="zh-CN" w:bidi="ar"/>
              </w:rPr>
              <w:t>在发布选取公告后依时在广东省网上中介服务超市完成报名，得5分</w:t>
            </w:r>
            <w:r>
              <w:rPr>
                <w:rStyle w:val="227"/>
                <w:highlight w:val="none"/>
                <w:lang w:val="en-US" w:eastAsia="zh-CN" w:bidi="ar"/>
              </w:rPr>
              <w:t>。在</w:t>
            </w:r>
            <w:r>
              <w:rPr>
                <w:rStyle w:val="227"/>
                <w:rFonts w:hint="eastAsia"/>
                <w:highlight w:val="none"/>
                <w:lang w:val="en-US" w:eastAsia="zh-CN" w:bidi="ar"/>
              </w:rPr>
              <w:t>公告期限内未完成报名导致项目重选的，得0分。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1A73FEE">
            <w:pPr>
              <w:jc w:val="left"/>
              <w:rPr>
                <w:rFonts w:hint="eastAsia" w:ascii="等线" w:hAnsi="等线" w:eastAsia="等线" w:cs="等线"/>
                <w:i w:val="0"/>
                <w:iCs w:val="0"/>
                <w:color w:val="000000"/>
                <w:sz w:val="20"/>
                <w:szCs w:val="20"/>
                <w:highlight w:val="none"/>
                <w:u w:val="none"/>
              </w:rPr>
            </w:pPr>
          </w:p>
        </w:tc>
      </w:tr>
      <w:tr w14:paraId="166F4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AD185">
            <w:pPr>
              <w:jc w:val="center"/>
              <w:rPr>
                <w:rFonts w:hint="eastAsia" w:ascii="宋体" w:hAnsi="宋体" w:eastAsia="宋体" w:cs="宋体"/>
                <w:b/>
                <w:bCs/>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71BBD">
            <w:pPr>
              <w:keepNext w:val="0"/>
              <w:keepLines w:val="0"/>
              <w:widowControl/>
              <w:suppressLineNumbers w:val="0"/>
              <w:jc w:val="center"/>
              <w:textAlignment w:val="center"/>
              <w:rPr>
                <w:rFonts w:hint="default" w:ascii="等线" w:hAnsi="等线" w:eastAsia="等线" w:cs="等线"/>
                <w:i w:val="0"/>
                <w:iCs w:val="0"/>
                <w:color w:val="000000"/>
                <w:sz w:val="20"/>
                <w:szCs w:val="20"/>
                <w:highlight w:val="none"/>
                <w:u w:val="none"/>
                <w:lang w:val="en-US" w:eastAsia="zh-CN"/>
              </w:rPr>
            </w:pPr>
            <w:r>
              <w:rPr>
                <w:rFonts w:hint="eastAsia" w:ascii="等线" w:hAnsi="等线" w:eastAsia="等线" w:cs="等线"/>
                <w:i w:val="0"/>
                <w:iCs w:val="0"/>
                <w:color w:val="000000"/>
                <w:sz w:val="20"/>
                <w:szCs w:val="20"/>
                <w:highlight w:val="none"/>
                <w:u w:val="none"/>
                <w:lang w:val="en-US" w:eastAsia="zh-CN"/>
              </w:rPr>
              <w:t>沟通响应</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0D3F">
            <w:pPr>
              <w:keepNext w:val="0"/>
              <w:keepLines w:val="0"/>
              <w:widowControl/>
              <w:suppressLineNumbers w:val="0"/>
              <w:jc w:val="center"/>
              <w:textAlignment w:val="center"/>
              <w:rPr>
                <w:rFonts w:hint="default" w:ascii="Arial" w:hAnsi="Arial" w:eastAsia="宋体" w:cs="Arial"/>
                <w:i w:val="0"/>
                <w:iCs w:val="0"/>
                <w:color w:val="000000"/>
                <w:sz w:val="20"/>
                <w:szCs w:val="20"/>
                <w:highlight w:val="none"/>
                <w:u w:val="none"/>
                <w:lang w:val="en-US"/>
              </w:rPr>
            </w:pPr>
            <w:r>
              <w:rPr>
                <w:rFonts w:hint="eastAsia" w:ascii="Arial" w:hAnsi="Arial" w:eastAsia="宋体" w:cs="Arial"/>
                <w:i w:val="0"/>
                <w:iCs w:val="0"/>
                <w:color w:val="000000"/>
                <w:kern w:val="0"/>
                <w:sz w:val="20"/>
                <w:szCs w:val="20"/>
                <w:highlight w:val="none"/>
                <w:u w:val="none"/>
                <w:lang w:val="en-US" w:eastAsia="zh-CN" w:bidi="ar"/>
              </w:rPr>
              <w:t>10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63AB6598">
            <w:pPr>
              <w:keepNext w:val="0"/>
              <w:keepLines w:val="0"/>
              <w:widowControl/>
              <w:suppressLineNumbers w:val="0"/>
              <w:jc w:val="left"/>
              <w:textAlignment w:val="top"/>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供应商对于采购人的咨询沟通应及时回应，如出现超过24小时无响应回复的，每次扣2分，扣完为止</w:t>
            </w:r>
            <w:r>
              <w:rPr>
                <w:rStyle w:val="227"/>
                <w:highlight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68309C4">
            <w:pPr>
              <w:jc w:val="left"/>
              <w:rPr>
                <w:rFonts w:hint="eastAsia" w:ascii="等线" w:hAnsi="等线" w:eastAsia="等线" w:cs="等线"/>
                <w:i w:val="0"/>
                <w:iCs w:val="0"/>
                <w:color w:val="000000"/>
                <w:sz w:val="20"/>
                <w:szCs w:val="20"/>
                <w:highlight w:val="none"/>
                <w:u w:val="none"/>
              </w:rPr>
            </w:pPr>
          </w:p>
        </w:tc>
      </w:tr>
      <w:tr w14:paraId="47100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291A5">
            <w:pPr>
              <w:jc w:val="center"/>
              <w:rPr>
                <w:rFonts w:hint="eastAsia" w:ascii="宋体" w:hAnsi="宋体" w:eastAsia="宋体" w:cs="宋体"/>
                <w:b/>
                <w:bCs/>
                <w:i w:val="0"/>
                <w:iCs w:val="0"/>
                <w:color w:val="000000"/>
                <w:sz w:val="20"/>
                <w:szCs w:val="20"/>
                <w:highlight w:val="none"/>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09AC">
            <w:pPr>
              <w:keepNext w:val="0"/>
              <w:keepLines w:val="0"/>
              <w:widowControl/>
              <w:suppressLineNumbers w:val="0"/>
              <w:jc w:val="center"/>
              <w:textAlignment w:val="center"/>
              <w:rPr>
                <w:rFonts w:hint="default" w:ascii="等线" w:hAnsi="等线" w:eastAsia="等线" w:cs="等线"/>
                <w:i w:val="0"/>
                <w:iCs w:val="0"/>
                <w:color w:val="000000"/>
                <w:sz w:val="20"/>
                <w:szCs w:val="20"/>
                <w:highlight w:val="none"/>
                <w:u w:val="none"/>
                <w:lang w:val="en-US"/>
              </w:rPr>
            </w:pPr>
            <w:r>
              <w:rPr>
                <w:rFonts w:hint="eastAsia" w:ascii="等线" w:hAnsi="等线" w:eastAsia="等线" w:cs="等线"/>
                <w:i w:val="0"/>
                <w:iCs w:val="0"/>
                <w:color w:val="000000"/>
                <w:kern w:val="0"/>
                <w:sz w:val="20"/>
                <w:szCs w:val="20"/>
                <w:highlight w:val="none"/>
                <w:u w:val="none"/>
                <w:lang w:val="en-US" w:eastAsia="zh-CN" w:bidi="ar"/>
              </w:rPr>
              <w:t>成果提交及时性</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F831">
            <w:pPr>
              <w:keepNext w:val="0"/>
              <w:keepLines w:val="0"/>
              <w:widowControl/>
              <w:suppressLineNumbers w:val="0"/>
              <w:jc w:val="center"/>
              <w:textAlignment w:val="center"/>
              <w:rPr>
                <w:rFonts w:hint="default" w:ascii="Arial" w:hAnsi="Arial" w:eastAsia="宋体" w:cs="Arial"/>
                <w:i w:val="0"/>
                <w:iCs w:val="0"/>
                <w:color w:val="000000"/>
                <w:sz w:val="20"/>
                <w:szCs w:val="20"/>
                <w:highlight w:val="none"/>
                <w:u w:val="none"/>
                <w:lang w:val="en-US"/>
              </w:rPr>
            </w:pPr>
            <w:r>
              <w:rPr>
                <w:rFonts w:hint="eastAsia" w:ascii="Arial" w:hAnsi="Arial" w:eastAsia="宋体" w:cs="Arial"/>
                <w:i w:val="0"/>
                <w:iCs w:val="0"/>
                <w:color w:val="000000"/>
                <w:kern w:val="0"/>
                <w:sz w:val="20"/>
                <w:szCs w:val="20"/>
                <w:highlight w:val="none"/>
                <w:u w:val="none"/>
                <w:lang w:val="en-US" w:eastAsia="zh-CN" w:bidi="ar"/>
              </w:rPr>
              <w:t>20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5EBBE3A2">
            <w:pPr>
              <w:keepNext w:val="0"/>
              <w:keepLines w:val="0"/>
              <w:widowControl/>
              <w:suppressLineNumbers w:val="0"/>
              <w:jc w:val="left"/>
              <w:textAlignment w:val="top"/>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供应商应于遴选文件规定时限内完成造价编制或审核，并向采购人提交所有成果文件，每超过24小时扣5分，扣完为止</w:t>
            </w:r>
            <w:r>
              <w:rPr>
                <w:rStyle w:val="227"/>
                <w:highlight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7AFE3C78">
            <w:pPr>
              <w:jc w:val="left"/>
              <w:rPr>
                <w:rFonts w:hint="eastAsia" w:ascii="等线" w:hAnsi="等线" w:eastAsia="等线" w:cs="等线"/>
                <w:i w:val="0"/>
                <w:iCs w:val="0"/>
                <w:color w:val="000000"/>
                <w:sz w:val="20"/>
                <w:szCs w:val="20"/>
                <w:highlight w:val="none"/>
                <w:u w:val="none"/>
              </w:rPr>
            </w:pPr>
          </w:p>
        </w:tc>
      </w:tr>
      <w:tr w14:paraId="2422C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8014">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沟通配合度（10分）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6672">
            <w:pPr>
              <w:keepNext w:val="0"/>
              <w:keepLines w:val="0"/>
              <w:widowControl/>
              <w:suppressLineNumbers w:val="0"/>
              <w:jc w:val="center"/>
              <w:textAlignment w:val="center"/>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沟通配合度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6E65">
            <w:pPr>
              <w:keepNext w:val="0"/>
              <w:keepLines w:val="0"/>
              <w:widowControl/>
              <w:suppressLineNumbers w:val="0"/>
              <w:jc w:val="center"/>
              <w:textAlignment w:val="center"/>
              <w:rPr>
                <w:rFonts w:hint="default" w:ascii="Arial" w:hAnsi="Arial" w:eastAsia="宋体" w:cs="Arial"/>
                <w:i w:val="0"/>
                <w:iCs w:val="0"/>
                <w:color w:val="000000"/>
                <w:sz w:val="20"/>
                <w:szCs w:val="20"/>
                <w:highlight w:val="none"/>
                <w:u w:val="none"/>
              </w:rPr>
            </w:pPr>
            <w:r>
              <w:rPr>
                <w:rFonts w:hint="default" w:ascii="Arial" w:hAnsi="Arial" w:eastAsia="宋体" w:cs="Arial"/>
                <w:i w:val="0"/>
                <w:iCs w:val="0"/>
                <w:color w:val="000000"/>
                <w:kern w:val="0"/>
                <w:sz w:val="20"/>
                <w:szCs w:val="20"/>
                <w:highlight w:val="none"/>
                <w:u w:val="none"/>
                <w:lang w:val="en-US" w:eastAsia="zh-CN" w:bidi="ar"/>
              </w:rPr>
              <w:t>10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34B0DBE6">
            <w:pPr>
              <w:keepNext w:val="0"/>
              <w:keepLines w:val="0"/>
              <w:widowControl/>
              <w:suppressLineNumbers w:val="0"/>
              <w:jc w:val="left"/>
              <w:textAlignment w:val="top"/>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供应商应积极加强与采购人的沟通，如出现态度消极或不参与相关会议，造成问题无法有效解决或延误解决，每发生1次扣5分，</w:t>
            </w:r>
            <w:r>
              <w:rPr>
                <w:rStyle w:val="227"/>
                <w:highlight w:val="none"/>
                <w:lang w:val="en-US" w:eastAsia="zh-CN" w:bidi="ar"/>
              </w:rPr>
              <w:t>扣完为止。</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60BF2949">
            <w:pPr>
              <w:jc w:val="left"/>
              <w:rPr>
                <w:rFonts w:hint="eastAsia" w:ascii="等线" w:hAnsi="等线" w:eastAsia="等线" w:cs="等线"/>
                <w:i w:val="0"/>
                <w:iCs w:val="0"/>
                <w:color w:val="000000"/>
                <w:sz w:val="20"/>
                <w:szCs w:val="20"/>
                <w:highlight w:val="none"/>
                <w:u w:val="none"/>
              </w:rPr>
            </w:pPr>
          </w:p>
        </w:tc>
      </w:tr>
      <w:tr w14:paraId="2E6F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E9A7">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成果文件质量（30分）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BF57">
            <w:pPr>
              <w:keepNext w:val="0"/>
              <w:keepLines w:val="0"/>
              <w:widowControl/>
              <w:suppressLineNumbers w:val="0"/>
              <w:jc w:val="center"/>
              <w:textAlignment w:val="center"/>
              <w:rPr>
                <w:rFonts w:hint="default" w:ascii="等线" w:hAnsi="等线" w:eastAsia="等线" w:cs="等线"/>
                <w:i w:val="0"/>
                <w:iCs w:val="0"/>
                <w:color w:val="000000"/>
                <w:sz w:val="20"/>
                <w:szCs w:val="20"/>
                <w:highlight w:val="none"/>
                <w:u w:val="none"/>
                <w:lang w:val="en-US"/>
              </w:rPr>
            </w:pPr>
            <w:r>
              <w:rPr>
                <w:rFonts w:hint="eastAsia" w:ascii="等线" w:hAnsi="等线" w:eastAsia="等线" w:cs="等线"/>
                <w:i w:val="0"/>
                <w:iCs w:val="0"/>
                <w:color w:val="000000"/>
                <w:kern w:val="0"/>
                <w:sz w:val="20"/>
                <w:szCs w:val="20"/>
                <w:highlight w:val="none"/>
                <w:u w:val="none"/>
                <w:lang w:val="en-US" w:eastAsia="zh-CN" w:bidi="ar"/>
              </w:rPr>
              <w:t>成果文件质量</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9E4D">
            <w:pPr>
              <w:keepNext w:val="0"/>
              <w:keepLines w:val="0"/>
              <w:widowControl/>
              <w:suppressLineNumbers w:val="0"/>
              <w:jc w:val="center"/>
              <w:textAlignment w:val="center"/>
              <w:rPr>
                <w:rFonts w:hint="default" w:ascii="Arial" w:hAnsi="Arial" w:eastAsia="宋体" w:cs="Arial"/>
                <w:i w:val="0"/>
                <w:iCs w:val="0"/>
                <w:color w:val="000000"/>
                <w:sz w:val="20"/>
                <w:szCs w:val="20"/>
                <w:highlight w:val="none"/>
                <w:u w:val="none"/>
                <w:lang w:val="en-US"/>
              </w:rPr>
            </w:pPr>
            <w:r>
              <w:rPr>
                <w:rFonts w:hint="eastAsia" w:ascii="Arial" w:hAnsi="Arial" w:eastAsia="宋体" w:cs="Arial"/>
                <w:i w:val="0"/>
                <w:iCs w:val="0"/>
                <w:color w:val="000000"/>
                <w:kern w:val="0"/>
                <w:sz w:val="20"/>
                <w:szCs w:val="20"/>
                <w:highlight w:val="none"/>
                <w:u w:val="none"/>
                <w:lang w:val="en-US" w:eastAsia="zh-CN" w:bidi="ar"/>
              </w:rPr>
              <w:t>30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0965B7A2">
            <w:pPr>
              <w:keepNext w:val="0"/>
              <w:keepLines w:val="0"/>
              <w:widowControl/>
              <w:suppressLineNumbers w:val="0"/>
              <w:jc w:val="left"/>
              <w:textAlignment w:val="top"/>
              <w:rPr>
                <w:rFonts w:hint="default" w:ascii="等线" w:hAnsi="等线" w:eastAsia="等线" w:cs="等线"/>
                <w:i w:val="0"/>
                <w:iCs w:val="0"/>
                <w:color w:val="000000"/>
                <w:sz w:val="20"/>
                <w:szCs w:val="20"/>
                <w:highlight w:val="none"/>
                <w:u w:val="none"/>
                <w:lang w:val="en-US"/>
              </w:rPr>
            </w:pPr>
            <w:r>
              <w:rPr>
                <w:rFonts w:hint="eastAsia" w:ascii="等线" w:hAnsi="等线" w:eastAsia="等线" w:cs="等线"/>
                <w:i w:val="0"/>
                <w:iCs w:val="0"/>
                <w:color w:val="000000"/>
                <w:kern w:val="0"/>
                <w:sz w:val="20"/>
                <w:szCs w:val="20"/>
                <w:highlight w:val="none"/>
                <w:u w:val="none"/>
                <w:lang w:val="en-US" w:eastAsia="zh-CN" w:bidi="ar"/>
              </w:rPr>
              <w:t>成果文件应格式规范、计算准确、依据充分、签章齐全</w:t>
            </w:r>
            <w:r>
              <w:rPr>
                <w:rStyle w:val="227"/>
                <w:highlight w:val="none"/>
                <w:lang w:val="en-US" w:eastAsia="zh-CN" w:bidi="ar"/>
              </w:rPr>
              <w:t>。</w:t>
            </w:r>
            <w:r>
              <w:rPr>
                <w:rStyle w:val="227"/>
                <w:rFonts w:hint="eastAsia"/>
                <w:highlight w:val="none"/>
                <w:lang w:val="en-US" w:eastAsia="zh-CN" w:bidi="ar"/>
              </w:rPr>
              <w:t>每出现一项错漏且未造成严重后果的，每项扣5分，如因错漏造成严重后果的，本项不得分。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1F9AF6D3">
            <w:pPr>
              <w:jc w:val="left"/>
              <w:rPr>
                <w:rFonts w:hint="eastAsia" w:ascii="等线" w:hAnsi="等线" w:eastAsia="等线" w:cs="等线"/>
                <w:i w:val="0"/>
                <w:iCs w:val="0"/>
                <w:color w:val="000000"/>
                <w:sz w:val="20"/>
                <w:szCs w:val="20"/>
                <w:highlight w:val="none"/>
                <w:u w:val="none"/>
              </w:rPr>
            </w:pPr>
          </w:p>
        </w:tc>
      </w:tr>
      <w:tr w14:paraId="35FC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6FFC3">
            <w:pPr>
              <w:keepNext w:val="0"/>
              <w:keepLines w:val="0"/>
              <w:widowControl/>
              <w:suppressLineNumbers w:val="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专业水平体现（10分）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28706">
            <w:pPr>
              <w:keepNext w:val="0"/>
              <w:keepLines w:val="0"/>
              <w:widowControl/>
              <w:suppressLineNumbers w:val="0"/>
              <w:jc w:val="center"/>
              <w:textAlignment w:val="center"/>
              <w:rPr>
                <w:rFonts w:hint="eastAsia" w:ascii="等线" w:hAnsi="等线" w:eastAsia="等线" w:cs="等线"/>
                <w:b w:val="0"/>
                <w:bCs w:val="0"/>
                <w:i w:val="0"/>
                <w:iCs w:val="0"/>
                <w:color w:val="000000"/>
                <w:sz w:val="20"/>
                <w:szCs w:val="20"/>
                <w:highlight w:val="none"/>
                <w:u w:val="none"/>
              </w:rPr>
            </w:pPr>
            <w:r>
              <w:rPr>
                <w:rFonts w:hint="eastAsia" w:ascii="宋体" w:hAnsi="宋体" w:eastAsia="宋体" w:cs="宋体"/>
                <w:b w:val="0"/>
                <w:bCs w:val="0"/>
                <w:i w:val="0"/>
                <w:iCs w:val="0"/>
                <w:color w:val="000000"/>
                <w:kern w:val="0"/>
                <w:sz w:val="20"/>
                <w:szCs w:val="20"/>
                <w:highlight w:val="none"/>
                <w:u w:val="none"/>
                <w:lang w:val="en-US" w:eastAsia="zh-CN" w:bidi="ar"/>
              </w:rPr>
              <w:t>专业水平体现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CEC0">
            <w:pPr>
              <w:keepNext w:val="0"/>
              <w:keepLines w:val="0"/>
              <w:widowControl/>
              <w:suppressLineNumbers w:val="0"/>
              <w:jc w:val="center"/>
              <w:textAlignment w:val="center"/>
              <w:rPr>
                <w:rFonts w:hint="default" w:ascii="Arial" w:hAnsi="Arial" w:eastAsia="宋体" w:cs="Arial"/>
                <w:i w:val="0"/>
                <w:iCs w:val="0"/>
                <w:color w:val="000000"/>
                <w:sz w:val="20"/>
                <w:szCs w:val="20"/>
                <w:highlight w:val="none"/>
                <w:u w:val="none"/>
                <w:lang w:val="en-US"/>
              </w:rPr>
            </w:pPr>
            <w:r>
              <w:rPr>
                <w:rFonts w:hint="eastAsia" w:ascii="Arial" w:hAnsi="Arial" w:eastAsia="宋体" w:cs="Arial"/>
                <w:i w:val="0"/>
                <w:iCs w:val="0"/>
                <w:color w:val="000000"/>
                <w:kern w:val="0"/>
                <w:sz w:val="20"/>
                <w:szCs w:val="20"/>
                <w:highlight w:val="none"/>
                <w:u w:val="none"/>
                <w:lang w:val="en-US" w:eastAsia="zh-CN" w:bidi="ar"/>
              </w:rPr>
              <w:t>10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11AB276E">
            <w:pPr>
              <w:keepNext w:val="0"/>
              <w:keepLines w:val="0"/>
              <w:widowControl/>
              <w:suppressLineNumbers w:val="0"/>
              <w:jc w:val="left"/>
              <w:textAlignment w:val="top"/>
              <w:rPr>
                <w:rFonts w:hint="eastAsia" w:ascii="等线" w:hAnsi="等线" w:eastAsia="等线" w:cs="等线"/>
                <w:i w:val="0"/>
                <w:iCs w:val="0"/>
                <w:color w:val="000000"/>
                <w:sz w:val="20"/>
                <w:szCs w:val="20"/>
                <w:highlight w:val="none"/>
                <w:u w:val="none"/>
              </w:rPr>
            </w:pPr>
            <w:r>
              <w:rPr>
                <w:rFonts w:hint="eastAsia" w:ascii="等线" w:hAnsi="等线" w:eastAsia="等线" w:cs="等线"/>
                <w:i w:val="0"/>
                <w:iCs w:val="0"/>
                <w:color w:val="000000"/>
                <w:kern w:val="0"/>
                <w:sz w:val="20"/>
                <w:szCs w:val="20"/>
                <w:highlight w:val="none"/>
                <w:u w:val="none"/>
                <w:lang w:val="en-US" w:eastAsia="zh-CN" w:bidi="ar"/>
              </w:rPr>
              <w:t>服务过程中，供应商对于项目的理解较深，对于项目内容了解清楚，问题发现能力强、建议合理的，得10分。如因供应商专业水平原因影响成果的质量或时效</w:t>
            </w:r>
            <w:r>
              <w:rPr>
                <w:rStyle w:val="227"/>
                <w:highlight w:val="none"/>
                <w:lang w:val="en-US" w:eastAsia="zh-CN" w:bidi="ar"/>
              </w:rPr>
              <w:t>，</w:t>
            </w:r>
            <w:r>
              <w:rPr>
                <w:rStyle w:val="227"/>
                <w:rFonts w:hint="eastAsia"/>
                <w:highlight w:val="none"/>
                <w:lang w:val="en-US" w:eastAsia="zh-CN" w:bidi="ar"/>
              </w:rPr>
              <w:t>本项不得分</w:t>
            </w:r>
            <w:r>
              <w:rPr>
                <w:rStyle w:val="227"/>
                <w:highlight w:val="none"/>
                <w:lang w:val="en-US" w:eastAsia="zh-CN" w:bidi="ar"/>
              </w:rPr>
              <w:t>。</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1B311CC1">
            <w:pPr>
              <w:jc w:val="left"/>
              <w:rPr>
                <w:rFonts w:hint="eastAsia" w:ascii="等线" w:hAnsi="等线" w:eastAsia="等线" w:cs="等线"/>
                <w:i w:val="0"/>
                <w:iCs w:val="0"/>
                <w:color w:val="000000"/>
                <w:sz w:val="20"/>
                <w:szCs w:val="20"/>
                <w:highlight w:val="none"/>
                <w:u w:val="none"/>
              </w:rPr>
            </w:pPr>
          </w:p>
        </w:tc>
      </w:tr>
      <w:tr w14:paraId="0816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A614">
            <w:pPr>
              <w:jc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sz w:val="20"/>
                <w:szCs w:val="20"/>
                <w:highlight w:val="none"/>
                <w:u w:val="none"/>
              </w:rPr>
              <w:t>职业道德与纪律</w:t>
            </w:r>
            <w:r>
              <w:rPr>
                <w:rFonts w:hint="eastAsia" w:ascii="宋体" w:hAnsi="宋体" w:eastAsia="宋体" w:cs="宋体"/>
                <w:b/>
                <w:bCs/>
                <w:i w:val="0"/>
                <w:iCs w:val="0"/>
                <w:color w:val="000000"/>
                <w:kern w:val="0"/>
                <w:sz w:val="20"/>
                <w:szCs w:val="20"/>
                <w:highlight w:val="none"/>
                <w:u w:val="none"/>
                <w:lang w:val="en-US" w:eastAsia="zh-CN" w:bidi="ar"/>
              </w:rPr>
              <w:t>（15分）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8DFE">
            <w:pPr>
              <w:keepNext w:val="0"/>
              <w:keepLines w:val="0"/>
              <w:widowControl/>
              <w:suppressLineNumbers w:val="0"/>
              <w:jc w:val="center"/>
              <w:textAlignment w:val="center"/>
              <w:rPr>
                <w:rFonts w:hint="eastAsia" w:ascii="等线" w:hAnsi="等线" w:eastAsia="等线" w:cs="等线"/>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sz w:val="20"/>
                <w:szCs w:val="20"/>
                <w:highlight w:val="none"/>
                <w:u w:val="none"/>
              </w:rPr>
              <w:t>职业道德与纪律</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1176A">
            <w:pPr>
              <w:keepNext w:val="0"/>
              <w:keepLines w:val="0"/>
              <w:widowControl/>
              <w:suppressLineNumbers w:val="0"/>
              <w:jc w:val="center"/>
              <w:textAlignment w:val="center"/>
              <w:rPr>
                <w:rFonts w:hint="default" w:ascii="Arial" w:hAnsi="Arial" w:eastAsia="宋体" w:cs="Arial"/>
                <w:i w:val="0"/>
                <w:iCs w:val="0"/>
                <w:color w:val="000000"/>
                <w:kern w:val="0"/>
                <w:sz w:val="20"/>
                <w:szCs w:val="20"/>
                <w:highlight w:val="none"/>
                <w:u w:val="none"/>
                <w:lang w:val="en-US" w:eastAsia="zh-CN" w:bidi="ar"/>
              </w:rPr>
            </w:pPr>
            <w:r>
              <w:rPr>
                <w:rFonts w:hint="eastAsia" w:ascii="Arial" w:hAnsi="Arial" w:eastAsia="宋体" w:cs="Arial"/>
                <w:i w:val="0"/>
                <w:iCs w:val="0"/>
                <w:color w:val="000000"/>
                <w:kern w:val="0"/>
                <w:sz w:val="20"/>
                <w:szCs w:val="20"/>
                <w:highlight w:val="none"/>
                <w:u w:val="none"/>
                <w:lang w:val="en-US" w:eastAsia="zh-CN" w:bidi="ar"/>
              </w:rPr>
              <w:t>15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top"/>
          </w:tcPr>
          <w:p w14:paraId="08AD9E39">
            <w:pPr>
              <w:keepNext w:val="0"/>
              <w:keepLines w:val="0"/>
              <w:widowControl/>
              <w:suppressLineNumbers w:val="0"/>
              <w:jc w:val="left"/>
              <w:textAlignment w:val="top"/>
              <w:rPr>
                <w:rFonts w:hint="eastAsia" w:ascii="等线" w:hAnsi="等线" w:eastAsia="等线" w:cs="等线"/>
                <w:i w:val="0"/>
                <w:iCs w:val="0"/>
                <w:color w:val="000000"/>
                <w:kern w:val="0"/>
                <w:sz w:val="20"/>
                <w:szCs w:val="20"/>
                <w:highlight w:val="none"/>
                <w:u w:val="none"/>
                <w:lang w:val="en-US" w:eastAsia="zh-CN" w:bidi="ar"/>
              </w:rPr>
            </w:pPr>
            <w:r>
              <w:rPr>
                <w:rFonts w:hint="eastAsia" w:ascii="等线" w:hAnsi="等线" w:eastAsia="等线" w:cs="等线"/>
                <w:i w:val="0"/>
                <w:iCs w:val="0"/>
                <w:color w:val="000000"/>
                <w:kern w:val="0"/>
                <w:sz w:val="20"/>
                <w:szCs w:val="20"/>
                <w:highlight w:val="none"/>
                <w:u w:val="none"/>
                <w:lang w:val="en-US" w:eastAsia="zh-CN" w:bidi="ar"/>
              </w:rPr>
              <w:t>供应商应遵守廉政、保密规定，行为规范，无不当言行，如发现上述行为，每次扣5分。</w:t>
            </w:r>
          </w:p>
        </w:tc>
        <w:tc>
          <w:tcPr>
            <w:tcW w:w="1550" w:type="dxa"/>
            <w:tcBorders>
              <w:top w:val="single" w:color="000000" w:sz="4" w:space="0"/>
              <w:left w:val="single" w:color="000000" w:sz="4" w:space="0"/>
              <w:bottom w:val="single" w:color="000000" w:sz="4" w:space="0"/>
              <w:right w:val="single" w:color="000000" w:sz="4" w:space="0"/>
            </w:tcBorders>
            <w:shd w:val="clear" w:color="auto" w:fill="auto"/>
            <w:vAlign w:val="top"/>
          </w:tcPr>
          <w:p w14:paraId="2EDCBA76">
            <w:pPr>
              <w:jc w:val="left"/>
              <w:rPr>
                <w:rFonts w:hint="eastAsia" w:ascii="等线" w:hAnsi="等线" w:eastAsia="等线" w:cs="等线"/>
                <w:i w:val="0"/>
                <w:iCs w:val="0"/>
                <w:color w:val="000000"/>
                <w:sz w:val="20"/>
                <w:szCs w:val="20"/>
                <w:highlight w:val="none"/>
                <w:u w:val="none"/>
              </w:rPr>
            </w:pPr>
          </w:p>
        </w:tc>
      </w:tr>
    </w:tbl>
    <w:p w14:paraId="3EEA6A89">
      <w:pPr>
        <w:rPr>
          <w:rFonts w:hint="eastAsia"/>
          <w:highlight w:val="none"/>
          <w:lang w:val="en-US" w:eastAsia="zh-CN"/>
        </w:rPr>
      </w:pPr>
    </w:p>
    <w:sectPr>
      <w:headerReference r:id="rId9" w:type="first"/>
      <w:footerReference r:id="rId11" w:type="first"/>
      <w:footerReference r:id="rId10"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DFE72">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B1F54">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F641D2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B453F">
    <w:pPr>
      <w:pStyle w:val="28"/>
      <w:tabs>
        <w:tab w:val="left" w:pos="9027"/>
      </w:tabs>
      <w:ind w:right="-18"/>
      <w:rPr>
        <w:rStyle w:val="46"/>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9CB90">
    <w:pPr>
      <w:pStyle w:val="28"/>
      <w:framePr w:w="8359" w:h="616" w:hRule="exact" w:wrap="around" w:vAnchor="text" w:hAnchor="page" w:x="1798" w:y="-52"/>
      <w:tabs>
        <w:tab w:val="left" w:pos="9027"/>
      </w:tabs>
      <w:ind w:right="-18"/>
    </w:pPr>
    <w:r>
      <w:rPr>
        <w:rStyle w:val="46"/>
        <w:rFonts w:hint="eastAsia"/>
        <w:szCs w:val="21"/>
      </w:rPr>
      <w:t xml:space="preserve">开平市中医院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12</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53769">
    <w:pPr>
      <w:pStyle w:val="28"/>
      <w:tabs>
        <w:tab w:val="left" w:pos="9027"/>
      </w:tabs>
      <w:ind w:right="-18"/>
      <w:rPr>
        <w:rStyle w:val="46"/>
        <w:szCs w:val="21"/>
      </w:rPr>
    </w:pPr>
  </w:p>
  <w:p w14:paraId="137E7AD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3BBFC852">
    <w:pPr>
      <w:rPr>
        <w:rStyle w:val="46"/>
        <w:szCs w:val="21"/>
      </w:rPr>
    </w:pPr>
  </w:p>
  <w:p w14:paraId="7B9EC13B">
    <w:pPr>
      <w:rPr>
        <w:rStyle w:val="46"/>
        <w:szCs w:val="21"/>
      </w:rPr>
    </w:pPr>
  </w:p>
  <w:p w14:paraId="3FF9540F">
    <w:pPr>
      <w:rPr>
        <w:rStyle w:val="46"/>
        <w:szCs w:val="21"/>
      </w:rPr>
    </w:pPr>
  </w:p>
  <w:p w14:paraId="6A9E6C5C">
    <w:pPr>
      <w:rPr>
        <w:rStyle w:val="46"/>
        <w:szCs w:val="21"/>
      </w:rPr>
    </w:pPr>
  </w:p>
  <w:p w14:paraId="2F4A6C45">
    <w:pPr>
      <w:rPr>
        <w:rStyle w:val="46"/>
        <w:szCs w:val="21"/>
      </w:rPr>
    </w:pPr>
  </w:p>
  <w:p w14:paraId="1DA2E7B5">
    <w:pPr>
      <w:rPr>
        <w:rStyle w:val="46"/>
        <w:szCs w:val="21"/>
      </w:rPr>
    </w:pPr>
  </w:p>
  <w:p w14:paraId="3CC7A8D9">
    <w:pPr>
      <w:rPr>
        <w:rStyle w:val="46"/>
        <w:szCs w:val="21"/>
      </w:rPr>
    </w:pPr>
  </w:p>
  <w:p w14:paraId="1896358F">
    <w:pPr>
      <w:rPr>
        <w:rStyle w:val="46"/>
        <w:szCs w:val="21"/>
      </w:rPr>
    </w:pPr>
  </w:p>
  <w:p w14:paraId="3AD035D5">
    <w:pPr>
      <w:rPr>
        <w:rStyle w:val="46"/>
        <w:szCs w:val="21"/>
      </w:rPr>
    </w:pPr>
  </w:p>
  <w:p w14:paraId="25166180"/>
  <w:p w14:paraId="710539EA"/>
  <w:p w14:paraId="154B0995"/>
  <w:p w14:paraId="61F2B6DE"/>
  <w:p w14:paraId="55C7275C"/>
  <w:p w14:paraId="7600A38E"/>
  <w:p w14:paraId="5404CEEC"/>
  <w:p w14:paraId="5592099B"/>
  <w:p w14:paraId="2A01E368"/>
  <w:p w14:paraId="5E01BBB0"/>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1A2BA">
    <w:pPr>
      <w:ind w:left="7560" w:hanging="7560" w:hangingChars="4200"/>
      <w:jc w:val="left"/>
      <w:rPr>
        <w:rFonts w:ascii="宋体" w:hAnsi="宋体" w:eastAsia="宋体"/>
        <w:sz w:val="18"/>
        <w:szCs w:val="18"/>
      </w:rPr>
    </w:pPr>
    <w:r>
      <w:rPr>
        <w:rFonts w:hint="eastAsia" w:ascii="宋体" w:hAnsi="宋体" w:eastAsia="宋体"/>
        <w:sz w:val="18"/>
        <w:szCs w:val="18"/>
      </w:rPr>
      <w:t>项目名称：</w:t>
    </w:r>
    <w:r>
      <w:rPr>
        <w:rFonts w:hint="eastAsia" w:ascii="宋体" w:hAnsi="宋体" w:eastAsia="宋体"/>
        <w:sz w:val="18"/>
        <w:szCs w:val="18"/>
        <w:lang w:val="en-US" w:eastAsia="zh-CN"/>
      </w:rPr>
      <w:t>开平市中医院2026-2028年度工程造价咨询服务供应商资格选取项目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AE4E">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19DEE">
    <w:pPr>
      <w:pStyle w:val="29"/>
      <w:pBdr>
        <w:bottom w:val="single" w:color="auto" w:sz="4" w:space="1"/>
      </w:pBdr>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097A">
    <w:pPr>
      <w:pStyle w:val="29"/>
    </w:pPr>
    <w:r>
      <w:rPr>
        <w:rFonts w:hint="eastAsia" w:hAnsi="宋体"/>
        <w:szCs w:val="21"/>
      </w:rPr>
      <w:t>采购编号：KPCG2019-000 赤坎新区技术审查与开发咨询服务                     竞争性遴选文件</w:t>
    </w:r>
  </w:p>
  <w:p w14:paraId="40AC0A08"/>
  <w:p w14:paraId="2195BF52"/>
  <w:p w14:paraId="7DFC5D40"/>
  <w:p w14:paraId="0614293A"/>
  <w:p w14:paraId="7C8FD7AC"/>
  <w:p w14:paraId="2139E398"/>
  <w:p w14:paraId="1EDE19C9"/>
  <w:p w14:paraId="03124BE9"/>
  <w:p w14:paraId="4BD0DBE9"/>
  <w:p w14:paraId="04C80DA1"/>
  <w:p w14:paraId="0C61F9D0"/>
  <w:p w14:paraId="06048E50"/>
  <w:p w14:paraId="5F1080AB"/>
  <w:p w14:paraId="10E093C0"/>
  <w:p w14:paraId="070EFDFE"/>
  <w:p w14:paraId="3D41A000"/>
  <w:p w14:paraId="1D59DBC3"/>
  <w:p w14:paraId="1154DF9A"/>
  <w:p w14:paraId="39E58C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58394375"/>
    <w:multiLevelType w:val="multilevel"/>
    <w:tmpl w:val="58394375"/>
    <w:lvl w:ilvl="0" w:tentative="0">
      <w:start w:val="1"/>
      <w:numFmt w:val="japaneseCounting"/>
      <w:lvlText w:val="%1、"/>
      <w:lvlJc w:val="left"/>
      <w:pPr>
        <w:ind w:left="986" w:hanging="504"/>
      </w:pPr>
      <w:rPr>
        <w:rFonts w:hint="default"/>
        <w:b/>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71899A05"/>
    <w:multiLevelType w:val="singleLevel"/>
    <w:tmpl w:val="71899A05"/>
    <w:lvl w:ilvl="0" w:tentative="0">
      <w:start w:val="1"/>
      <w:numFmt w:val="decimal"/>
      <w:lvlText w:val="(%1)"/>
      <w:lvlJc w:val="left"/>
      <w:pPr>
        <w:ind w:left="1025" w:hanging="425"/>
      </w:pPr>
      <w:rPr>
        <w:rFonts w:hint="default"/>
        <w:strike w:val="0"/>
        <w:dstrike w:val="0"/>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明">
    <w15:presenceInfo w15:providerId="WPS Office" w15:userId="1623605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5FCF"/>
    <w:rsid w:val="00046124"/>
    <w:rsid w:val="0004630C"/>
    <w:rsid w:val="00046E87"/>
    <w:rsid w:val="00046F8B"/>
    <w:rsid w:val="00050493"/>
    <w:rsid w:val="00050DD6"/>
    <w:rsid w:val="00050E8F"/>
    <w:rsid w:val="00050F0E"/>
    <w:rsid w:val="000510B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56CBA"/>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2F0B"/>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12D6"/>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71B"/>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0D8"/>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041"/>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8D2"/>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23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4E8"/>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03E"/>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2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C789D"/>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1AF"/>
    <w:rsid w:val="001E44B8"/>
    <w:rsid w:val="001E5196"/>
    <w:rsid w:val="001E5216"/>
    <w:rsid w:val="001E5956"/>
    <w:rsid w:val="001E659F"/>
    <w:rsid w:val="001E65E5"/>
    <w:rsid w:val="001E68C6"/>
    <w:rsid w:val="001E6F60"/>
    <w:rsid w:val="001E7243"/>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626"/>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4F2"/>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713"/>
    <w:rsid w:val="00237772"/>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374"/>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0F7A"/>
    <w:rsid w:val="002910AD"/>
    <w:rsid w:val="0029148E"/>
    <w:rsid w:val="00291808"/>
    <w:rsid w:val="002923DA"/>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CD"/>
    <w:rsid w:val="002C45EF"/>
    <w:rsid w:val="002C4705"/>
    <w:rsid w:val="002C5734"/>
    <w:rsid w:val="002C6512"/>
    <w:rsid w:val="002C7A7C"/>
    <w:rsid w:val="002C7AD2"/>
    <w:rsid w:val="002D0954"/>
    <w:rsid w:val="002D23CA"/>
    <w:rsid w:val="002D262A"/>
    <w:rsid w:val="002D2865"/>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697"/>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179"/>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5BD1"/>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A7E"/>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94"/>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247"/>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ACB"/>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8D4"/>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76F"/>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4EC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9BA"/>
    <w:rsid w:val="004C4C02"/>
    <w:rsid w:val="004C4E07"/>
    <w:rsid w:val="004C528C"/>
    <w:rsid w:val="004C6103"/>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4C5B"/>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5B"/>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472D8"/>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6E28"/>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6BC8"/>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2E4"/>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2EC"/>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5C7"/>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5B2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2B17"/>
    <w:rsid w:val="00684390"/>
    <w:rsid w:val="006846C4"/>
    <w:rsid w:val="00685DBF"/>
    <w:rsid w:val="0068650D"/>
    <w:rsid w:val="00686871"/>
    <w:rsid w:val="00686D8E"/>
    <w:rsid w:val="006876B6"/>
    <w:rsid w:val="00687C0A"/>
    <w:rsid w:val="006900C7"/>
    <w:rsid w:val="00690400"/>
    <w:rsid w:val="00690675"/>
    <w:rsid w:val="00690777"/>
    <w:rsid w:val="00690F2D"/>
    <w:rsid w:val="0069102E"/>
    <w:rsid w:val="0069129D"/>
    <w:rsid w:val="00691DE5"/>
    <w:rsid w:val="00692459"/>
    <w:rsid w:val="006928B3"/>
    <w:rsid w:val="00692D8C"/>
    <w:rsid w:val="00692EBE"/>
    <w:rsid w:val="006935BA"/>
    <w:rsid w:val="006940EA"/>
    <w:rsid w:val="00694DF7"/>
    <w:rsid w:val="006950F9"/>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A76C1"/>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D67B6"/>
    <w:rsid w:val="006E04CC"/>
    <w:rsid w:val="006E0AEC"/>
    <w:rsid w:val="006E0C0C"/>
    <w:rsid w:val="006E0C45"/>
    <w:rsid w:val="006E0EBA"/>
    <w:rsid w:val="006E12A7"/>
    <w:rsid w:val="006E15F5"/>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4AF"/>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2D2C"/>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1F2"/>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7D"/>
    <w:rsid w:val="0075738C"/>
    <w:rsid w:val="007574CB"/>
    <w:rsid w:val="007574E1"/>
    <w:rsid w:val="00757683"/>
    <w:rsid w:val="0075768D"/>
    <w:rsid w:val="00757B6A"/>
    <w:rsid w:val="007605EE"/>
    <w:rsid w:val="00760945"/>
    <w:rsid w:val="00760C7E"/>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01"/>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3DA5"/>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9FF"/>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97D26"/>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7018"/>
    <w:rsid w:val="007E0685"/>
    <w:rsid w:val="007E0C6A"/>
    <w:rsid w:val="007E0F88"/>
    <w:rsid w:val="007E1118"/>
    <w:rsid w:val="007E1652"/>
    <w:rsid w:val="007E17C6"/>
    <w:rsid w:val="007E1AD9"/>
    <w:rsid w:val="007E1D98"/>
    <w:rsid w:val="007E2E14"/>
    <w:rsid w:val="007E402B"/>
    <w:rsid w:val="007E47CF"/>
    <w:rsid w:val="007E5701"/>
    <w:rsid w:val="007E5BE1"/>
    <w:rsid w:val="007E6585"/>
    <w:rsid w:val="007E67D7"/>
    <w:rsid w:val="007E77FA"/>
    <w:rsid w:val="007E7AC1"/>
    <w:rsid w:val="007F0474"/>
    <w:rsid w:val="007F0D11"/>
    <w:rsid w:val="007F14FE"/>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15C5"/>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167"/>
    <w:rsid w:val="00850734"/>
    <w:rsid w:val="00850B71"/>
    <w:rsid w:val="00850F2D"/>
    <w:rsid w:val="008511DC"/>
    <w:rsid w:val="00851221"/>
    <w:rsid w:val="008514F5"/>
    <w:rsid w:val="0085158C"/>
    <w:rsid w:val="0085238F"/>
    <w:rsid w:val="0085294C"/>
    <w:rsid w:val="0085367C"/>
    <w:rsid w:val="0085393F"/>
    <w:rsid w:val="00853A17"/>
    <w:rsid w:val="00853B6D"/>
    <w:rsid w:val="00853EB5"/>
    <w:rsid w:val="00854DF9"/>
    <w:rsid w:val="00854F47"/>
    <w:rsid w:val="0085538C"/>
    <w:rsid w:val="00855539"/>
    <w:rsid w:val="008556C1"/>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3F89"/>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523"/>
    <w:rsid w:val="008C25CE"/>
    <w:rsid w:val="008C29CD"/>
    <w:rsid w:val="008C2C4B"/>
    <w:rsid w:val="008C35D0"/>
    <w:rsid w:val="008C39DC"/>
    <w:rsid w:val="008C4590"/>
    <w:rsid w:val="008C4699"/>
    <w:rsid w:val="008C4D8C"/>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41B"/>
    <w:rsid w:val="008F77B4"/>
    <w:rsid w:val="008F7ED0"/>
    <w:rsid w:val="008F7FFC"/>
    <w:rsid w:val="00900206"/>
    <w:rsid w:val="0090059B"/>
    <w:rsid w:val="00900976"/>
    <w:rsid w:val="00900ABD"/>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045"/>
    <w:rsid w:val="00913149"/>
    <w:rsid w:val="00913636"/>
    <w:rsid w:val="00913B76"/>
    <w:rsid w:val="00913D0F"/>
    <w:rsid w:val="00914487"/>
    <w:rsid w:val="0091467A"/>
    <w:rsid w:val="00915077"/>
    <w:rsid w:val="00915B9A"/>
    <w:rsid w:val="00916344"/>
    <w:rsid w:val="009168E4"/>
    <w:rsid w:val="00917CD9"/>
    <w:rsid w:val="00920289"/>
    <w:rsid w:val="00920FBA"/>
    <w:rsid w:val="00921BAD"/>
    <w:rsid w:val="00921F58"/>
    <w:rsid w:val="0092246B"/>
    <w:rsid w:val="0092259D"/>
    <w:rsid w:val="0092479B"/>
    <w:rsid w:val="0092542B"/>
    <w:rsid w:val="009256C4"/>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470"/>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D35"/>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327"/>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AB3"/>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89B"/>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5780"/>
    <w:rsid w:val="009C6C54"/>
    <w:rsid w:val="009C6D5A"/>
    <w:rsid w:val="009C70FB"/>
    <w:rsid w:val="009D0D3F"/>
    <w:rsid w:val="009D2199"/>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614"/>
    <w:rsid w:val="009E490C"/>
    <w:rsid w:val="009E56A9"/>
    <w:rsid w:val="009E5813"/>
    <w:rsid w:val="009E689E"/>
    <w:rsid w:val="009E70FC"/>
    <w:rsid w:val="009E7482"/>
    <w:rsid w:val="009E769F"/>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E3F"/>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0B9"/>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809"/>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656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08D6"/>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A8"/>
    <w:rsid w:val="00AD0FE8"/>
    <w:rsid w:val="00AD1059"/>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72B"/>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3B8"/>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12D"/>
    <w:rsid w:val="00B10774"/>
    <w:rsid w:val="00B10DE3"/>
    <w:rsid w:val="00B1140D"/>
    <w:rsid w:val="00B11760"/>
    <w:rsid w:val="00B11BD7"/>
    <w:rsid w:val="00B11CA4"/>
    <w:rsid w:val="00B124BF"/>
    <w:rsid w:val="00B1271D"/>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249"/>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0E60"/>
    <w:rsid w:val="00B41260"/>
    <w:rsid w:val="00B41792"/>
    <w:rsid w:val="00B41AEF"/>
    <w:rsid w:val="00B4222E"/>
    <w:rsid w:val="00B423B2"/>
    <w:rsid w:val="00B4259A"/>
    <w:rsid w:val="00B42D11"/>
    <w:rsid w:val="00B436A5"/>
    <w:rsid w:val="00B43867"/>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B7C"/>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335"/>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029"/>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7A3"/>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0551"/>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B11"/>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0E3"/>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15F4"/>
    <w:rsid w:val="00CA23D3"/>
    <w:rsid w:val="00CA23ED"/>
    <w:rsid w:val="00CA2418"/>
    <w:rsid w:val="00CA349F"/>
    <w:rsid w:val="00CA3B9D"/>
    <w:rsid w:val="00CA3BE0"/>
    <w:rsid w:val="00CA3BFD"/>
    <w:rsid w:val="00CA427F"/>
    <w:rsid w:val="00CA4678"/>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5F3C"/>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4E"/>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8DF"/>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046"/>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3D5A"/>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791"/>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96D"/>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3FC"/>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20"/>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4675"/>
    <w:rsid w:val="00DF6B04"/>
    <w:rsid w:val="00DF7049"/>
    <w:rsid w:val="00DF7AEE"/>
    <w:rsid w:val="00E0024E"/>
    <w:rsid w:val="00E00AC4"/>
    <w:rsid w:val="00E00F49"/>
    <w:rsid w:val="00E01BEC"/>
    <w:rsid w:val="00E01E37"/>
    <w:rsid w:val="00E01EDB"/>
    <w:rsid w:val="00E0229C"/>
    <w:rsid w:val="00E0265D"/>
    <w:rsid w:val="00E02B2C"/>
    <w:rsid w:val="00E02BA7"/>
    <w:rsid w:val="00E02E7C"/>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147"/>
    <w:rsid w:val="00E27973"/>
    <w:rsid w:val="00E27DE6"/>
    <w:rsid w:val="00E30491"/>
    <w:rsid w:val="00E306C3"/>
    <w:rsid w:val="00E31719"/>
    <w:rsid w:val="00E3177F"/>
    <w:rsid w:val="00E318D0"/>
    <w:rsid w:val="00E322FC"/>
    <w:rsid w:val="00E32779"/>
    <w:rsid w:val="00E32C80"/>
    <w:rsid w:val="00E32D39"/>
    <w:rsid w:val="00E335CD"/>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4B6"/>
    <w:rsid w:val="00E65722"/>
    <w:rsid w:val="00E66371"/>
    <w:rsid w:val="00E663D1"/>
    <w:rsid w:val="00E67141"/>
    <w:rsid w:val="00E6752A"/>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1D4B"/>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54"/>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5F9E"/>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AC2"/>
    <w:rsid w:val="00F42D89"/>
    <w:rsid w:val="00F4350D"/>
    <w:rsid w:val="00F4365B"/>
    <w:rsid w:val="00F436A5"/>
    <w:rsid w:val="00F43D7A"/>
    <w:rsid w:val="00F43E43"/>
    <w:rsid w:val="00F43FAC"/>
    <w:rsid w:val="00F440F4"/>
    <w:rsid w:val="00F44135"/>
    <w:rsid w:val="00F44DEB"/>
    <w:rsid w:val="00F45722"/>
    <w:rsid w:val="00F45C20"/>
    <w:rsid w:val="00F45E8D"/>
    <w:rsid w:val="00F460AF"/>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5D0"/>
    <w:rsid w:val="00F7072A"/>
    <w:rsid w:val="00F7084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1B16"/>
    <w:rsid w:val="00F920B5"/>
    <w:rsid w:val="00F920B6"/>
    <w:rsid w:val="00F92352"/>
    <w:rsid w:val="00F92758"/>
    <w:rsid w:val="00F92BB8"/>
    <w:rsid w:val="00F92CFD"/>
    <w:rsid w:val="00F9342C"/>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CD5"/>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2D22"/>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5DA7"/>
    <w:rsid w:val="00FF6244"/>
    <w:rsid w:val="00FF635A"/>
    <w:rsid w:val="00FF6664"/>
    <w:rsid w:val="00FF678F"/>
    <w:rsid w:val="00FF6BE5"/>
    <w:rsid w:val="00FF77D5"/>
    <w:rsid w:val="00FF7950"/>
    <w:rsid w:val="01EC6D10"/>
    <w:rsid w:val="026C21F1"/>
    <w:rsid w:val="036603B8"/>
    <w:rsid w:val="03DE370C"/>
    <w:rsid w:val="03FE2106"/>
    <w:rsid w:val="04290744"/>
    <w:rsid w:val="04DC1F58"/>
    <w:rsid w:val="05210084"/>
    <w:rsid w:val="058F7B77"/>
    <w:rsid w:val="05D4309B"/>
    <w:rsid w:val="063575C6"/>
    <w:rsid w:val="07456CFC"/>
    <w:rsid w:val="07685361"/>
    <w:rsid w:val="077010BF"/>
    <w:rsid w:val="07D70581"/>
    <w:rsid w:val="08181F45"/>
    <w:rsid w:val="081849E5"/>
    <w:rsid w:val="083A3F7E"/>
    <w:rsid w:val="08BA0844"/>
    <w:rsid w:val="090A1857"/>
    <w:rsid w:val="09354491"/>
    <w:rsid w:val="09CF7DC2"/>
    <w:rsid w:val="0AB64692"/>
    <w:rsid w:val="0B2E5519"/>
    <w:rsid w:val="0B431120"/>
    <w:rsid w:val="0BBE7E63"/>
    <w:rsid w:val="0BC82C71"/>
    <w:rsid w:val="0C651FA7"/>
    <w:rsid w:val="0D0E330C"/>
    <w:rsid w:val="0D3D1EAE"/>
    <w:rsid w:val="0F4779A6"/>
    <w:rsid w:val="0F720C87"/>
    <w:rsid w:val="0F7D59F6"/>
    <w:rsid w:val="10B10FD7"/>
    <w:rsid w:val="13252204"/>
    <w:rsid w:val="13791C6A"/>
    <w:rsid w:val="13B95037"/>
    <w:rsid w:val="13D61169"/>
    <w:rsid w:val="14576A7F"/>
    <w:rsid w:val="145C6DB5"/>
    <w:rsid w:val="15093B0A"/>
    <w:rsid w:val="154811A8"/>
    <w:rsid w:val="15FB1C74"/>
    <w:rsid w:val="16C30074"/>
    <w:rsid w:val="16DC1FA9"/>
    <w:rsid w:val="171044ED"/>
    <w:rsid w:val="179628C6"/>
    <w:rsid w:val="182E391B"/>
    <w:rsid w:val="18540B58"/>
    <w:rsid w:val="19120228"/>
    <w:rsid w:val="191D51C7"/>
    <w:rsid w:val="194D51B6"/>
    <w:rsid w:val="197D454E"/>
    <w:rsid w:val="19D10519"/>
    <w:rsid w:val="1A067601"/>
    <w:rsid w:val="1A1A7F48"/>
    <w:rsid w:val="1A40269A"/>
    <w:rsid w:val="1B3C1DD8"/>
    <w:rsid w:val="1BEC5662"/>
    <w:rsid w:val="1BF105C9"/>
    <w:rsid w:val="1D0154E2"/>
    <w:rsid w:val="1D2C53A3"/>
    <w:rsid w:val="1D8614B0"/>
    <w:rsid w:val="1E177425"/>
    <w:rsid w:val="1ED92BBE"/>
    <w:rsid w:val="1EED14BB"/>
    <w:rsid w:val="1F246257"/>
    <w:rsid w:val="1F870A91"/>
    <w:rsid w:val="20210D51"/>
    <w:rsid w:val="204563CC"/>
    <w:rsid w:val="20474C5B"/>
    <w:rsid w:val="21B90060"/>
    <w:rsid w:val="221D7FB2"/>
    <w:rsid w:val="222339F7"/>
    <w:rsid w:val="22775610"/>
    <w:rsid w:val="239E1A70"/>
    <w:rsid w:val="23C95568"/>
    <w:rsid w:val="23FB7914"/>
    <w:rsid w:val="245306EE"/>
    <w:rsid w:val="2459377B"/>
    <w:rsid w:val="24CA0A5A"/>
    <w:rsid w:val="25C2200C"/>
    <w:rsid w:val="26712A32"/>
    <w:rsid w:val="268D51D4"/>
    <w:rsid w:val="289363DE"/>
    <w:rsid w:val="28EA443D"/>
    <w:rsid w:val="28F30CF9"/>
    <w:rsid w:val="29042D2C"/>
    <w:rsid w:val="29EA2749"/>
    <w:rsid w:val="2A536E90"/>
    <w:rsid w:val="2AE46658"/>
    <w:rsid w:val="2AEC10A3"/>
    <w:rsid w:val="2B671526"/>
    <w:rsid w:val="2BAA3B16"/>
    <w:rsid w:val="2BCF782F"/>
    <w:rsid w:val="2BE97B66"/>
    <w:rsid w:val="2C915AD5"/>
    <w:rsid w:val="2CC74842"/>
    <w:rsid w:val="2DD6049D"/>
    <w:rsid w:val="2E5A3C96"/>
    <w:rsid w:val="2F8C7F5C"/>
    <w:rsid w:val="2F9E3E41"/>
    <w:rsid w:val="2FB2501E"/>
    <w:rsid w:val="30D1308B"/>
    <w:rsid w:val="31AA2714"/>
    <w:rsid w:val="31B85F99"/>
    <w:rsid w:val="32147DC4"/>
    <w:rsid w:val="324F320B"/>
    <w:rsid w:val="325B46A3"/>
    <w:rsid w:val="32607569"/>
    <w:rsid w:val="331B2F3F"/>
    <w:rsid w:val="33264BA4"/>
    <w:rsid w:val="33CD5D92"/>
    <w:rsid w:val="345D2848"/>
    <w:rsid w:val="34C374AD"/>
    <w:rsid w:val="352C2AB5"/>
    <w:rsid w:val="353C45ED"/>
    <w:rsid w:val="35616529"/>
    <w:rsid w:val="35C828C9"/>
    <w:rsid w:val="35D0014F"/>
    <w:rsid w:val="35FD12B2"/>
    <w:rsid w:val="364351F0"/>
    <w:rsid w:val="3677133B"/>
    <w:rsid w:val="36870A2A"/>
    <w:rsid w:val="370C56F3"/>
    <w:rsid w:val="373874DE"/>
    <w:rsid w:val="37904D56"/>
    <w:rsid w:val="37CE0E6D"/>
    <w:rsid w:val="389C3213"/>
    <w:rsid w:val="38BD7355"/>
    <w:rsid w:val="39F723CF"/>
    <w:rsid w:val="3A4434DD"/>
    <w:rsid w:val="3A77093E"/>
    <w:rsid w:val="3A9672B3"/>
    <w:rsid w:val="3B294B17"/>
    <w:rsid w:val="3C21710D"/>
    <w:rsid w:val="3C71648C"/>
    <w:rsid w:val="3CA1529C"/>
    <w:rsid w:val="3CC41F84"/>
    <w:rsid w:val="3CDA3397"/>
    <w:rsid w:val="3D2F4655"/>
    <w:rsid w:val="3D400BA9"/>
    <w:rsid w:val="3D64032A"/>
    <w:rsid w:val="3DAC43D5"/>
    <w:rsid w:val="3DF95A66"/>
    <w:rsid w:val="3E4B6A9B"/>
    <w:rsid w:val="3E9928E7"/>
    <w:rsid w:val="3EB428B0"/>
    <w:rsid w:val="3FDD76C1"/>
    <w:rsid w:val="4007090C"/>
    <w:rsid w:val="40546F2B"/>
    <w:rsid w:val="408B5AF4"/>
    <w:rsid w:val="40AD2461"/>
    <w:rsid w:val="40B90E06"/>
    <w:rsid w:val="410A18D8"/>
    <w:rsid w:val="418D7D70"/>
    <w:rsid w:val="41A37494"/>
    <w:rsid w:val="42B3131D"/>
    <w:rsid w:val="42EA0B36"/>
    <w:rsid w:val="433F5D44"/>
    <w:rsid w:val="43980A05"/>
    <w:rsid w:val="43E550B8"/>
    <w:rsid w:val="44B553BD"/>
    <w:rsid w:val="453024F1"/>
    <w:rsid w:val="45374B08"/>
    <w:rsid w:val="45E432AE"/>
    <w:rsid w:val="45EB1BE1"/>
    <w:rsid w:val="46202523"/>
    <w:rsid w:val="462C79CE"/>
    <w:rsid w:val="467A7452"/>
    <w:rsid w:val="46AB1BB8"/>
    <w:rsid w:val="46C738F4"/>
    <w:rsid w:val="478F24E3"/>
    <w:rsid w:val="48C8585F"/>
    <w:rsid w:val="49940732"/>
    <w:rsid w:val="4A646777"/>
    <w:rsid w:val="4A880DD3"/>
    <w:rsid w:val="4AAA7E35"/>
    <w:rsid w:val="4ABC0DDA"/>
    <w:rsid w:val="4B3565EF"/>
    <w:rsid w:val="4DAB7D28"/>
    <w:rsid w:val="4E055E8C"/>
    <w:rsid w:val="4EBF6FC0"/>
    <w:rsid w:val="4F3F76F2"/>
    <w:rsid w:val="4F641F62"/>
    <w:rsid w:val="4FED1003"/>
    <w:rsid w:val="510B13F4"/>
    <w:rsid w:val="51105A99"/>
    <w:rsid w:val="518728DF"/>
    <w:rsid w:val="51DE1360"/>
    <w:rsid w:val="52310E93"/>
    <w:rsid w:val="5257222D"/>
    <w:rsid w:val="527C2613"/>
    <w:rsid w:val="53397A0C"/>
    <w:rsid w:val="53E92AEF"/>
    <w:rsid w:val="54B6568B"/>
    <w:rsid w:val="55085AF6"/>
    <w:rsid w:val="55552A23"/>
    <w:rsid w:val="5598344D"/>
    <w:rsid w:val="56944892"/>
    <w:rsid w:val="56AE0C92"/>
    <w:rsid w:val="572162ED"/>
    <w:rsid w:val="578277C2"/>
    <w:rsid w:val="57B32A9F"/>
    <w:rsid w:val="57BD0D5E"/>
    <w:rsid w:val="58047FBD"/>
    <w:rsid w:val="58122592"/>
    <w:rsid w:val="584879D7"/>
    <w:rsid w:val="5858341E"/>
    <w:rsid w:val="58925DB9"/>
    <w:rsid w:val="58FA45CC"/>
    <w:rsid w:val="593C713F"/>
    <w:rsid w:val="597E4679"/>
    <w:rsid w:val="5A982114"/>
    <w:rsid w:val="5AEB2255"/>
    <w:rsid w:val="5AF00933"/>
    <w:rsid w:val="5B5317F3"/>
    <w:rsid w:val="5C9F2C03"/>
    <w:rsid w:val="5CD1707F"/>
    <w:rsid w:val="5D494803"/>
    <w:rsid w:val="5D4C4B05"/>
    <w:rsid w:val="5E264EC6"/>
    <w:rsid w:val="5E593512"/>
    <w:rsid w:val="5F00399C"/>
    <w:rsid w:val="5F1832FB"/>
    <w:rsid w:val="5FF97134"/>
    <w:rsid w:val="5FFF5ED8"/>
    <w:rsid w:val="60E35EEF"/>
    <w:rsid w:val="617B794E"/>
    <w:rsid w:val="62227200"/>
    <w:rsid w:val="624D58C1"/>
    <w:rsid w:val="6275592F"/>
    <w:rsid w:val="62FC1833"/>
    <w:rsid w:val="6305220C"/>
    <w:rsid w:val="6360028A"/>
    <w:rsid w:val="63A66574"/>
    <w:rsid w:val="64A55D99"/>
    <w:rsid w:val="6508139B"/>
    <w:rsid w:val="65374138"/>
    <w:rsid w:val="65DA70E3"/>
    <w:rsid w:val="66C828BC"/>
    <w:rsid w:val="67026F67"/>
    <w:rsid w:val="682C661B"/>
    <w:rsid w:val="687D4166"/>
    <w:rsid w:val="69724A89"/>
    <w:rsid w:val="69B30239"/>
    <w:rsid w:val="69F06C95"/>
    <w:rsid w:val="6A615405"/>
    <w:rsid w:val="6AA20B62"/>
    <w:rsid w:val="6B2E10CC"/>
    <w:rsid w:val="6B4D4F83"/>
    <w:rsid w:val="6B573147"/>
    <w:rsid w:val="6C1F6348"/>
    <w:rsid w:val="6C26686A"/>
    <w:rsid w:val="6C7E029D"/>
    <w:rsid w:val="6D0506ED"/>
    <w:rsid w:val="6D0B1506"/>
    <w:rsid w:val="704853CF"/>
    <w:rsid w:val="70930824"/>
    <w:rsid w:val="70C2647F"/>
    <w:rsid w:val="73D272D0"/>
    <w:rsid w:val="74C32DCE"/>
    <w:rsid w:val="74EE5E20"/>
    <w:rsid w:val="76C66107"/>
    <w:rsid w:val="777B4C4A"/>
    <w:rsid w:val="77BA4BDE"/>
    <w:rsid w:val="7814146E"/>
    <w:rsid w:val="78184F16"/>
    <w:rsid w:val="78847233"/>
    <w:rsid w:val="78DE0BFA"/>
    <w:rsid w:val="79444163"/>
    <w:rsid w:val="7A46508C"/>
    <w:rsid w:val="7A470084"/>
    <w:rsid w:val="7A676C97"/>
    <w:rsid w:val="7B480B6C"/>
    <w:rsid w:val="7B5B53DA"/>
    <w:rsid w:val="7BEC4AB5"/>
    <w:rsid w:val="7C974B11"/>
    <w:rsid w:val="7E0C25A3"/>
    <w:rsid w:val="7F1E79A3"/>
    <w:rsid w:val="7F5932C6"/>
    <w:rsid w:val="7FDC5D91"/>
    <w:rsid w:val="DCBD4D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4"/>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5">
    <w:name w:val="heading 3"/>
    <w:basedOn w:val="1"/>
    <w:next w:val="4"/>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4"/>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4"/>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4"/>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39"/>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39"/>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39"/>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39"/>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39"/>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39"/>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39"/>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5">
    <w:name w:val="Strong"/>
    <w:basedOn w:val="44"/>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Char1"/>
    <w:link w:val="2"/>
    <w:qFormat/>
    <w:uiPriority w:val="0"/>
    <w:rPr>
      <w:rFonts w:ascii="宋体" w:eastAsia="宋体"/>
      <w:b/>
      <w:kern w:val="44"/>
      <w:sz w:val="44"/>
      <w:lang w:val="en-US" w:eastAsia="zh-CN" w:bidi="ar-SA"/>
    </w:rPr>
  </w:style>
  <w:style w:type="character" w:customStyle="1" w:styleId="52">
    <w:name w:val="正文缩进 Char1"/>
    <w:link w:val="4"/>
    <w:qFormat/>
    <w:uiPriority w:val="0"/>
    <w:rPr>
      <w:rFonts w:ascii="宋体" w:eastAsia="宋体"/>
      <w:sz w:val="34"/>
      <w:lang w:val="en-US" w:eastAsia="zh-CN" w:bidi="ar-SA"/>
    </w:rPr>
  </w:style>
  <w:style w:type="character" w:customStyle="1" w:styleId="53">
    <w:name w:val="标题 2 Char1"/>
    <w:link w:val="3"/>
    <w:qFormat/>
    <w:uiPriority w:val="0"/>
    <w:rPr>
      <w:rFonts w:ascii="Arial" w:hAnsi="Arial" w:eastAsia="黑体"/>
      <w:b/>
      <w:sz w:val="32"/>
      <w:lang w:val="en-US" w:eastAsia="zh-CN" w:bidi="ar-SA"/>
    </w:rPr>
  </w:style>
  <w:style w:type="character" w:customStyle="1" w:styleId="54">
    <w:name w:val="标题 3 Char1"/>
    <w:link w:val="5"/>
    <w:qFormat/>
    <w:uiPriority w:val="0"/>
    <w:rPr>
      <w:rFonts w:ascii="宋体" w:eastAsia="宋体"/>
      <w:b/>
      <w:sz w:val="32"/>
      <w:lang w:val="en-US" w:eastAsia="zh-CN" w:bidi="ar-SA"/>
    </w:rPr>
  </w:style>
  <w:style w:type="character" w:customStyle="1" w:styleId="55">
    <w:name w:val="标题 4 Char"/>
    <w:link w:val="6"/>
    <w:qFormat/>
    <w:uiPriority w:val="0"/>
    <w:rPr>
      <w:rFonts w:ascii="等线 Light" w:hAnsi="等线 Light" w:eastAsia="等线 Light" w:cs="Times New Roman"/>
      <w:b/>
      <w:bCs/>
      <w:kern w:val="2"/>
      <w:sz w:val="28"/>
      <w:szCs w:val="28"/>
    </w:rPr>
  </w:style>
  <w:style w:type="character" w:customStyle="1" w:styleId="56">
    <w:name w:val="标题 5 Char"/>
    <w:basedOn w:val="44"/>
    <w:link w:val="7"/>
    <w:qFormat/>
    <w:uiPriority w:val="0"/>
    <w:rPr>
      <w:rFonts w:eastAsia="仿宋_GB2312"/>
      <w:b/>
      <w:bCs/>
      <w:kern w:val="2"/>
      <w:sz w:val="28"/>
      <w:szCs w:val="28"/>
    </w:rPr>
  </w:style>
  <w:style w:type="character" w:customStyle="1" w:styleId="57">
    <w:name w:val="标题 6 Char1"/>
    <w:link w:val="8"/>
    <w:qFormat/>
    <w:uiPriority w:val="0"/>
    <w:rPr>
      <w:rFonts w:ascii="Calibri Light" w:hAnsi="Calibri Light" w:eastAsia="宋体" w:cs="Times New Roman"/>
      <w:b/>
      <w:bCs/>
      <w:kern w:val="2"/>
      <w:sz w:val="24"/>
      <w:szCs w:val="24"/>
    </w:rPr>
  </w:style>
  <w:style w:type="character" w:customStyle="1" w:styleId="58">
    <w:name w:val="标题 7 Char1"/>
    <w:link w:val="9"/>
    <w:qFormat/>
    <w:uiPriority w:val="0"/>
    <w:rPr>
      <w:rFonts w:ascii="宋体"/>
      <w:b/>
      <w:color w:val="000000"/>
      <w:kern w:val="2"/>
      <w:sz w:val="24"/>
      <w:szCs w:val="24"/>
    </w:rPr>
  </w:style>
  <w:style w:type="character" w:customStyle="1" w:styleId="59">
    <w:name w:val="标题 8 Char1"/>
    <w:link w:val="10"/>
    <w:qFormat/>
    <w:uiPriority w:val="0"/>
    <w:rPr>
      <w:rFonts w:ascii="Arial" w:hAnsi="Arial" w:eastAsia="黑体"/>
      <w:color w:val="000000"/>
      <w:kern w:val="2"/>
      <w:sz w:val="24"/>
      <w:szCs w:val="24"/>
    </w:rPr>
  </w:style>
  <w:style w:type="character" w:customStyle="1" w:styleId="60">
    <w:name w:val="标题 9 Char1"/>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Char1"/>
    <w:link w:val="35"/>
    <w:qFormat/>
    <w:uiPriority w:val="99"/>
    <w:rPr>
      <w:rFonts w:eastAsia="仿宋_GB2312"/>
      <w:kern w:val="2"/>
      <w:sz w:val="16"/>
      <w:szCs w:val="16"/>
      <w:lang w:val="en-US" w:eastAsia="zh-CN" w:bidi="ar-SA"/>
    </w:rPr>
  </w:style>
  <w:style w:type="character" w:customStyle="1" w:styleId="63">
    <w:name w:val="正文文本缩进 Char1"/>
    <w:link w:val="18"/>
    <w:qFormat/>
    <w:uiPriority w:val="0"/>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Char2"/>
    <w:link w:val="17"/>
    <w:qFormat/>
    <w:uiPriority w:val="0"/>
    <w:rPr>
      <w:rFonts w:ascii="仿宋_GB2312" w:eastAsia="仿宋_GB2312"/>
      <w:kern w:val="2"/>
      <w:sz w:val="28"/>
      <w:lang w:val="en-US" w:eastAsia="zh-CN" w:bidi="ar-SA"/>
    </w:rPr>
  </w:style>
  <w:style w:type="character" w:customStyle="1" w:styleId="66">
    <w:name w:val="页脚 Char1"/>
    <w:link w:val="28"/>
    <w:qFormat/>
    <w:uiPriority w:val="99"/>
    <w:rPr>
      <w:rFonts w:ascii="宋体" w:eastAsia="宋体"/>
      <w:sz w:val="18"/>
      <w:lang w:val="en-US" w:eastAsia="zh-CN" w:bidi="ar-SA"/>
    </w:rPr>
  </w:style>
  <w:style w:type="character" w:customStyle="1" w:styleId="67">
    <w:name w:val="批注框文本 Char2"/>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Char2"/>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Char2"/>
    <w:link w:val="14"/>
    <w:qFormat/>
    <w:uiPriority w:val="0"/>
    <w:rPr>
      <w:rFonts w:eastAsia="仿宋_GB2312"/>
      <w:sz w:val="30"/>
      <w:shd w:val="clear" w:color="auto" w:fill="000080"/>
      <w:lang w:bidi="ar-SA"/>
    </w:rPr>
  </w:style>
  <w:style w:type="character" w:customStyle="1" w:styleId="75">
    <w:name w:val="脚注文本 Char1"/>
    <w:link w:val="33"/>
    <w:qFormat/>
    <w:uiPriority w:val="99"/>
    <w:rPr>
      <w:rFonts w:eastAsia="仿宋_GB2312"/>
      <w:kern w:val="2"/>
      <w:sz w:val="18"/>
      <w:szCs w:val="18"/>
    </w:rPr>
  </w:style>
  <w:style w:type="character" w:customStyle="1" w:styleId="76">
    <w:name w:val="纯文本 Char1"/>
    <w:link w:val="23"/>
    <w:qFormat/>
    <w:uiPriority w:val="0"/>
    <w:rPr>
      <w:rFonts w:ascii="宋体" w:hAnsi="Courier New" w:eastAsia="宋体"/>
      <w:kern w:val="2"/>
      <w:sz w:val="21"/>
      <w:lang w:val="en-US" w:eastAsia="zh-CN" w:bidi="ar-SA"/>
    </w:rPr>
  </w:style>
  <w:style w:type="character" w:customStyle="1" w:styleId="77">
    <w:name w:val="页眉 Char1"/>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Char1"/>
    <w:link w:val="26"/>
    <w:qFormat/>
    <w:uiPriority w:val="99"/>
    <w:rPr>
      <w:rFonts w:eastAsia="仿宋_GB2312"/>
      <w:kern w:val="2"/>
      <w:sz w:val="30"/>
    </w:rPr>
  </w:style>
  <w:style w:type="character" w:customStyle="1" w:styleId="81">
    <w:name w:val="批注文字 Char1"/>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Char2"/>
    <w:link w:val="40"/>
    <w:qFormat/>
    <w:uiPriority w:val="0"/>
    <w:rPr>
      <w:rFonts w:ascii="Calibri Light" w:hAnsi="Calibri Light" w:cs="Times New Roman"/>
      <w:b/>
      <w:bCs/>
      <w:kern w:val="2"/>
      <w:sz w:val="32"/>
      <w:szCs w:val="32"/>
    </w:rPr>
  </w:style>
  <w:style w:type="character" w:customStyle="1" w:styleId="84">
    <w:name w:val="批注主题 Char2"/>
    <w:link w:val="41"/>
    <w:qFormat/>
    <w:uiPriority w:val="0"/>
    <w:rPr>
      <w:rFonts w:eastAsia="仿宋_GB2312"/>
      <w:b/>
      <w:bCs/>
      <w:kern w:val="2"/>
      <w:sz w:val="30"/>
    </w:rPr>
  </w:style>
  <w:style w:type="character" w:customStyle="1" w:styleId="85">
    <w:name w:val="正文文本 2 Char1"/>
    <w:link w:val="38"/>
    <w:qFormat/>
    <w:uiPriority w:val="99"/>
    <w:rPr>
      <w:rFonts w:eastAsia="宋体"/>
      <w:kern w:val="2"/>
      <w:sz w:val="21"/>
      <w:szCs w:val="24"/>
      <w:lang w:val="en-US" w:eastAsia="zh-CN" w:bidi="ar-SA"/>
    </w:rPr>
  </w:style>
  <w:style w:type="character" w:customStyle="1" w:styleId="86">
    <w:name w:val="正文文本 3 Char1"/>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4"/>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Char"/>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5"/>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Char"/>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Char"/>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5"/>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修订2"/>
    <w:qFormat/>
    <w:uiPriority w:val="0"/>
    <w:rPr>
      <w:rFonts w:ascii="Times New Roman" w:hAnsi="Times New Roman" w:eastAsia="仿宋_GB2312" w:cs="Times New Roman"/>
      <w:kern w:val="2"/>
      <w:sz w:val="30"/>
      <w:lang w:val="en-US" w:eastAsia="zh-CN" w:bidi="ar-SA"/>
    </w:rPr>
  </w:style>
  <w:style w:type="character" w:customStyle="1" w:styleId="220">
    <w:name w:val="不明显强调2"/>
    <w:qFormat/>
    <w:uiPriority w:val="0"/>
    <w:rPr>
      <w:i/>
      <w:iCs/>
      <w:color w:val="808080"/>
    </w:rPr>
  </w:style>
  <w:style w:type="character" w:customStyle="1" w:styleId="221">
    <w:name w:val="明显参考2"/>
    <w:qFormat/>
    <w:uiPriority w:val="0"/>
    <w:rPr>
      <w:b/>
      <w:bCs/>
      <w:smallCaps/>
      <w:color w:val="C0504D"/>
      <w:spacing w:val="5"/>
      <w:u w:val="single"/>
    </w:rPr>
  </w:style>
  <w:style w:type="character" w:customStyle="1" w:styleId="222">
    <w:name w:val="书籍标题2"/>
    <w:qFormat/>
    <w:uiPriority w:val="0"/>
    <w:rPr>
      <w:b/>
      <w:bCs/>
      <w:smallCaps/>
      <w:spacing w:val="5"/>
    </w:rPr>
  </w:style>
  <w:style w:type="character" w:customStyle="1" w:styleId="223">
    <w:name w:val="明显强调2"/>
    <w:qFormat/>
    <w:uiPriority w:val="0"/>
    <w:rPr>
      <w:b/>
      <w:bCs/>
      <w:i/>
      <w:iCs/>
      <w:color w:val="4F81BD"/>
    </w:rPr>
  </w:style>
  <w:style w:type="character" w:customStyle="1" w:styleId="224">
    <w:name w:val="不明显参考2"/>
    <w:qFormat/>
    <w:uiPriority w:val="0"/>
    <w:rPr>
      <w:smallCaps/>
      <w:color w:val="C0504D"/>
      <w:u w:val="single"/>
    </w:rPr>
  </w:style>
  <w:style w:type="paragraph" w:customStyle="1" w:styleId="225">
    <w:name w:val="TOC 标题2"/>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226">
    <w:name w:val="fontstyle01"/>
    <w:basedOn w:val="44"/>
    <w:qFormat/>
    <w:uiPriority w:val="0"/>
    <w:rPr>
      <w:rFonts w:hint="eastAsia" w:ascii="仿宋" w:hAnsi="仿宋" w:eastAsia="仿宋"/>
      <w:color w:val="000000"/>
      <w:sz w:val="28"/>
      <w:szCs w:val="28"/>
    </w:rPr>
  </w:style>
  <w:style w:type="character" w:customStyle="1" w:styleId="227">
    <w:name w:val="font41"/>
    <w:basedOn w:val="44"/>
    <w:qFormat/>
    <w:uiPriority w:val="0"/>
    <w:rPr>
      <w:rFonts w:hint="eastAsia" w:ascii="等线" w:hAnsi="等线" w:eastAsia="等线" w:cs="等线"/>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382E3-F158-42C7-AFCA-58DF3F353094}">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29</Pages>
  <Words>10337</Words>
  <Characters>10816</Characters>
  <Lines>111</Lines>
  <Paragraphs>31</Paragraphs>
  <TotalTime>3</TotalTime>
  <ScaleCrop>false</ScaleCrop>
  <LinksUpToDate>false</LinksUpToDate>
  <CharactersWithSpaces>10898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2024-12-14T03:44:00Z</dcterms:created>
  <dc:creator>admin</dc:creator>
  <cp:lastModifiedBy>明</cp:lastModifiedBy>
  <cp:lastPrinted>2026-01-09T08:55:00Z</cp:lastPrinted>
  <dcterms:modified xsi:type="dcterms:W3CDTF">2026-01-22T09:42:21Z</dcterms:modified>
  <dc:title>目    录</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C663E85232474BC5BB0230DCA9667662_13</vt:lpwstr>
  </property>
  <property fmtid="{D5CDD505-2E9C-101B-9397-08002B2CF9AE}" pid="4" name="KSOTemplateDocerSaveRecord">
    <vt:lpwstr>eyJoZGlkIjoiOTljZGI0NWJjZTI2YjVhMjMyMTBmOWJiNWI4MjM5MjkiLCJ1c2VySWQiOiIzODcyMDQxMzgifQ==</vt:lpwstr>
  </property>
</Properties>
</file>