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eastAsia="方正小标宋_GBK"/>
          <w:color w:val="000000"/>
          <w:sz w:val="36"/>
          <w:szCs w:val="36"/>
        </w:rPr>
      </w:pPr>
      <w:r>
        <w:rPr>
          <w:rFonts w:hint="eastAsia" w:eastAsia="方正小标宋简体"/>
          <w:color w:val="000000"/>
          <w:sz w:val="36"/>
          <w:szCs w:val="36"/>
        </w:rPr>
        <w:t>（二十一）卫生健康</w:t>
      </w:r>
      <w:r>
        <w:rPr>
          <w:rFonts w:eastAsia="方正小标宋简体"/>
          <w:color w:val="000000"/>
          <w:sz w:val="36"/>
          <w:szCs w:val="36"/>
        </w:rPr>
        <w:t>领域基层政务公开标准目录</w:t>
      </w:r>
    </w:p>
    <w:tbl>
      <w:tblPr>
        <w:tblStyle w:val="5"/>
        <w:tblW w:w="50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765"/>
        <w:gridCol w:w="1562"/>
        <w:gridCol w:w="3260"/>
        <w:gridCol w:w="1131"/>
        <w:gridCol w:w="1134"/>
        <w:gridCol w:w="852"/>
        <w:gridCol w:w="1629"/>
        <w:gridCol w:w="507"/>
        <w:gridCol w:w="529"/>
        <w:gridCol w:w="494"/>
        <w:gridCol w:w="529"/>
        <w:gridCol w:w="580"/>
        <w:gridCol w:w="494"/>
        <w:gridCol w:w="75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95"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序号</w:t>
            </w:r>
          </w:p>
        </w:tc>
        <w:tc>
          <w:tcPr>
            <w:tcW w:w="734"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公开事项</w:t>
            </w:r>
          </w:p>
        </w:tc>
        <w:tc>
          <w:tcPr>
            <w:tcW w:w="1029"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公开内容（要素）</w:t>
            </w:r>
          </w:p>
        </w:tc>
        <w:tc>
          <w:tcPr>
            <w:tcW w:w="357"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公开依据</w:t>
            </w:r>
          </w:p>
        </w:tc>
        <w:tc>
          <w:tcPr>
            <w:tcW w:w="358"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公开时限</w:t>
            </w:r>
          </w:p>
        </w:tc>
        <w:tc>
          <w:tcPr>
            <w:tcW w:w="269"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公开主体</w:t>
            </w:r>
          </w:p>
        </w:tc>
        <w:tc>
          <w:tcPr>
            <w:tcW w:w="514"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公开渠道和载体（网址）</w:t>
            </w:r>
          </w:p>
        </w:tc>
        <w:tc>
          <w:tcPr>
            <w:tcW w:w="327"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公开对象</w:t>
            </w:r>
          </w:p>
        </w:tc>
        <w:tc>
          <w:tcPr>
            <w:tcW w:w="323" w:type="pct"/>
            <w:gridSpan w:val="2"/>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公开方式</w:t>
            </w:r>
          </w:p>
        </w:tc>
        <w:tc>
          <w:tcPr>
            <w:tcW w:w="577" w:type="pct"/>
            <w:gridSpan w:val="3"/>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公开层级</w:t>
            </w:r>
          </w:p>
        </w:tc>
        <w:tc>
          <w:tcPr>
            <w:tcW w:w="317" w:type="pct"/>
            <w:vMerge w:val="restart"/>
            <w:vAlign w:val="center"/>
          </w:tcPr>
          <w:p>
            <w:pPr>
              <w:widowControl/>
              <w:spacing w:line="220" w:lineRule="exact"/>
              <w:jc w:val="center"/>
              <w:rPr>
                <w:rFonts w:ascii="黑体" w:hAnsi="黑体" w:eastAsia="黑体" w:cs="宋体"/>
                <w:color w:val="000000"/>
                <w:kern w:val="0"/>
                <w:sz w:val="20"/>
                <w:szCs w:val="18"/>
              </w:rPr>
            </w:pPr>
            <w:r>
              <w:rPr>
                <w:rFonts w:hint="eastAsia" w:ascii="黑体" w:hAnsi="黑体" w:eastAsia="黑体" w:cs="宋体"/>
                <w:color w:val="000000"/>
                <w:kern w:val="0"/>
                <w:sz w:val="20"/>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95" w:type="pct"/>
            <w:vMerge w:val="continue"/>
            <w:vAlign w:val="center"/>
          </w:tcPr>
          <w:p>
            <w:pPr>
              <w:widowControl/>
              <w:spacing w:line="220" w:lineRule="exact"/>
              <w:jc w:val="left"/>
              <w:rPr>
                <w:rFonts w:ascii="黑体" w:hAnsi="黑体" w:eastAsia="黑体" w:cs="宋体"/>
                <w:color w:val="000000"/>
                <w:kern w:val="0"/>
                <w:sz w:val="18"/>
                <w:szCs w:val="18"/>
              </w:rPr>
            </w:pPr>
          </w:p>
        </w:tc>
        <w:tc>
          <w:tcPr>
            <w:tcW w:w="241" w:type="pct"/>
            <w:vAlign w:val="center"/>
          </w:tcPr>
          <w:p>
            <w:pPr>
              <w:widowControl/>
              <w:spacing w:line="220" w:lineRule="exact"/>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一级事项</w:t>
            </w:r>
          </w:p>
        </w:tc>
        <w:tc>
          <w:tcPr>
            <w:tcW w:w="493" w:type="pct"/>
            <w:vAlign w:val="center"/>
          </w:tcPr>
          <w:p>
            <w:pPr>
              <w:widowControl/>
              <w:spacing w:line="220" w:lineRule="exact"/>
              <w:jc w:val="left"/>
              <w:rPr>
                <w:rFonts w:ascii="黑体" w:hAnsi="黑体" w:eastAsia="黑体" w:cs="宋体"/>
                <w:color w:val="000000"/>
                <w:kern w:val="0"/>
                <w:sz w:val="20"/>
                <w:szCs w:val="18"/>
              </w:rPr>
            </w:pPr>
            <w:r>
              <w:rPr>
                <w:rFonts w:hint="eastAsia" w:ascii="黑体" w:hAnsi="黑体" w:eastAsia="黑体" w:cs="宋体"/>
                <w:color w:val="000000"/>
                <w:kern w:val="0"/>
                <w:sz w:val="20"/>
                <w:szCs w:val="18"/>
              </w:rPr>
              <w:t>二级事项</w:t>
            </w:r>
          </w:p>
        </w:tc>
        <w:tc>
          <w:tcPr>
            <w:tcW w:w="1029" w:type="pct"/>
            <w:vMerge w:val="continue"/>
            <w:vAlign w:val="center"/>
          </w:tcPr>
          <w:p>
            <w:pPr>
              <w:widowControl/>
              <w:spacing w:line="220" w:lineRule="exact"/>
              <w:jc w:val="left"/>
              <w:rPr>
                <w:rFonts w:ascii="黑体" w:hAnsi="黑体" w:eastAsia="黑体" w:cs="宋体"/>
                <w:color w:val="000000"/>
                <w:kern w:val="0"/>
                <w:sz w:val="18"/>
                <w:szCs w:val="18"/>
              </w:rPr>
            </w:pPr>
          </w:p>
        </w:tc>
        <w:tc>
          <w:tcPr>
            <w:tcW w:w="357" w:type="pct"/>
            <w:vMerge w:val="continue"/>
            <w:vAlign w:val="center"/>
          </w:tcPr>
          <w:p>
            <w:pPr>
              <w:widowControl/>
              <w:spacing w:line="220" w:lineRule="exact"/>
              <w:jc w:val="left"/>
              <w:rPr>
                <w:rFonts w:ascii="黑体" w:hAnsi="黑体" w:eastAsia="黑体" w:cs="宋体"/>
                <w:color w:val="000000"/>
                <w:kern w:val="0"/>
                <w:sz w:val="18"/>
                <w:szCs w:val="18"/>
              </w:rPr>
            </w:pPr>
          </w:p>
        </w:tc>
        <w:tc>
          <w:tcPr>
            <w:tcW w:w="358" w:type="pct"/>
            <w:vMerge w:val="continue"/>
            <w:vAlign w:val="center"/>
          </w:tcPr>
          <w:p>
            <w:pPr>
              <w:widowControl/>
              <w:spacing w:line="220" w:lineRule="exact"/>
              <w:jc w:val="left"/>
              <w:rPr>
                <w:rFonts w:ascii="黑体" w:hAnsi="黑体" w:eastAsia="黑体" w:cs="宋体"/>
                <w:color w:val="000000"/>
                <w:kern w:val="0"/>
                <w:sz w:val="18"/>
                <w:szCs w:val="18"/>
              </w:rPr>
            </w:pPr>
          </w:p>
        </w:tc>
        <w:tc>
          <w:tcPr>
            <w:tcW w:w="269" w:type="pct"/>
            <w:vMerge w:val="continue"/>
            <w:vAlign w:val="center"/>
          </w:tcPr>
          <w:p>
            <w:pPr>
              <w:widowControl/>
              <w:spacing w:line="220" w:lineRule="exact"/>
              <w:jc w:val="left"/>
              <w:rPr>
                <w:rFonts w:ascii="黑体" w:hAnsi="黑体" w:eastAsia="黑体" w:cs="宋体"/>
                <w:color w:val="000000"/>
                <w:kern w:val="0"/>
                <w:sz w:val="18"/>
                <w:szCs w:val="18"/>
              </w:rPr>
            </w:pPr>
          </w:p>
        </w:tc>
        <w:tc>
          <w:tcPr>
            <w:tcW w:w="514" w:type="pct"/>
            <w:vMerge w:val="continue"/>
            <w:vAlign w:val="center"/>
          </w:tcPr>
          <w:p>
            <w:pPr>
              <w:widowControl/>
              <w:spacing w:line="220" w:lineRule="exact"/>
              <w:jc w:val="left"/>
              <w:rPr>
                <w:rFonts w:ascii="黑体" w:hAnsi="黑体" w:eastAsia="黑体" w:cs="宋体"/>
                <w:color w:val="000000"/>
                <w:kern w:val="0"/>
                <w:sz w:val="18"/>
                <w:szCs w:val="18"/>
              </w:rPr>
            </w:pPr>
          </w:p>
        </w:tc>
        <w:tc>
          <w:tcPr>
            <w:tcW w:w="160"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全社会</w:t>
            </w:r>
          </w:p>
        </w:tc>
        <w:tc>
          <w:tcPr>
            <w:tcW w:w="167"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特定群众</w:t>
            </w:r>
          </w:p>
        </w:tc>
        <w:tc>
          <w:tcPr>
            <w:tcW w:w="156"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主动</w:t>
            </w:r>
          </w:p>
        </w:tc>
        <w:tc>
          <w:tcPr>
            <w:tcW w:w="167"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依申请公开</w:t>
            </w:r>
          </w:p>
        </w:tc>
        <w:tc>
          <w:tcPr>
            <w:tcW w:w="183"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县级</w:t>
            </w:r>
          </w:p>
        </w:tc>
        <w:tc>
          <w:tcPr>
            <w:tcW w:w="156"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镇街</w:t>
            </w:r>
          </w:p>
        </w:tc>
        <w:tc>
          <w:tcPr>
            <w:tcW w:w="238" w:type="pct"/>
            <w:vAlign w:val="center"/>
          </w:tcPr>
          <w:p>
            <w:pPr>
              <w:widowControl/>
              <w:spacing w:line="220" w:lineRule="exact"/>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乡、村级</w:t>
            </w:r>
          </w:p>
        </w:tc>
        <w:tc>
          <w:tcPr>
            <w:tcW w:w="317" w:type="pct"/>
            <w:vMerge w:val="continue"/>
            <w:vAlign w:val="center"/>
          </w:tcPr>
          <w:p>
            <w:pPr>
              <w:widowControl/>
              <w:spacing w:line="220" w:lineRule="exact"/>
              <w:jc w:val="left"/>
              <w:rPr>
                <w:rFonts w:ascii="黑体" w:hAnsi="黑体" w:eastAsia="黑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对用人单位未按照规定实行有害作业与无害作业分开、工作场所与生活场所分开的；用人单位的主要负责人、职业卫生管理人员未接受职业卫生培训的违法行为的处罚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bottom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bottom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对有关单位向用人单位提供可能产生职业病危害的设备、材料，未按照规定提供中文说明书或者设置警示标识和中文警示说明的行为的处罚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对已经取得资质认可的职业卫生技术服务机构，不再符合《职业卫生技术服务机构监督管理暂行办法》规定的资质条件的违法行为的处罚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tcBorders>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p>
        </w:tc>
        <w:tc>
          <w:tcPr>
            <w:tcW w:w="156"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183" w:type="pct"/>
            <w:tcBorders>
              <w:top w:val="single" w:color="auto" w:sz="4" w:space="0"/>
            </w:tcBorders>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238" w:type="pct"/>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tcBorders>
              <w:top w:val="single" w:color="auto" w:sz="4" w:space="0"/>
            </w:tcBorders>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对为安全生产工作提供服务的机构为生产经营单位提供检测、检验、认证、评价、教育培训、咨询等服务时弄虚作假的行为的处罚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《安全评价检测检验机构管理办法》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对用人单位有关事项发生重大变化，未按照《职业病危害项目申报办法》的规定申报变更职业病危害项目内容的违法行为的处罚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《职业病危害项目申报办法》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对职业卫生技术服务机构有《职业卫生技术服务机构监督管理暂行办法》第四十五条规定的违法行为的处罚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对建设单位《建设项目职业病防护设施“三同时”监督管理办法》第四十一条规定的违法行为的处罚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对建设单位《建设项目职业病防护设施“三同时”监督管理办法》第四十条规定的违法行为的处罚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《建设项目职业病防护设施“三同时”监督管理办法》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对用人单位违反《职业病防治法》规定，已经对劳动者生命健康造成严重损害的行为的处罚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对建设单位有《职业病防治法》第六十九条第一、三、四、五、六款规定的违法行为的处罚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对技术服务机构未取得职业卫生技术服务资质认可擅自从事职业卫生技术服务的行为的处罚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对职业卫生专职技术人员同时在两个以上职业卫生技术服务机构从业的违法行为的处罚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对用人单位有《工作场所职业卫生监督管理规定》第五十二条规定的违法行为的处罚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对用人单位有《工作场所职业卫生监督管理规定》第四十九条规定的违法行为的处罚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《工作场所职业卫生监督管理规定》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对用人单位未按照规定报告职业病、疑似职业病时弄虚作假的行为的处罚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对用人单位存在《职业病防治法》第七十二条规定的违法行为的处罚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对用人单位有《职业病防治法》第七十一条规定的违法行为的处罚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对用人单位有《职业病防治法》第七十条规定的违法行为的处罚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对用人单位未按照规定报告职业病、疑似职业病的行为的处罚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及其工作人员违反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违反规定，护士的配备数量低于国务院卫生主管部门规定的护士配备标准的，允许未取得护士执业证书的人员或者允许未依照规定办理执业地点变更手续、延续执业注册有效期的护士在本机构从事诊疗技术规范规定的护理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在执业活动中，执业活动超出规定的执业范围，或者未按照规定进行转诊的；违反规定使用乡村医生基本用药目录以外的处方药品的；违反规定出具医学证明，或者伪造卫生统计资料的；发现传染病疫情、中毒事件不按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血站、单采血浆站对采集的人体血液、血浆未进行艾滋病检测，或者发现艾滋病检测阳性的人体血液、血浆仍然采集的，将未经艾滋病检测的人体血液、血浆，或者艾滋病检测阳性的人体血液、血浆供应给医疗机构和血液制品生产单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心理咨询人员从事心理治疗或者精神障碍的诊断治疗、从事心理治疗的人员在医疗机构以外开展心理治疗活动、专门从事心理治疗的人员从事精神障碍的诊断、专门从事心理治疗的人员为精神障碍患者开具处方或者提供外科治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按照规定承担本单位的传染病预防、控制工作、医院感染控制任务和责任区域内的传染病预防、未报告传染病疫情、泄露传染病病人、病原携带者、疑似传染病病人、密切接触者涉及个人隐私的有关信息、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《执业医师法》、《处方管理办法》、《台湾地区医师在大陆短期行医管理规定》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《传染性非典型肺炎防治管理办法》、《传染病防治法》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职业卫生技术服务的机构和承担职业健康检查、职业病诊断的医疗卫生机构超出资质认可或者批准范围从事职业卫生技术服务或者职业病诊断的，不按照本法规定履行法定职责的，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餐具、饮具集中消毒服务单位违反《中华人民共和国食品安全法》规定用水，使用洗涤剂、消毒剂，或者出厂的餐具、饮具未按规定检验合格并随附消毒合格证明，或者未按规定在独立包装上标注相关内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《中华人民共和国食品安全法》、《餐具、饮具集中消毒服务单位卫生监督工作规范》</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对医疗机构未建立抗菌药物管理规章制度、抗菌药物临床应用管理混乱、未执行抗菌药物分级管理、医师抗菌药物处方权限管理、药师抗菌药物调剂资格管理或者未配备相关专业技术人员的行为的行政处罚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对发生麻醉药品和精神药品被盗、被抢、丢失案件的单位 违反《麻醉药品和精神药品管理条例》的规定未采取必要的控制措施或者未依照《麻醉药品和精神药品管理条例》的规定报告的行为的行政处罚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对医疗卫生机构、医疗废物集中处置单位未按照的规定对污水、传染病病人或者疑似传染病病人的排泄物，进行严格消毒，或者未达到国家规定的排放标准，排入污水处理系统的行为的行政处罚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对职业病诊断机构未建立职业病诊断管理制度、不按照规定向劳动者公开职业病诊断程序、泄露劳动者涉及个人隐私的有关信息、资料等违反《职业病诊断与鉴定管理办法》的行为的行政处罚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对医疗机构未取得放射诊疗许可从事放射诊疗工作的，未办理诊疗科目登记或者未按照规定进行校验的，未经批准擅自变更放射诊疗项目或者超出批准范围从事放射诊疗工作的行为的行政处罚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医疗机构未经批准，擅自对病因不明并具有传染病特征的病人尸体进行解剖查验；未按规定采取有效的消毒、防护、隔离等措施；查验机构及其工作人员出具虚假查验报告的行为的行政处罚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《传染病防治法》、《医疗机构管理条例》、《传染病病人或疑似传染病病人尸体解剖查验规定》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对医师未按照《抗菌药物临床应用管理办法》规定开具抗菌药物处方、使用未经国家药品监督管理部门批准的抗菌药物、使用本机构抗菌药物供应目录以外的品种、品规的行为的行政处罚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对未经卫生调查进行施工或者未按照疾病预防控制机构的意见采取必要的传染病预防、控制措施在国家确认的自然疫源地兴建水利、交通、旅游、能源等大型建设项目的行为的行政处罚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对执业医师违反《麻醉药品和精神药品管理条例》的规定开具麻醉药品和第一类精神药品处方，或者未按照临床应用指导原则的要求使用麻醉药品和第一类精神药品的行为的行政处罚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对公共场所的经营者未查验服务人员的健康合格证明或者允许未取得健康合格证明的人员从事服务工作、未在确定的公共场所内放置安全套或者设置安全套发售设施的行为的行政处罚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对检疫传染病病人、疑似检疫传染病病人以及与其密切接触者隐瞒真实情况、逃避交通卫生检疫的，拒绝接受交通卫生检疫和必要的卫生处理对疾病预防控制机构的行为的行政处罚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《突发公共卫生事件交通应急规定》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对疾病预防控制机构未依法履行传染病监测职责、通报疫情、故意泄露传染病病人、病原携带者、疑似传染病病人、密切接触者涉及个人隐私的有关信息、资料的行为的行政处罚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对有关单位和人员对传染性非典型肺炎病原体污染的污水、污物、粪便不按规定进行消毒处理，生产、经营、使用消毒产品、隔离防护用品等不符合规定与标准的行为的行政处罚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《传染性非典型肺炎防治管理办法》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对未按照核准登记的医学检查科下设专业诊疗科目开展临床检验工作、未按照相关规定擅自新增医学检验科下设专业、超出已登记的专业范围开展临床检验工作的行为的行政处罚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《医疗机构临床实验室管理办法》（卫医发〔2006〕73号）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对医疗机构未建立传染病疫情报告制度、未指定相关部门和人员负责传染病疫情报告管理工作、瞒报、缓报、谎报发现的传染病病人、病原携带者、疑似病人的行为的行政处罚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对医疗机构违反《放射诊疗管理规定》购置、使用不合格或国家有关部门规定淘汰的放射诊疗设备、未按照规定使用安全防护装置和个人防护用品违反《放射诊疗管理规定》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对拒绝接受卫生主管部门、兽医主管部门依法开展有关高致病性病原微生物扩散的调查取证、采集样品等活动或者依照本条例规定采取有关预防、控制措施的行为的行政处罚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对放射工作单位的工作场所职业病危害因素检测、评价结果、职业病防治管理措施、劳动者个人职业病防护、职业病危害有关的化学材料未按照规定执行的行为的行政处罚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对普通高等学校、中等专业学校、技工学校、农业中学、职业中学组织学生参加生产劳动接触有毒有害物质、未按要求提供保健待遇和定期进行体检的行为的行政处罚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对医疗卫生机构未按照本办法规定履行职责，导致托幼机构发生突发公共卫生事件的行为的行政处罚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对采供血机构未按照规定报告传染病疫情，或者隐瞒、谎报、缓报传染病疫情，或者未执行国家有关规定，导致因输入血液引起经血液传播疾病发生的行为的行政处罚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对医疗机构使用未取得抗菌药物处方权的医师或者使用被取消抗菌药物处方权的医师开具抗菌药物处方、未对抗菌药物处方、医嘱实施适宜性审核的行为的行政处罚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对医疗机构及其工作人员拒绝对送诊的疑似精神障碍患者作出诊断、对依法实施住院治疗的患者未及时进行检查评估或者未根据评估结果作出处理的行为的行政处罚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对疾病预防控制机构、医疗机构和从事病原微生物实验的单位，不符合国家规定的条件和技术标准，对传染病病原体样本未按照规定进行严格管理的行为的行政处罚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对医疗机构诊疗活动超出核准登记范围、未建立相应规章制度、未按要求书写并妥善保管病历资料等违反《广东省医疗纠纷预防与处理办法》的行为的行政处罚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对集中式供水单位安排未取得体检合格证的人员从事直接供、管水工作或安排患有有碍饮用水卫生疾病的或病原携带者从事直接供、管水工作的行为的行政处罚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《生活饮用水卫生监督管理办法》（2016年修正）</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对职业卫生技术服务机构超出资质认可或者批准范围从事职业卫生技术服务的；不按照《职业病防治法》规定履行法定职责的；出具虚假证明文件行为的处罚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对非法为他人施行计划生育手术、非医学需要的胎儿性别鉴定、选择性别的人工终止妊娠、进行假医学鉴定、出具假计划生育证明违法行为的行为的行政处罚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《广东省人口与计划生育条例》、《中华人民共和国人口与计划生育法》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对从事人体器官移植的医务人员违反《人体器官移植条例》规定，泄露人体器官捐献人、接受人或者申请人体器官移植手术患者个人资料的行为的行政处罚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对中医医疗机构不符合中医医疗机构设置标准、获得城镇职工基本医疗保险定点医疗机构资格未按照规定向参保人员提供基本医疗服务的行为的行政处罚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《中华人民共和国中医药条例》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对医疗卫生机构的环境、物品、排放废弃的污水、污物、运送传染病病人及其污染物品的车辆、工具不符合国家有关规范、标准和规定的行为的行政处罚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对医疗机构使用未取得处方权的人员、被取消处方权的医师开具处方、使用未取得药学专业技术职务任职资格的人员从事处方调剂工作的行为的行政处罚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对医疗卫生机构、医疗废物集中处置单位未对从事医疗废物收集、运送、贮存、处置等工作的人员和管理人员采取职业卫生防护措施的行为的行政处罚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对医疗卫生机构、医疗废物集中处置单位发生医疗废物流失、泄漏、扩散时，未采取紧急处理措施，或者未及时向卫生行政主管部门的行为的行政处罚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对医疗卫生机构、医疗废物集中处置单位对收治的传染病病人或者疑似传染病病人产生的生活垃圾，未按照医疗废物进行管理和处置的行为的行政处罚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对护士在性病诊疗活动中违反本办法规定泄露患者隐私或者发现医嘱违反法律、法规、规章、诊疗技术规范未按照规定提出或者报告的行为的行政处罚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对违反《广东省查处生产销售假冒伪劣商品违法行为条例》第二十条规定，擅自启封、转移、使用、改动、销毁、销售被查封物品的行为的行政处罚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对医疗机构的放射工作许可登记证件过期或者超许可登记范围使用、储存放射性同位素与射线装置造成放射事故，尚不构成犯罪的行为的行政处罚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对医疗卫生机构、医疗废物集中处置单位未使用符合标准的专用车辆运送医疗废物或者使用运送医疗废物的车辆运送其他物品的行为的行政处罚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对托幼机构未按要求设立保健室、卫生室或者配备卫生保健人员、招收未经健康检查或健康检查不合格的儿童入托幼机构的</w:t>
            </w:r>
            <w:bookmarkStart w:id="0" w:name="_GoBack"/>
            <w:bookmarkEnd w:id="0"/>
            <w:r>
              <w:rPr>
                <w:rFonts w:hint="eastAsia" w:ascii="仿宋" w:hAnsi="仿宋" w:eastAsia="仿宋" w:cs="宋体"/>
                <w:color w:val="000000"/>
                <w:kern w:val="0"/>
                <w:sz w:val="18"/>
                <w:szCs w:val="18"/>
              </w:rPr>
              <w:t>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对经依法批准从事高致病性病原微生物相关实验活动的实验室的设立单位未建立健全安全保卫制度，或者未采取安全保卫措施的行为的行政处罚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对计划生育技术服务机构和从事计划生育技术服务的医疗、保健机构在开展计划生育技术服务时出具虚假证明文件、做假手术的行为的行政处罚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对饮用水供水单位供应的饮用水、涉及饮用水卫生安全的产品、用于传染病防治的消毒产品不符合国家卫生标准和卫生规范的行为的行政处罚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《生活饮用水卫生监督管理办法》、《消毒管理办法》、《中华人民共和国传染病防治法实施办法》、《中华人民共和国传染病防治法》)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对医疗机构将未达到国家规定标准的污水、传染病病人或者疑似传染病病人的排泄物排入城市排水管网的，造成传染病传播的行为的行政处罚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对生产经营无生产企业卫生许可证或新消毒产品卫生许可批准文件的、产品卫生安全评价不合格或产品卫生质量不符合要求的行为的行政处罚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对医疗机构违规摘取人体器官、摘取活体器官、对摘取器官完毕的尸体未进行符合伦理原则的医学处理，恢复尸体原貌的行为的行政处罚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对违反《病原微生物实验室生物安全管理条例》规定，在不符合相应生物安全要求的实验室从事病原微生物相关实验活动的行为的行政处罚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对医疗卫生机构、医疗废物集中处置单位未对有关人员进行相关法律和专业技术、安全防护以及紧急处理等知识的培训的行为的行政处罚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对医疗卫生机构、医疗废物集中处置单位对使用后的医疗废物运送工具或者运送车辆未在指定地点及时进行消毒和清洁的行为的行政处罚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对医疗机构或者其他有关机构承担尸检任务的机构没有正当理由，拒绝进行尸检的；涂改、伪造、隐匿、销毁病历资料的行为的行政处罚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对医疗卫生机构未按照医疗废物进行管理和处置医疗废物、污水、传染病病人和疑似传染病病人的排泄物、生活垃圾的行为的行政处罚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对医疗机构违反《人体器官移植技术临床应用管理暂行规定》第二章规定，未经诊疗科目登记擅自开展人体器官移植的行为的行政处罚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《卫生部关于印发&lt;人体器官移植技术临床应用管理暂行规定&gt;的通知》（医发〔2006〕94号）、《医疗机构管理条例》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对医疗废物集中处置单位未对从事医疗废物收集、运送、贮存、处置等工作的人员和管理人员采取职业卫生防护措施的行为的行政处罚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对疾病预防控制机构、接种单位以外的单位或者个人违反《疫苗流通和预防接种管理条例》规定进行群体性预防接种的行为的行政处罚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对医疗卫生机构未制定、实施本机构护士在职培训计划或者未保证护士接受培训的，未依照规定履行护士管理职责的行为的行政处罚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对学校教室建筑、环境噪声、室内微小气候、采光、照明等环境质量以及黑板、课桌椅的设置不符合国家有关标准的行为的行政处罚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对无资质从事婚前医学检查、遗传病诊断、产前诊断或者医学技术鉴定、施行终止妊娠手术、出具有关医学证明的行为的行政处罚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对疾病预防控制机构、接种单位、疫苗生产企业、接受委托配送疫苗的企业未在规定的冷藏条件下储存、运输疫苗的行为的行政处罚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对医疗卫生机构未依照《突发公共卫生事件应急条例》的规定履行职责、拒不服从突发事件应急处理指挥部调度的行为的行政处罚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《突发公共卫生事件应急条例》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对医疗机构、疾病预防控制机构发现急性血吸虫病疫情或者接到急性血吸虫病暴发、流行报告时未及时采取措施的行为的行政处罚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对生产、销售《广东省查处生产销售假冒伪劣商品违法行为条例》第十条第一、二、三、四、五、六项所列商品的行为的行政处罚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对生产、销售《广东省查处生产销售假冒伪劣商品违法行为条例》第十条第八、九、十、十一、十二项所列商品的行为的行政处罚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对职业健康检查机构未指定主检医师或者指定的主检医师未取得职业病诊断资格的，未建立职业健康检查档案的行为的行政处罚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对医疗卫生机构、医疗废物集中处置单位在医疗废物管理中未将医疗废物按照类别分置于专用包装物或者容器的行为的行政处罚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对未取得职业卫生技术服务资质认可擅自从事职业卫生技术服务、医疗卫生机构未经批准擅自从事职业病诊断的行为的行政处罚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《中华人民共和国职业病防治法》、《职业病诊断与鉴定管理办法》、《职业健康检查管理办法》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p>
            <w:pPr>
              <w:widowControl/>
              <w:spacing w:line="220" w:lineRule="exact"/>
              <w:jc w:val="left"/>
              <w:rPr>
                <w:rFonts w:ascii="仿宋" w:hAnsi="仿宋" w:eastAsia="仿宋"/>
                <w:sz w:val="18"/>
                <w:szCs w:val="18"/>
              </w:rPr>
            </w:pP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对实验室负责人、实验室工作人员、负责实验室感染控制的专门机构或者人员未依照规定报告、采取控制措施的行为的行政处罚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对医疗机构未取得放射工作许可登记证件使用、储存放射性同位素与射线装置造成放射事故且尚不构成犯罪的行为的行政处罚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对计划生育技术服务机构使用没有依法取得《计划生育技术服务人员合格证》的人员从事计划生育技术服务的行为的行政处罚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对放射工作单位未按照规定组织职业健康检查、未建立职业健康监护档案或者未将检查结果如实告知劳动者的行为的行政处罚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 、《放射工作人员职业健康管理办法》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对执业医师未按照临床应用指导原则的要求使用第二类精神药品 或者未使用专用处方开具第二类精神药品的行为的行政处罚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对医务人员违规摘取人体器官、摘取活体器官、对摘取器官完毕的尸体未进行符合伦理原则的医学处理的行为的行政处罚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对医疗卫生机构、医疗废物集中处置单位在医疗废物管理中贮存设施或者设备不符合环境保护、卫生要求的行为的行政处罚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对乡村医生在执业活动中，违反规定进行实验性临床医疗活动，或者重复使用一次性医疗器械和卫生材料的行为的行政处罚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对从事计划生育技术服务的人员擅自增加计划生育技术服务项目或在执业的机构外从事计划生育技术服务的行为的行政处罚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对药师未按照规定审核、调剂抗菌药物处方，情节严重的；未按照规定私自增加抗菌药物品种或者品规的行为的行政处罚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《抗菌药物临床应用管理办法》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对公共场所经营者对发生的危害健康事故未立即采取处置措施，导致危害扩大，或者隐瞒、缓报、谎报的行为的行政处罚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对餐具、饮具集中消毒服务单位拒绝、阻挠、干涉卫生计生行政部门及其工作人员依法开展监督检查的行为的行政处罚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《中华人民共和国食品安全法》、《餐具、饮具集中消毒服务单位卫生监督工作规范》</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对用于传染病防治的消毒产品不符合国家卫生标准和卫生规范导致或者可能导致传染病传播、流行的行为的行政处罚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《传染病防治法》、《传染病防治法实施办法》、《消毒管理办法》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对医疗机构自行建有医疗废物处置设施但未定期对医疗废物处置设施的卫生学效果进行检测、评价的行为的行政处罚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对未取得麻醉药品和第一类精神药品处方资格的执业医师擅自开具麻醉药品和第一类精神药品处方的行为的行政处罚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对伪造、变造、买卖计划生育证明的；使用虚假计划生育证明的；以不正当手段取得计划生育证明的行为的行政处罚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对托幼机构未按照规定履行卫生保健工作职责，造成传染病流行、食物中毒等突发公共卫生事件的行为的行政处罚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对从事计划生育技术服务的机构和人员未经批准擅自从事产前诊断和使用辅助生育技术治疗不育症的行为的行政处罚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对提供、使用未经出入境检验检疫机构检疫的进口人体血液、血浆、组织、器官、细胞、骨髓等的行为的行政处罚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对中外各方未经批准成立中外合资、合作医疗机构并开展医疗活动或以合同方式经营诊疗项目的行为的行政处罚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《中外合资、合作医疗机构管理暂行办法》、《医疗机构管理条例》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对医务人员未遵守诊疗护理规范、未履行如实告知义务、丢失、隐匿、伪造或者销毁病历资料的行为的行政处罚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《广东省医疗纠纷预防与处理办法》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对医疗卫生机构未为护士提供卫生防护用品，或者未采取有效的卫生防护措施、医疗保健措施的行为的行政处罚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对学校为学生设置厕所不符合国家规定，无洗手设施，寄宿学校无学生洗漱、洗澡等卫生设施的行为的行政处罚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对未取得产前诊断类母婴保健技术考核合格证书的个人，擅自从事产前诊断或超越许可范围的行为的行政处罚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对台湾医师未取得《台湾医师短期行医执业证书》行医或者未按照注册的有效期从事诊疗活动的行为的行政处罚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对计划生育技术服务机构或者医疗、保健机构以外的机构或者人员擅自从事计划生育技术服务的行为的行政处罚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对港澳医师未取得《港澳医师短期行医执业证书》行医或者未按照注册的有效期从事诊疗活动的行为的行政处罚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对未按照规定对公共场所进行卫生检测和未按照规定对顾客用品用具进行清洗、消毒、保洁的行为的行政处罚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对使用后的一次性医疗用品、一次性医疗器械、输液瓶、产妇胎盘不按规定进行收集、处理的行为的行政处罚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对从事母婴保健技术服务的人员出具虚假医学证明文件的，给当事人身心健康造成严重后果的行为的行政处罚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《中华人民共和国母婴保健法》、《中华人民共和国母婴保健法实施办法》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对医疗卫生机构使用的进入人体组织或无菌器官以及医疗器械用品未达到灭菌和消毒要求的行为的行政处罚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对乡级医疗卫生机构未依照规定将第一类疫苗分发到承担预防接种工作的村医疗卫生机构的行为的行政处罚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对生产、销售《广东省查处生产销售假冒伪劣商品违法行为条例》第十条第七项所列商品的行为的行政处罚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对处方的调配人、核对人违反本条例的规定未对麻醉药品和第一类精神药品处方进行核对的行为的行政处罚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对准许或者纵容传染病人、病原携带者和疑似传染病病人，从事儿童看护、保教工作的行为的行政处罚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对医疗卫生机构、医疗废物集中处置单位未对医疗废物进行登记或者未保存登记资料的行为的行政处罚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对医疗机构未按照规定保管麻醉药品和精神药品处方，或者未依照规定进行专册登记的行为的行政处罚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对职业病诊断鉴定委员会组成人员收受职业病诊断争议当事人的财物或者其他好处的行为的行政处罚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《中华人民共和国职业卫生防治法》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对医疗卫生机构、医疗废物集中处置单位阻碍卫生行政主管部门执法人员执行职务的行为的行政处罚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对逾期不校验计划生育技术服务执业许可证明文件经责令限期补办后仍拒不校验的行为的行政处罚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对有《广东省查处生产销售假冒伪劣商品违法行为条例》第十一条所列行为之一的行为的行政处罚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对有《广东省查处生产销售假冒伪劣商品违法行为条例》第十二条所列行为之一的行为的行政处罚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对医疗卫生机构发生感染性疾病暴发、流行时，未及时报告和采取有效消毒措施的行为的行政处罚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对医疗保健机构未取得产前诊断执业许可或超越许可范围，擅自从事产前诊断的行为的行政处罚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对医疗保健机构《母婴保健技术服务执业许可证》校验不合格且整改后仍不合格的行为的行政处罚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《广东省母婴保健技术服务项目审批管理办法》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对个体或私营医疗保健机构瞒报、缓报、谎报传染病疫情或突发性公共卫生事件的行为的行政处罚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对大规模批量生产、销售假冒伪劣商品，以贿赂、回扣等方式推销假冒伪劣商品的行为的行政处罚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《广东省查处生产销售假冒伪劣商品违法行为条例》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对医疗机构违反《职业病防治法》规定，已经对劳动者生命健康造成严重损害的行为的行政处罚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对违反《中外合资、合作医疗机构管理暂行办法》的中外合资、合作医疗机构的行为的行政处罚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《中外合资、合作医疗机构管理暂行办法》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对违反《疫苗流通和预防接种管理条例》规定发布接种第二类疫苗的建议信息的行为的行政处罚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对托幼机构未取得《医疗机构执业许可证》擅自设立卫生室，进行诊疗活动的行为的行政处罚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《托儿所幼儿园卫生保健管理办法》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对不具备集中处置医疗废物条件的农村医疗卫生机构未按照要求处置医疗废物的行为的行政处罚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对组织进行非医学需要的胚胎、胎儿性别鉴定或者选择性别的人工终止妊娠的行为的行政处罚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对暂缓校验的医疗机构违反规定擅自开展诊疗活动或发布医疗服务信息广告的行为的行政处罚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《医疗机构校验管理办法》(试行)（卫医政发[2009]57号）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对医疗机构违反《医师外出会诊管理暂行规定》第六条、第八条、第十五条的行为的行政处罚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《医师外出会诊管理暂行规定》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对取得印鉴卡的医疗机构未依照规定购买、储存、备案麻醉药品和精神药品的行为的行政处罚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对从事母婴保健工作的人员出具有关虚假医学证明或者进行胎儿性别鉴定的行为的行政处罚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《中华人民共和国母婴保健法》、《母婴保健法实施办法》、《广东省母婴保健管理条例》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对医师在性病诊疗活动中违反本办法规定，泄露患者隐私，造成严重后果的行为的行政处罚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对医疗卫生机构发生医疗废物流失、泄漏、扩散时，未采取紧急处理措施的行为的行政处罚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对医疗卫生机构、医疗废物集中处置单位未建立、健全医疗废物管理制度的行为的行政处罚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《医疗废物管理条例》、《医疗废物管理行政处罚办法》、《医疗卫生机构医疗废物管理办法》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对医疗气功人员在医疗气功活动中违反医学常规或医疗气功基本操作规范的行为的行政处罚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对买卖、出借、出租或者涂改、伪造计划生育技术服务执业许可证明文件的行为的行政处罚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对开展新生儿疾病筛查的医疗机构违反《新生儿疾病筛查技术规范》的的行为的行政处罚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《新生儿疾病筛查管理办法》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对护士执业注册申请人隐瞒有关情况或者提供虚假材料申请护士执业注册的行为的行政处罚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《护士执业注册管理办法》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对从事计划生育技术服务的机构未经批准擅自扩大计划生育技术服务项目的行为的行政处罚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对用人单位有《用人单位职业健康监护监督管理办法》第二十六条规定的违法行为的处罚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《用人单位职业健康监护监督管理办法》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对医师在性病诊疗活动中违反《性病防治管理办法》规定造成严重后果的行为的行政处罚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《执业医师法》、《性病防治管理办法》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对医疗卫生机构在运送过程中未按照医疗废物进行管理和处置医疗废物的行为的行政处罚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对医疗机构违反本办法规定，超出诊疗科目登记范围开展性病诊疗活动的行为的行政处罚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对违反《中华人民共和国职业病防治法第七十二条、放射人员职业健康的行为的行政处罚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对台湾医师未按照注册的执业地点、执业类别、执业范围从事诊疗活动的行为的行政处罚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对普通中小学校使学生接触有毒有害物质或者从事不安全工种的作业的行为的行政处罚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对盲人医疗按摩所及其工作人员违反《医疗机构管理条例》的有关规定的行为的行政处罚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《盲人医疗按摩管理办法》（卫医政发〔2009〕37号）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对供学生使用的文具、娱乐用品、保健用品达不到国家有关卫生标准的行为的行政处罚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对港澳医师未按照注册的执业地点、执业类别、执业范围从事诊疗活动的行为的行政处罚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对职业健康检查机构出租、出借《职业健康检查机构资质批准证书》的行为的行政处罚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对医师和药师未未按规定开具、使用、调剂麻醉药品和精神药品处方的行为的行政处罚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对医疗卫生机构医疗废物处置和使用的医疗废物运送工具不符合要求的行为的行政处罚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对医疗机构聘用未经内地短期行医执业注册的港澳医师从事诊疗活动的行为的行政处罚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对医疗机构聘用未经大陆短期行医执业注册的台湾医师从事诊疗活动的行为的行政处罚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《台湾地区医师在大陆短期行医管理规定》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179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对外国医师来华短期行医未经注册领取《外国医生短期行医许可证》的行为的行政处罚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《外国医师来华短期行医暂行管理办法》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对临床用血的包装、储存、运输，不符合国家规定的卫生标准和要求的行为的行政处罚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对疾病预防控制机构未按规定调查上报疫情或报告突发公共卫生事件的行为的行政处罚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对医疗卫生机构未及时对使用后的一次性医疗用品进行无害化处理的行为的行政处罚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对医疗机构未经批准擅自开展新生儿遗传代谢病筛查实验室检测的行为进行行政处罚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《新生儿疾病筛查管理办法》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对医疗机构未建立或者未落实医院感染管理的规章制度、工作规范的行为的行政处罚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《医院感染管理办法》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对消毒产品的命名、标签（含说明书）和宣传内容不符合有关规定的行为的行政处罚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对乡村医生变更执业的村医疗卫生机构，未办理变更执业注册手续的行为的行政处罚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对生产或者销售无卫生许可批准文件的涉及饮用水卫生安全的产品的行为的行政处罚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对疾病预防控制机构违反《结核病防治管理办法》第三十五条规定的行为的行政处罚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《结核病防治管理办法》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对疾病预防控制机构违反《结核病防治管理办法》第三十六条规定的行为的行政处罚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《结核病防治管理办法》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对放射工作单位未给从事放射工作的人员办理《放射工作人员证》的行为的行政处罚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对医疗机构逾期不校验《医疗机构执业许可证》仍从事诊疗活动的行为的行政处罚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对未经批准擅自从事产前诊断和使用辅助生育技术治疗不育症的行为进行行政处罚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《计划生育技术服务管理条例实施细则》、《计划生育技术服务管理条例》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对违反《病原微生物实验室生物安全管理条例》第六十三条规定的行为的行政处罚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对违反《病原微生物实验室生物安全管理条例》第六十二条规定的行为的行政处罚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对从事人体器官移植的医务人员参与尸体器官捐献人的死亡判定的行为的行政处罚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对承担单采血浆站技术评价、检测的技术机构出具虚假证明文件的行为的行政处罚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对不符合本法规定条件的医疗机构擅自从事精神障碍诊断、治疗的行为的行政处罚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《精神卫生法》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对医疗卫生机构购进消毒产品未建立并执行进货检查验收制度的行为的行政处罚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199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对医疗机构违反有关规定发布涉及性病诊断治疗内容医疗广告的行为的行政处罚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对学校未给参加劳动的学生提供必要的安全和卫生防护措施的行为的行政处罚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对违反有关规定采集或者使用人体组织、器官、细胞、骨髓等的行为的行政处罚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对违反《病原微生物实验室生物安全管理条例》第六十条规定的行为的行政处罚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对非医疗机构未经批准擅自设置人类精子库，采集、提供精子的行为的行政处罚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《人类精子库管理办法》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对医疗机构未经批准擅自设置人类精子库，采集、提供精子的行为的行政处罚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《医疗机构管理条例》、《医疗机构管理条例实施细则》、《人类精子库管理办法》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对执行职务的医疗卫生人员瞒报、缓报、谎报传染病疫情的行为的行政处罚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《突发公共卫生事件与传染病疫情监测信息报告管理办法》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对医疗卫生机构工作人员未按规定严格执行消毒隔离制度的行为的行政处罚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对医疗机构未取得《医疗机构执业许可证》发布医疗广告的行为的行政处罚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对医疗机构使用未经卫生行政部门指定的血站供应的血液的行为的行政处罚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对医疗机构使用不具备相应资质的人员从事放射诊疗工作的行为的行政处罚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对未取得《医疗机构执业许可证》擅自开展性病诊疗活动的行为的行政处罚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对盲人医疗按摩所聘用非盲人开展医疗、预防、保健活动的行为的行政处罚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《盲人医疗按摩管理办法》卫医政发〔2009〕37号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对有关单位及个人有《职业病防治法》第七十五条规定的违法行为的处罚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对医师未取得处方权或者被取消处方权后开具药品处方的行为的行政处罚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《处方管理办法》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对医疗机构未执行有关的药品质量管理规范和规章制度的行为的行政处罚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《医疗机构药事管理规定》（卫医政发〔2011〕 11号）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对医疗机构违反建设项目卫生审查、竣工验收有关规定的行为的行政处罚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对医疗机构出卖、转让、出借《医疗机构执业许可证》的行为的行政处罚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对卫生质量、卫生服务、卫生管理制度不符合规定要求的行为的行政处罚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对明知血浆检测结果为阳性仍向血液制品生产单位供应的行为的行政处罚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219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对医疗卫生机构未定期开展消毒与灭菌效果检测工作的行为的行政处罚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对医疗卫生机构未按照规定报告职业病、疑似职业病的行为的行政处罚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《职业健康检查管理办法》、《中华人民共和国职业病防治法》、《职业病诊断与鉴定管理办法》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对医疗机构违反《医疗广告管理办法》发布医疗广告的行为的行政处罚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对无《医疗机构执业许可证》擅自开展职业健康检查的行为的行政处罚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对买卖人体器官或者从事与买卖人体器官有关活动的行为的行政处罚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《人体器官移植条例》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对非医疗保健机构未经批准擅自开展产前诊断技术的行为的行政处罚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《产前诊断技术管理办法》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对学校未为学生提供充足的符合卫生标准的饮用水的行为的行政处罚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对未经批准擅自开办医疗机构行医或者非医师行医的行为的行政处罚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《中华人民共和国执业医师法》、《台湾地区医师在大陆短期行医管理规定》、《香港、澳门特别行政区医师在内地短期行医管理规定》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对台湾医师在大陆短期行医期间发生医疗事故争议的行为的行政处罚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对拒绝或者妨碍学校卫生监督员实施学校卫生监督的行为的行政处罚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对港澳医师在内地短期行医期间发生医疗事故争议的行为的行政处罚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对非法从事组织、采集、供应、倒卖原料血浆活动的行为的行政处罚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对政府有关部门采取的预防、控制措施不予配合的行为的行政处罚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对医疗机构因违反国家有关规定而发生放射事故的行为的行政处罚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对医疗机构未经批准擅自开展人类辅助生殖技术的行为的行政处罚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《医疗机构管理条例实施细则》、《医疗机构管理条例》、《人类辅助生殖技术管理办法》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对医疗机构发生放射事故隐瞒不报或者弄虚作假的行为的行政处罚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《放射事故管理规定》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对未经卫生主管部门依法指定擅自从事接种工作的行为的行政处罚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对为申请参加实践技能考试的执业医师出具伪证的行为的行政处罚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《医师资格考试暂行办法》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对医师外出会诊违反《执业医师法》有关规定的行为的行政处罚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《医疗机构管理条例》、《医疗机构管理条例实施细则》、《医师外出会诊管理暂行规定》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对医疗机构违反本办法关于应急用血采血规定的行为的行政处罚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对医疗机构提供性病诊疗服务时违反诊疗规范的行为的行政处罚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《性病防治管理办法》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对医疗机构放射性职业病危害控制不符合规定的行为的行政处罚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对学校体育场地和器材不符合卫生和安全要求的行为的行政处罚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对消毒服务机构消毒后的物品未达到卫生标准和要求的行政处罚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对未取得执业许可擅自从事计划生育技术服务的行为的行政处罚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《计划生育技术服务管理条例》《计划生育技术服务管理条例实施细则》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对使用非卫生技术人员从事医疗卫生技术工作的行为的行政处罚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《医疗机构管理条例》、《台湾地区医师在大陆短期行医管理规定》、《香港、澳门特别行政区医师在内地短期行医管理规定》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对健康体检超出备案的《健康体检项目目录》的行为的行政处罚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《健康体检管理暂行规定》（卫医政发[2009]77号）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未履行艾滋病监测职责；未按照规定免费提供咨询和初筛检测的，对临时应急采集的血液未进行艾滋病检测，对临床用血艾滋病检测结果未进行核查，或者将艾滋病检测阳性的血液用于临床的，未遵守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毒的孕产妇及其婴儿提供预防艾滋病母婴传播技术指导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对医疗机构未经批准擅自开展医疗气功活动的行为的行政处罚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《医疗机构管理条例实施细则》、《医疗气功管理暂行规定》、《医疗机构管理条例》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对无《医疗机构执业许可证》开展健康体检的行为的行政处罚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249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对未取得《医疗机构执业许可证》擅自执业的行为的行政处罚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对未经注册在村医疗卫生机构从事医疗活动的行为的行政处罚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《乡村医生从业管理条例》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对违反《单采血浆站管理办法》第六十二条的行为的行政处罚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对使用非医疗气功人员开展医疗气功活动的行为的行政处罚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对自报新生儿死亡但不能提供合法证明的行为的行政处罚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对医师以不正当手段取得医师执业证书的行为的行政处罚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对非法采集血液或者组织他人出卖血液的行为的行政处罚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对违反《血站管理办法》第六十一条的行为的行政处罚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对不符合规定影响饮用水水源、水质的行为的行政处罚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《生活饮用水卫生监督管理办法》、《中华人民共和国传染病防治法》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对医疗机构诊疗活动超出登记范围的行为的行政处罚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对医疗机构未经许可开展健康体检的行为的行政处罚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《健康体检管理暂行规定》卫医政发[2009]77号、《医疗机构管理条例》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对医疗机构未建立用血、献血制度的行为的行政处罚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《医疗机构临床用血管理办法》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对涂改、伪造、转让《供血浆证》的行为的行政处罚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对采集血浆、血浆使用不符合规定的行为的行政处罚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《血液制品管理条例》、《单采血浆站管理办法》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对非医疗机构开展医疗气功活动的行为的行政处罚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对非医师开展医疗气功活动的行为的行政处罚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对医疗机构发生医疗事故的行为的行政处罚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《医疗事故处理条例》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对非法采集、出售血液的行为的行政处罚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《中华人民共和国献血法》《血站管理办法》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对出具虚假证明文件的行为的行政处罚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269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行政处罚</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护士在执业活动中发现患者病情危急未立即通知医师的，发现医嘱违反法律、法规、规章或者诊疗技术规范的规定，未依照本条例第十七条的规定提出或者报告的，泄露患者隐私的，发生自然灾害、公共卫生事件等严重威胁公众生命健康的突发事件，不服从安排参加医疗救护的行为的行政处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1、基本信息（事项名称、办结时限、实施主体、处罚的行为、种类、幅度、审批结果等）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二、结果公示（行政相对人名称、代码、行政处罚决定书文号、违法类型、处罚类别、违法事实、处罚依据、处罚结果、处罚决定日期、处罚机关、当前状态等）</w:t>
            </w:r>
          </w:p>
        </w:tc>
        <w:tc>
          <w:tcPr>
            <w:tcW w:w="357" w:type="pct"/>
            <w:vMerge w:val="continue"/>
            <w:vAlign w:val="center"/>
          </w:tcPr>
          <w:p>
            <w:pPr>
              <w:widowControl/>
              <w:spacing w:line="220" w:lineRule="exact"/>
              <w:jc w:val="left"/>
              <w:rPr>
                <w:rFonts w:ascii="仿宋" w:hAnsi="仿宋" w:eastAsia="仿宋" w:cs="宋体"/>
                <w:color w:val="000000"/>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行政给付</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预防接种异常反应补偿</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对医疗卫生机构实施国家免疫规划的情况进行监督检查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对职业卫生技术服务机构和专职技术人员的监督检查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《职业卫生技术服务机构监督管理暂行办法》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对用人单位职业病防治工作的监督检查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对消毒工作进行监督检查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after="240"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急救网络医院检查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《院前医疗急救管理办法》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机构的医院感染管理规章制度及落实情况；对医疗机构针对医院感染危险因素的各项工作和控制措施；对医疗机构的消毒灭菌与隔离、医疗废物管理及医务人员职业卫生防护工作状况；对医疗机构的医院感染病例和医院感染暴发监测工作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《医院感染管理办法》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学校卫生监督检查：对学校卫生日常卫生监督、学生使用的用品日常卫生监督、学校校舍预防性卫生监督</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279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生活饮用水（包括集中式供水、二次供水单位和涉及饮用水卫生安全的产品）卫生监督检查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《中华人民共和国传染病防治法》、《生活饮用水卫生监督管理办法》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对医疗卫生机构的放射工作人员职业健康管理进行监督检查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人间传染的病原微生物菌（毒）种保藏机构监督检查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《传染病防治卫生监督工作规范》、《人间传染的病原微生物菌（毒）种保藏机构管理办法》、《病原微生物实验室生物安全管理条例》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对本行政区域内的血吸虫病防治工作进行监督管理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《血吸虫病防治条例》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对开展放射诊疗活动的医疗机构进行监督检查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《中华人民共和国职业病防治法》、《放射性同位素与射线装置安全和防护条例》、《放射诊疗管理规定》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学校校舍新、改、扩建的竣工验收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《学校卫生工作条例》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餐饮具集中消毒单位卫生监督检查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《中华人民共和国食品安全法》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医疗废物集中处置单位监督检查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对职业健康检查机构的监督检查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《中华人民共和国职业病防治法》、《职业健康检查管理办法》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对职业病诊断机构进行监督检查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289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消毒产品生产企业监督检查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消毒产品经营单位监督检查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《消毒管理办法》、《卫生部关于卫生监督体系建设的若干规定》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    第二十二条第二项第二目 设区的市、县级卫生监督机构负责辖区内日常卫生监督工作，主要职责为：（二）公共卫生监督　　2、对化妆品、消毒产品、生活饮用水、涉及饮用水卫生安全产品及其他健康相关产品的卫生及其生产经营活动进行卫生监督检查，查处违法行为；</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疾病预防控制机构监督检查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《医疗卫生机构医疗废物管理办法》、《疫苗流通和预防接种管理条例》、《传染病防治卫生监督工作规范》、《关于卫生监督体系建设的若干规定》、 《突发公共卫生事件与传染病疫情监测信息报告管理办法》、《性病防治管理办法》、 《消毒管理办法》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公共场所卫生监督抽检</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《公共场所卫生管理条例》、《公共场所卫生管理条例实施细则》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采供血机构监督检查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《单采血浆站管理办法》、《医疗机构管理条例》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预防接种监督检查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《传染病防治卫生监督工作规范》、《疫苗流通和预防接种管理条例》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行政检查</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实验室监督检查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1、基本信息（事项名称、实施主体、行使层级、审批结果、编码代码、特别程序、中介服务、其他信息等）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对开展爱国卫生工作成绩显著的单位和个人的奖励</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《全国爱卫会关于组织开展创建卫生先进单位和卫生村活动的通知》《广东省爱国卫生工作条例》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计划生育荣誉证书审核、发放</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《关于颁发计划生育工作者荣誉证书的通知》（国计生人字〔1989〕63号）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299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“两非”案件举报奖励</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《禁止非医学需要的胎儿性别鉴定和选择性别人工终止妊娠的规定》国家卫生和计划生育委员会令第9号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行政奖励</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护士表彰</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子项包括护士表彰（优秀护理集体）、护士表彰（优秀护士）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发生放射性职业病危害事故或者有证据证明危害状态可能导致职业病危害事故发生时（一）责令暂停导致职业病危害事故的作业；（二）封存造成职业病危害事故或者可能导致职业病危害事故发生的材料和设备；（三）组织控制职业病危害事故现场。</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发生职业病危害事故或者有证据证明危害状态可能导致职业病危害事故发生时，卫生行政部门可以采取封存造成职业病危害事故或者可能导致职业病危害事故发生的材料和设备的临时控制措施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封闭公共饮用水源、封存食品以及相关物品或者暂停销售的临时控制措施，并予以检验或者进行消毒的采取临时控制措施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对病人、相关人员、染疫或者疑似染疫的动物采取封闭、隔离治疗、医学检查、现场消毒，隔离、扑杀等措施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w:t>
            </w:r>
          </w:p>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对被传染病病原体污染的公共饮用水源、食品以及相关物品采取封闭、封存、暂停销售，检验、消毒等措施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使用单位的麻醉药品和精神药品有证据证明可能流入非法渠道的采取查封、扣押的行政强制措施</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行政强制</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对涉嫌违反《医疗废物管理条例》规定的场所、设备、运输工具和物品进行查封或者暂扣</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1、基本信息（事项名称、办结时限、实施主体、实施主体性质、行使层级、事项状态、审批结果等）2、办理流程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《医疗废物管理条例》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对传统医学师承和确有专长人员申请参加医师资格考试的资格认定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《中华人民共和国执业医师法》、《传统医学师承和确有专长人员医师资格考核考试办法》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子项包括对传统医学师承和确有专长人员申请参加医师资格考试的资格认定、传统医学师承出师证书核发、传统医学医术确有专长证书核发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放射工作人员证</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《放射工作人员职业健康管理办法》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对传染病病人尸体或者疑似传染病病人的尸体进行解剖查验的批准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《中华人民共和国传染病防治法实施办法》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子项包括对传染病病人尸体或者疑似传染病病人的尸体进行解剖查验的批准（新增）、对传染病病人尸体或者疑似传染病病人的尸体进行解剖查验的批准（注销）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病媒生物预防控制有偿服务机构公示</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《广东省病媒生物预防控制管理规定》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戒毒药物维持治疗机构批准工作</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《戒毒药物维持治疗工作管理办法》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艾滋病检测筛查实验室的验收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《全国艾滋病检测工作管理办法》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计划生育手术并发症鉴定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《计划生育技术服务管理条例》、《计划生育手术并发症鉴定管理办法（试行）》</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母婴保健医学技术鉴定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《广东省母婴保健管理条例》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《职业病诊断与鉴定管理办法》、《</w:t>
            </w:r>
            <w:r>
              <w:rPr>
                <w:rFonts w:hint="eastAsia" w:ascii="仿宋" w:hAnsi="仿宋" w:eastAsia="仿宋" w:cs="宋体"/>
                <w:color w:val="000000"/>
                <w:kern w:val="0"/>
                <w:sz w:val="18"/>
                <w:szCs w:val="18"/>
                <w:lang w:eastAsia="zh-CN"/>
              </w:rPr>
              <w:t>中</w:t>
            </w:r>
            <w:r>
              <w:rPr>
                <w:rFonts w:hint="eastAsia" w:ascii="仿宋" w:hAnsi="仿宋" w:eastAsia="仿宋" w:cs="宋体"/>
                <w:color w:val="000000"/>
                <w:kern w:val="0"/>
                <w:sz w:val="18"/>
                <w:szCs w:val="18"/>
              </w:rPr>
              <w:t>华人民共和国职业病防治法》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病残儿医学鉴定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《广东省人口与计划生育条例》、《计划生育技术服务管理条例》、《病残儿医学鉴定管理办法》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中医医院评审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《医疗机构管理条例》、《中医医院评审暂行办法》（医政函〔2012〕96号）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行政确认</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医疗机构评审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《医疗机构管理条例》、《妇幼保健机构管理机构管理办法》、《中医医院评审暂行办法》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海外留学回国服务人员执业医师资格认定（含中医医师）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《中华人民共和国执业医师法》、《卫生部关于妥善解决医师资格认定工作有关问题的通知》（卫人发〔2003〕316号）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医疗广告审查证明（不含中医医疗广告）核发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《广告管理条例》、《中华人民共和国广告法》、《广东省人民政府关于将一批省级行政职权事项调整由各地级以上市实施的决定》、《医疗广告管理办法》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麻醉药品、第一类精神药品购用印鉴卡审批</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《麻醉药品、第一类精神药品购用印鉴卡管理规定》《麻醉药品和精神药品管理条例》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麻醉药品、第一类精神药品购用印鉴卡审批（核发）、麻醉药品、第一类精神药品购用印鉴卡审批（换卡）、麻醉药品、第一类精神药品购用印鉴卡审批（变更）、麻醉药品、第一类精神药品购用印鉴卡审批（补办）、麻醉药品、第一类精神药品购用印鉴卡审批（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中医医疗机构的设置审批及执业许可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务院关于取消和下放50项行政审批项目等事项的决定》、《中外合资、合作医疗机构管理暂行办法》、《广东省卫生计生委关于进一步规范医疗机构审批管理的通知》、《卫生部关于医疗机构审批管理的若干规定》、《关于进一步改革完善医疗机构、医师审批工作的通知》、《广东省人民政府关于将一批省级行政职权事项调整由各地级以上市实施的决定》《关于进一步鼓励和引导社会资本举办医疗机构意见的通知》、《医疗机构管理条例实施细则》、 《医疗机构管理条例》、 《医疗机构校验管理办法（试行）》</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子项包括中医医疗机构设置审批、中医医疗机构校验、中医医疗机构注销登记、中医医疗机构变更登记、中医医疗机构执业登记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医疗广告（中医类）审查证明核发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《中华人民共和国广告法》、《广东省人民政府关于将一批省级行政职权事项调整由各地级以上市实施的决定》、《医疗广告管理办法》、《广告管理条例》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涉及饮用水卫生安全产品卫生许可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关于将一批省级行政职权事项调整由各地级以上市实施的决定》、《生活饮用水卫生监督管理办法》、《国务院关于取消和下放50项行政审批项目等事项的决定》、《广东省人民政府第四轮行政审批事项调整目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涉及饮用水卫生安全产品卫生许可（新证）、涉及饮用水卫生安全产品卫生许可（延续）、涉及饮用水卫生安全产品卫生许可（变更）、涉及饮用水卫生安全产品卫生许可（补办）、涉及饮用水卫生安全产品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母婴保健技术服务执业许可证核发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《广东省母婴保健管理条例》、《中华人民共和国母婴保健法》、《中华人民共和国母婴保健法实施办法》、《广东省人民政府关于将一批省级行政职权事项调整由各地级以上市实施的决定》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tabs>
                <w:tab w:val="left" w:pos="284"/>
                <w:tab w:val="center" w:pos="469"/>
              </w:tabs>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遗传病诊断、产前诊断等方面的母婴保健技术服务执业许可证核发（新证）、遗传病诊断、产前诊断等方面的母婴保健技术服务执业许可证核发（变更）、遗传病诊断、产前诊断等方面的母婴保健技术服务执业许可证核发（校验）、遗传病诊断、遗传病诊断、产前诊断等方面的母婴保健技术服务执业许可证核发（遗失补办）、遗传病诊断、产前诊断等方面的母婴保健技术服务执业许可证核发（注销）、婚前医学检查母婴保健技术服务执业许可证核发（新证）、婚前医学检查母婴保健技术服务执业许可证核发（变更）、婚前医学检查母婴保健技术服务执业许可证核发（校验）、婚前医学检查母婴保健技术服务执业许可证核发（补办）、婚前医学检查母婴保健技术服务执业许可证核发（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中医医疗机构执业医师注册发证</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《医师执业注册管理办法》、《广东省人民政府关于将一批省级行政职权事项调整由各地级以上市实施的决定》、《中华人民共和国执业医师法》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子项包括中医医疗机构医师注销注册、中医医疗机构医师执业注册、中医医疗机构医师变更注册、中医医疗机构医师备案、中医医疗机构医师《医师执业证书》遗失补办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328</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母婴保健技术考核合格证书核发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《中华人民共和国母婴保健法》、《中华人民共和国母婴保健法实施办法》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婚前医学检查母婴保健技术考核合格证书核发（新申请）、婚前医学检查母婴保健技术考核合格证书核发（补办）、婚前医学检查母婴保健技术考核合格证书核发（注销）、遗传病诊断、产前诊断的母婴保健技术考核合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329</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港澳台医师来内地短期行医核准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《台湾地区医师在大陆短期行医管理规定》、《香港、澳门特别行政区医师在内地短期行医管理规定》、《广东省人民政府2012年行政审批制度改革事项目录（第一批）》（2012年粤府令第169号）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330</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放射卫生技术服务机构资质认定</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家卫生和计划生育委员会公告2015年第3号》、《放射卫生技术服务机构管理办法》、《国务院关于取消和调整一批行政审批项目等事项的决定》、中华人民共和国职业病防治法、《广东省人民政府关于将一批省级行政职权事项继续委托各地级以上市实施的决定》（粤府〔2019〕16号）</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放射卫生技术服务机构资质认定（新证）、放射卫生技术服务机构资质认定（延续）、放射卫生技术服务机构资质认定（变更）、放射卫生技术服务机构资质认定（补办）、放射卫生技术服务机构资质认定（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331</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医疗机构设置审批和执业许可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《关于进一步鼓励和引导社会资本举办医疗机构意见的通知》、《医疗机构校验管理办法（试行）》、 《卫生部关于医疗机构审批管理的若干规定》、 《医疗机构管理条例》、《中外合资、合作医疗机构管理暂行办法》、《广东省卫生计生委关于进一步规范医疗机构审批管理的通知》、 《广东省人民政府关于将一批省级行政职权事项调整由各地级以上市实施的决定》、 《医疗机构管理条例实施细则》、《国务院关于取消和下放50项行政审批项目等事项的决定》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子项包括医疗机构设置审批、医疗机构执业许可（执业登记）、医疗机构执业许可（变更登记）、医疗机构执业许可（校验）、医疗机构执业许可（注销）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332</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消毒产品生产企业卫生许可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《广东省人民政府关于将一批省级行政职权事项调整由各地级以上市实施的决定》、《消毒管理办法》、《广东省人民政府第四轮行政审批事项调整目录》、《中华人民共和国传染病防治法》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消毒产品生产企业（一次性使用医疗用品的生产企业除外）卫生许可（新证）、消毒产品生产企业（一次性使用医疗用品的生产企业除外）卫生许可（延续）、消毒产品生产企业（一次性使用医疗用品的生产企业除外）卫生许可（变更）、消毒产品生产企业（一次性使用医疗用品的生产企业除外）卫生许可（补办）、消毒产品生产企业（一次性使用医疗用品的生产企业除外）卫生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333</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外籍医师来华短期行医核准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《广东省人民政府2012年行政审批制度改革事项目录（第一批）》、《国务院对确需保留的行政审批项目设定行政许可的决定》《外国医师来华短期行医暂行管理办法》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334</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医师执业证书核发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《医师执业注册管理办法》、《中华人民共和国执业医师法》（1998年）、 《广东省人民政府关于将一批省级行政职权事项调整由各地级以上市实施的决定》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子项包括医师执业证书（注册）、医师执业证书（变更）、医师执业证书（注销）、医师执业证书核发（补办）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335</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戒毒医疗服务许可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《中华人民共和国禁毒法》、《戒毒医疗服务管理暂行办法》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336</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护士执业证书核发</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《护士执业注册管理办法》、《 护士条例》、《国务院关于取消和下放一批行政许可事项的决定》、《护士执业注册管理办法》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子项包括护士执业证书核发（首次注册） 、护士执业证书核发（延续注册）、护士执业证书核发（变更注册）、护士执业证书核发（注销注册）、护士执业证书核发（重新注册）、护士执业证书遗失补办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337</w:t>
            </w:r>
          </w:p>
        </w:tc>
        <w:tc>
          <w:tcPr>
            <w:tcW w:w="241"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w:t>
            </w:r>
          </w:p>
        </w:tc>
        <w:tc>
          <w:tcPr>
            <w:tcW w:w="493"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放射诊疗许可</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一、办事指南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1、基本信息（事项名称、办结时限、实施主体、办件类型、办理形式、在线预约地址、网办地址、是否进驻政务大厅、跨域通办、审批信息、审批结果等）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9、权利义务</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10、法律救济</w:t>
            </w:r>
          </w:p>
        </w:tc>
        <w:tc>
          <w:tcPr>
            <w:tcW w:w="357" w:type="pct"/>
            <w:vMerge w:val="restar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卫生部关于印发放射诊疗许可发放管理程序的通知》、《广东省人民政府关于将一批省级行政职权事项继续委托各地级以上市实施的决定》（粤府〔2019〕16号）、中华人民共和国职业病防治法、《放射性同位素与射线装置安全和防护条例》、《放射诊疗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restar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子项包括放射诊疗许可（新证）、放射诊疗许可（校验）、放射诊疗许可（变更）、放射诊疗许可（补办）、放射诊疗许可（注销）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Merge w:val="continue"/>
            <w:vAlign w:val="center"/>
          </w:tcPr>
          <w:p>
            <w:pPr>
              <w:widowControl/>
              <w:spacing w:line="220" w:lineRule="exact"/>
              <w:jc w:val="left"/>
              <w:rPr>
                <w:rFonts w:ascii="仿宋" w:hAnsi="仿宋" w:eastAsia="仿宋" w:cs="宋体"/>
                <w:color w:val="000000"/>
                <w:kern w:val="0"/>
                <w:sz w:val="18"/>
                <w:szCs w:val="18"/>
              </w:rPr>
            </w:pPr>
          </w:p>
        </w:tc>
        <w:tc>
          <w:tcPr>
            <w:tcW w:w="241" w:type="pct"/>
            <w:vMerge w:val="continue"/>
            <w:vAlign w:val="center"/>
          </w:tcPr>
          <w:p>
            <w:pPr>
              <w:widowControl/>
              <w:spacing w:line="220" w:lineRule="exact"/>
              <w:jc w:val="left"/>
              <w:rPr>
                <w:rFonts w:ascii="仿宋" w:hAnsi="仿宋" w:eastAsia="仿宋" w:cs="宋体"/>
                <w:color w:val="000000"/>
                <w:kern w:val="0"/>
                <w:sz w:val="18"/>
                <w:szCs w:val="18"/>
              </w:rPr>
            </w:pPr>
          </w:p>
        </w:tc>
        <w:tc>
          <w:tcPr>
            <w:tcW w:w="493" w:type="pct"/>
            <w:vMerge w:val="continue"/>
            <w:vAlign w:val="center"/>
          </w:tcPr>
          <w:p>
            <w:pPr>
              <w:widowControl/>
              <w:spacing w:line="220" w:lineRule="exact"/>
              <w:jc w:val="left"/>
              <w:rPr>
                <w:rFonts w:ascii="仿宋" w:hAnsi="仿宋" w:eastAsia="仿宋" w:cs="宋体"/>
                <w:color w:val="000000"/>
                <w:kern w:val="0"/>
                <w:sz w:val="18"/>
                <w:szCs w:val="18"/>
              </w:rPr>
            </w:pP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二、结果公示（行政相对人名称、行政相对人类别、行政许可决定书名称、行政许可决定书文号、审批类别、许可内容、法定代表人姓名、许可决定日期、许可截止日期、许可机关、当前状态、许可机关统一信用机构代码）</w:t>
            </w:r>
          </w:p>
        </w:tc>
        <w:tc>
          <w:tcPr>
            <w:tcW w:w="357" w:type="pct"/>
            <w:vMerge w:val="continue"/>
            <w:vAlign w:val="center"/>
          </w:tcPr>
          <w:p>
            <w:pPr>
              <w:widowControl/>
              <w:spacing w:line="220" w:lineRule="exact"/>
              <w:jc w:val="left"/>
              <w:rPr>
                <w:rFonts w:ascii="仿宋" w:hAnsi="仿宋" w:eastAsia="仿宋" w:cs="宋体"/>
                <w:kern w:val="0"/>
                <w:sz w:val="18"/>
                <w:szCs w:val="18"/>
              </w:rPr>
            </w:pP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自作处行政决定之日起7个工作日内</w:t>
            </w:r>
          </w:p>
        </w:tc>
        <w:tc>
          <w:tcPr>
            <w:tcW w:w="269" w:type="pct"/>
            <w:vMerge w:val="continue"/>
            <w:vAlign w:val="center"/>
          </w:tcPr>
          <w:p>
            <w:pPr>
              <w:widowControl/>
              <w:spacing w:line="220" w:lineRule="exact"/>
              <w:jc w:val="left"/>
              <w:rPr>
                <w:rFonts w:ascii="仿宋" w:hAnsi="仿宋" w:eastAsia="仿宋" w:cs="宋体"/>
                <w:color w:val="000000"/>
                <w:kern w:val="0"/>
                <w:sz w:val="18"/>
                <w:szCs w:val="18"/>
              </w:rPr>
            </w:pP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■信用网站</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Merge w:val="continue"/>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对开设病媒生物预防控制或者增加此类经营项目、以及开展异地病媒生物预防控制的有偿服务机构进行备案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《广东省病媒生物预防控制管理规定》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339</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新建、扩建、改建放射诊疗建设项目卫生审查(预评价审核）</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《中华人民共和国职业病防治法》、《放射诊疗管理规定》、卫生部《关于印发〈放射卫生技术服务机构管理办法〉等文件的通知》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340</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新建、扩建、改建放射诊疗建设项目竣工验收</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《放射诊疗管理规定》、《中华人民共和国职业病防治法》、卫生部《关于印发〈放射卫生技术服务机构管理办法〉等文件的通知》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341</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医疗卫生机构伦理委员会备案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《涉及人的生物医学研究伦理审查办法》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342</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食品安全企业标准备案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中华人民共和国食品安全法》、《广东省人民政府关于将一批省级行政职权事项继续委托各地级以上市实施的决定》、《广东省卫生健康委关于食品安全企业标准的备案办法》、《国家卫生计生委办公厅关于进一步加强食品安全标准管理工作的通知》、《广东省卫生计生委办公室关于做好食品安全企业标准备案委托实施工作的通知》、《中华人民共和国食品安全法实施条例》、《广东省卫生计生委 广东省中医药局关于将一批省级行政职权事项调整由各地级以上市实施的公告》、《广东省人民政府关于将一批省级行政职权事项调整由各地级以上市实施的决定》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343</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医疗机构停业批准</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《医疗机构管理条例》、《医疗机构管理条例实施细则》</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344</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其他行政权力</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消毒产品备案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《国家卫生计生委关于印发消毒产品卫生安全评价规定的通知》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345</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生育指导和宣传服务</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《中华人民共和国政府信息公开条例》</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346</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一、二级病原微生物实验室和实验活动备案</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《病原微生物实验室生物安全管理条例》、《广东省卫生厅关于一、二级病原微生物实验室生物安全的管理规定》</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347</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医师、助理医师资格考试的报名资格审核</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《广东省卫生健康委关于印发（广东省医师资格、护士执业资格和卫生专业技术资格考试收费标准）的通知》</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 w:hRule="atLeast"/>
        </w:trPr>
        <w:tc>
          <w:tcPr>
            <w:tcW w:w="195"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348</w:t>
            </w:r>
          </w:p>
        </w:tc>
        <w:tc>
          <w:tcPr>
            <w:tcW w:w="241"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政务服务</w:t>
            </w:r>
          </w:p>
        </w:tc>
        <w:tc>
          <w:tcPr>
            <w:tcW w:w="493"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作业场所职业危害项目申报</w:t>
            </w:r>
          </w:p>
        </w:tc>
        <w:tc>
          <w:tcPr>
            <w:tcW w:w="102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1、基本信息（事项名称、办结时限、实施主体、实施主体性质、办件类型、办理形式、在线预约地址、网办地址、跨域通办、审批信息、审批结果、编码代码、特别程序、中介服务、其他信息等）</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2、受理标准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3、办理流程</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4、申请材料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5、咨询监督</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6、窗口办理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7、收费项目信息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8、法律依据</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9、法律救济</w:t>
            </w:r>
          </w:p>
        </w:tc>
        <w:tc>
          <w:tcPr>
            <w:tcW w:w="357"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《职业病危害项目申报办法》</w:t>
            </w:r>
          </w:p>
        </w:tc>
        <w:tc>
          <w:tcPr>
            <w:tcW w:w="358"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实时公开</w:t>
            </w:r>
          </w:p>
        </w:tc>
        <w:tc>
          <w:tcPr>
            <w:tcW w:w="269"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江门市卫生健康局</w:t>
            </w:r>
          </w:p>
        </w:tc>
        <w:tc>
          <w:tcPr>
            <w:tcW w:w="514" w:type="pct"/>
            <w:vAlign w:val="center"/>
          </w:tcPr>
          <w:p>
            <w:pPr>
              <w:widowControl/>
              <w:spacing w:line="22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■广东政务服务网</w:t>
            </w:r>
          </w:p>
        </w:tc>
        <w:tc>
          <w:tcPr>
            <w:tcW w:w="160"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b/>
                <w:bCs/>
                <w:color w:val="000000"/>
                <w:kern w:val="0"/>
                <w:sz w:val="18"/>
                <w:szCs w:val="18"/>
              </w:rPr>
            </w:pPr>
          </w:p>
        </w:tc>
        <w:tc>
          <w:tcPr>
            <w:tcW w:w="156"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67" w:type="pct"/>
            <w:vAlign w:val="center"/>
          </w:tcPr>
          <w:p>
            <w:pPr>
              <w:widowControl/>
              <w:spacing w:line="220" w:lineRule="exact"/>
              <w:jc w:val="left"/>
              <w:rPr>
                <w:rFonts w:ascii="仿宋" w:hAnsi="仿宋" w:eastAsia="仿宋" w:cs="宋体"/>
                <w:color w:val="000000"/>
                <w:kern w:val="0"/>
                <w:sz w:val="18"/>
                <w:szCs w:val="18"/>
              </w:rPr>
            </w:pPr>
          </w:p>
        </w:tc>
        <w:tc>
          <w:tcPr>
            <w:tcW w:w="183" w:type="pct"/>
            <w:vAlign w:val="center"/>
          </w:tcPr>
          <w:p>
            <w:pPr>
              <w:widowControl/>
              <w:spacing w:line="220" w:lineRule="exact"/>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w:t>
            </w:r>
          </w:p>
        </w:tc>
        <w:tc>
          <w:tcPr>
            <w:tcW w:w="156" w:type="pct"/>
            <w:vAlign w:val="center"/>
          </w:tcPr>
          <w:p>
            <w:pPr>
              <w:widowControl/>
              <w:spacing w:line="220" w:lineRule="exact"/>
              <w:jc w:val="left"/>
              <w:rPr>
                <w:rFonts w:ascii="仿宋" w:hAnsi="仿宋" w:eastAsia="仿宋" w:cs="宋体"/>
                <w:color w:val="000000"/>
                <w:kern w:val="0"/>
                <w:sz w:val="18"/>
                <w:szCs w:val="18"/>
              </w:rPr>
            </w:pPr>
          </w:p>
        </w:tc>
        <w:tc>
          <w:tcPr>
            <w:tcW w:w="238" w:type="pct"/>
            <w:vAlign w:val="center"/>
          </w:tcPr>
          <w:p>
            <w:pPr>
              <w:widowControl/>
              <w:spacing w:line="220" w:lineRule="exact"/>
              <w:jc w:val="left"/>
              <w:rPr>
                <w:rFonts w:ascii="仿宋" w:hAnsi="仿宋" w:eastAsia="仿宋" w:cs="宋体"/>
                <w:color w:val="000000"/>
                <w:kern w:val="0"/>
                <w:sz w:val="18"/>
                <w:szCs w:val="18"/>
              </w:rPr>
            </w:pPr>
          </w:p>
        </w:tc>
        <w:tc>
          <w:tcPr>
            <w:tcW w:w="317" w:type="pct"/>
            <w:vAlign w:val="center"/>
          </w:tcPr>
          <w:p>
            <w:pPr>
              <w:widowControl/>
              <w:spacing w:line="220" w:lineRule="exact"/>
              <w:jc w:val="left"/>
              <w:rPr>
                <w:rFonts w:ascii="仿宋" w:hAnsi="仿宋" w:eastAsia="仿宋" w:cs="宋体"/>
                <w:color w:val="000000"/>
                <w:kern w:val="0"/>
                <w:sz w:val="18"/>
                <w:szCs w:val="18"/>
              </w:rPr>
            </w:pPr>
          </w:p>
        </w:tc>
      </w:tr>
    </w:tbl>
    <w:p>
      <w:pPr>
        <w:snapToGrid w:val="0"/>
        <w:spacing w:line="220" w:lineRule="exact"/>
        <w:jc w:val="left"/>
        <w:rPr>
          <w:rFonts w:eastAsia="方正小标宋_GBK"/>
          <w:color w:val="000000"/>
          <w:sz w:val="18"/>
          <w:szCs w:val="18"/>
        </w:rPr>
      </w:pPr>
    </w:p>
    <w:sectPr>
      <w:pgSz w:w="16839" w:h="11907" w:orient="landscape"/>
      <w:pgMar w:top="964" w:right="720" w:bottom="964" w:left="720"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VmMjhkM2U0MTk3NDIzMzQzODg3MTQ0NWUxOTYifQ=="/>
  </w:docVars>
  <w:rsids>
    <w:rsidRoot w:val="001029DD"/>
    <w:rsid w:val="00001AA6"/>
    <w:rsid w:val="00002398"/>
    <w:rsid w:val="000131EA"/>
    <w:rsid w:val="00025B05"/>
    <w:rsid w:val="00027917"/>
    <w:rsid w:val="00030443"/>
    <w:rsid w:val="00036066"/>
    <w:rsid w:val="0004081C"/>
    <w:rsid w:val="00041B02"/>
    <w:rsid w:val="00042A96"/>
    <w:rsid w:val="00047289"/>
    <w:rsid w:val="000522BF"/>
    <w:rsid w:val="000527FB"/>
    <w:rsid w:val="000547CB"/>
    <w:rsid w:val="000616E2"/>
    <w:rsid w:val="00064F54"/>
    <w:rsid w:val="000724DD"/>
    <w:rsid w:val="0007475F"/>
    <w:rsid w:val="00080D20"/>
    <w:rsid w:val="00092E5F"/>
    <w:rsid w:val="00097F1F"/>
    <w:rsid w:val="000B6711"/>
    <w:rsid w:val="000B792B"/>
    <w:rsid w:val="000B7FD9"/>
    <w:rsid w:val="000C1C87"/>
    <w:rsid w:val="000C3F18"/>
    <w:rsid w:val="000C7AAD"/>
    <w:rsid w:val="000D6C93"/>
    <w:rsid w:val="000E3FD0"/>
    <w:rsid w:val="000E4E57"/>
    <w:rsid w:val="000E56DD"/>
    <w:rsid w:val="000F205B"/>
    <w:rsid w:val="000F557E"/>
    <w:rsid w:val="001029DD"/>
    <w:rsid w:val="00112B01"/>
    <w:rsid w:val="00120D03"/>
    <w:rsid w:val="00124DC3"/>
    <w:rsid w:val="0013221D"/>
    <w:rsid w:val="001445BD"/>
    <w:rsid w:val="001474DA"/>
    <w:rsid w:val="00152868"/>
    <w:rsid w:val="00152A97"/>
    <w:rsid w:val="001573A1"/>
    <w:rsid w:val="00160463"/>
    <w:rsid w:val="00176DB8"/>
    <w:rsid w:val="001837DB"/>
    <w:rsid w:val="00195523"/>
    <w:rsid w:val="001B16B1"/>
    <w:rsid w:val="001C0387"/>
    <w:rsid w:val="001D0FBD"/>
    <w:rsid w:val="001D1519"/>
    <w:rsid w:val="001D3F82"/>
    <w:rsid w:val="001E1B94"/>
    <w:rsid w:val="001E5D63"/>
    <w:rsid w:val="001E6232"/>
    <w:rsid w:val="001E7188"/>
    <w:rsid w:val="001F10F5"/>
    <w:rsid w:val="001F52CB"/>
    <w:rsid w:val="00200493"/>
    <w:rsid w:val="00204B64"/>
    <w:rsid w:val="0020736A"/>
    <w:rsid w:val="00214D02"/>
    <w:rsid w:val="002342DA"/>
    <w:rsid w:val="00243BC5"/>
    <w:rsid w:val="002442FD"/>
    <w:rsid w:val="00246CAB"/>
    <w:rsid w:val="002525B1"/>
    <w:rsid w:val="002566C5"/>
    <w:rsid w:val="00256955"/>
    <w:rsid w:val="00276623"/>
    <w:rsid w:val="00277CC5"/>
    <w:rsid w:val="00287FE1"/>
    <w:rsid w:val="002C49FE"/>
    <w:rsid w:val="002E1F43"/>
    <w:rsid w:val="002E7DD0"/>
    <w:rsid w:val="002F3681"/>
    <w:rsid w:val="002F51B8"/>
    <w:rsid w:val="002F625D"/>
    <w:rsid w:val="00305862"/>
    <w:rsid w:val="00310382"/>
    <w:rsid w:val="0031796B"/>
    <w:rsid w:val="00331EFB"/>
    <w:rsid w:val="003342E3"/>
    <w:rsid w:val="00342B43"/>
    <w:rsid w:val="00363644"/>
    <w:rsid w:val="003638F6"/>
    <w:rsid w:val="0037416A"/>
    <w:rsid w:val="00390C44"/>
    <w:rsid w:val="003964C6"/>
    <w:rsid w:val="003B2769"/>
    <w:rsid w:val="003B6A69"/>
    <w:rsid w:val="003C479A"/>
    <w:rsid w:val="003D37FA"/>
    <w:rsid w:val="003E348E"/>
    <w:rsid w:val="003E38C9"/>
    <w:rsid w:val="003E49C9"/>
    <w:rsid w:val="004004C6"/>
    <w:rsid w:val="00401091"/>
    <w:rsid w:val="004018BA"/>
    <w:rsid w:val="00406D83"/>
    <w:rsid w:val="004102D8"/>
    <w:rsid w:val="00413659"/>
    <w:rsid w:val="00415EDD"/>
    <w:rsid w:val="004201A9"/>
    <w:rsid w:val="00420303"/>
    <w:rsid w:val="00426A41"/>
    <w:rsid w:val="00430319"/>
    <w:rsid w:val="0043102D"/>
    <w:rsid w:val="004375AD"/>
    <w:rsid w:val="0044691D"/>
    <w:rsid w:val="00461954"/>
    <w:rsid w:val="0046367F"/>
    <w:rsid w:val="0047464B"/>
    <w:rsid w:val="0048443B"/>
    <w:rsid w:val="004861CD"/>
    <w:rsid w:val="00496188"/>
    <w:rsid w:val="004967CC"/>
    <w:rsid w:val="004B2316"/>
    <w:rsid w:val="004C4E43"/>
    <w:rsid w:val="004C5EB3"/>
    <w:rsid w:val="004E79B0"/>
    <w:rsid w:val="004F0D35"/>
    <w:rsid w:val="004F603A"/>
    <w:rsid w:val="004F74DC"/>
    <w:rsid w:val="00503F9B"/>
    <w:rsid w:val="005139B9"/>
    <w:rsid w:val="00522FFB"/>
    <w:rsid w:val="00524532"/>
    <w:rsid w:val="005301B1"/>
    <w:rsid w:val="00531221"/>
    <w:rsid w:val="00533B16"/>
    <w:rsid w:val="0053740D"/>
    <w:rsid w:val="00541A55"/>
    <w:rsid w:val="0054461D"/>
    <w:rsid w:val="00552C1A"/>
    <w:rsid w:val="00553E43"/>
    <w:rsid w:val="00562A6A"/>
    <w:rsid w:val="00562D5E"/>
    <w:rsid w:val="00570124"/>
    <w:rsid w:val="005753B9"/>
    <w:rsid w:val="00577A89"/>
    <w:rsid w:val="00586E25"/>
    <w:rsid w:val="005974BA"/>
    <w:rsid w:val="00597791"/>
    <w:rsid w:val="005B1C6C"/>
    <w:rsid w:val="005B4105"/>
    <w:rsid w:val="005C0E93"/>
    <w:rsid w:val="005C3F7A"/>
    <w:rsid w:val="005D1E73"/>
    <w:rsid w:val="005D43A6"/>
    <w:rsid w:val="005D5B5A"/>
    <w:rsid w:val="005D5EB2"/>
    <w:rsid w:val="0061353E"/>
    <w:rsid w:val="006145F1"/>
    <w:rsid w:val="00615120"/>
    <w:rsid w:val="00620B68"/>
    <w:rsid w:val="006218C8"/>
    <w:rsid w:val="00634B1F"/>
    <w:rsid w:val="00636670"/>
    <w:rsid w:val="00653413"/>
    <w:rsid w:val="006625CB"/>
    <w:rsid w:val="00667432"/>
    <w:rsid w:val="00676A5F"/>
    <w:rsid w:val="0068335A"/>
    <w:rsid w:val="0068428D"/>
    <w:rsid w:val="006875D7"/>
    <w:rsid w:val="0069200A"/>
    <w:rsid w:val="006A2EFF"/>
    <w:rsid w:val="006A7458"/>
    <w:rsid w:val="006A780E"/>
    <w:rsid w:val="006B2987"/>
    <w:rsid w:val="006C07D2"/>
    <w:rsid w:val="006C1E6E"/>
    <w:rsid w:val="006C502D"/>
    <w:rsid w:val="006D4777"/>
    <w:rsid w:val="006D54FD"/>
    <w:rsid w:val="006D7D70"/>
    <w:rsid w:val="006E0EA1"/>
    <w:rsid w:val="006E3C70"/>
    <w:rsid w:val="00702387"/>
    <w:rsid w:val="00707146"/>
    <w:rsid w:val="00713549"/>
    <w:rsid w:val="00714EF5"/>
    <w:rsid w:val="00722659"/>
    <w:rsid w:val="00730AEC"/>
    <w:rsid w:val="00733F70"/>
    <w:rsid w:val="00734BE1"/>
    <w:rsid w:val="00741DFE"/>
    <w:rsid w:val="007523FE"/>
    <w:rsid w:val="00765140"/>
    <w:rsid w:val="00765F12"/>
    <w:rsid w:val="0077159B"/>
    <w:rsid w:val="00797EE6"/>
    <w:rsid w:val="007A0F1C"/>
    <w:rsid w:val="007A2BAA"/>
    <w:rsid w:val="007A2FC4"/>
    <w:rsid w:val="007D03C5"/>
    <w:rsid w:val="007D5054"/>
    <w:rsid w:val="007E207F"/>
    <w:rsid w:val="007E3A76"/>
    <w:rsid w:val="007E4B0A"/>
    <w:rsid w:val="007E56BE"/>
    <w:rsid w:val="007F2CC2"/>
    <w:rsid w:val="008021D9"/>
    <w:rsid w:val="00802687"/>
    <w:rsid w:val="008058AE"/>
    <w:rsid w:val="0081670C"/>
    <w:rsid w:val="0081744F"/>
    <w:rsid w:val="00821FF6"/>
    <w:rsid w:val="00824913"/>
    <w:rsid w:val="00832ADC"/>
    <w:rsid w:val="00843F30"/>
    <w:rsid w:val="008623E4"/>
    <w:rsid w:val="00864126"/>
    <w:rsid w:val="00873F00"/>
    <w:rsid w:val="00875520"/>
    <w:rsid w:val="00887F7E"/>
    <w:rsid w:val="008960A3"/>
    <w:rsid w:val="008964C9"/>
    <w:rsid w:val="008A2B19"/>
    <w:rsid w:val="008B02E8"/>
    <w:rsid w:val="008C2854"/>
    <w:rsid w:val="008E1271"/>
    <w:rsid w:val="008E4207"/>
    <w:rsid w:val="008E509B"/>
    <w:rsid w:val="008E7298"/>
    <w:rsid w:val="008F2292"/>
    <w:rsid w:val="008F64A2"/>
    <w:rsid w:val="00900121"/>
    <w:rsid w:val="00901A4A"/>
    <w:rsid w:val="00904A4F"/>
    <w:rsid w:val="00911E74"/>
    <w:rsid w:val="00912CB9"/>
    <w:rsid w:val="00913D74"/>
    <w:rsid w:val="0093084E"/>
    <w:rsid w:val="009319CD"/>
    <w:rsid w:val="00935C43"/>
    <w:rsid w:val="00940995"/>
    <w:rsid w:val="00941AEC"/>
    <w:rsid w:val="00943840"/>
    <w:rsid w:val="00975406"/>
    <w:rsid w:val="00976281"/>
    <w:rsid w:val="00981EE8"/>
    <w:rsid w:val="0098374F"/>
    <w:rsid w:val="009851B4"/>
    <w:rsid w:val="00994FF0"/>
    <w:rsid w:val="009966F6"/>
    <w:rsid w:val="009978A3"/>
    <w:rsid w:val="009A0931"/>
    <w:rsid w:val="009A2A84"/>
    <w:rsid w:val="009B0AF5"/>
    <w:rsid w:val="009B113C"/>
    <w:rsid w:val="009B126D"/>
    <w:rsid w:val="009B3A63"/>
    <w:rsid w:val="009C3B7E"/>
    <w:rsid w:val="009E3E2E"/>
    <w:rsid w:val="009F4D41"/>
    <w:rsid w:val="00A01B8E"/>
    <w:rsid w:val="00A07342"/>
    <w:rsid w:val="00A10922"/>
    <w:rsid w:val="00A12289"/>
    <w:rsid w:val="00A12443"/>
    <w:rsid w:val="00A17D66"/>
    <w:rsid w:val="00A34C94"/>
    <w:rsid w:val="00A46DAD"/>
    <w:rsid w:val="00A515D8"/>
    <w:rsid w:val="00A63F2F"/>
    <w:rsid w:val="00A64ABC"/>
    <w:rsid w:val="00A72F3E"/>
    <w:rsid w:val="00A823B6"/>
    <w:rsid w:val="00A85301"/>
    <w:rsid w:val="00AA078E"/>
    <w:rsid w:val="00AA3270"/>
    <w:rsid w:val="00AB6949"/>
    <w:rsid w:val="00AB701E"/>
    <w:rsid w:val="00AC04B0"/>
    <w:rsid w:val="00AC0E0D"/>
    <w:rsid w:val="00AC30F4"/>
    <w:rsid w:val="00AC557E"/>
    <w:rsid w:val="00AD2954"/>
    <w:rsid w:val="00AF0044"/>
    <w:rsid w:val="00AF3285"/>
    <w:rsid w:val="00B0463E"/>
    <w:rsid w:val="00B07002"/>
    <w:rsid w:val="00B07F19"/>
    <w:rsid w:val="00B33B7B"/>
    <w:rsid w:val="00B346F4"/>
    <w:rsid w:val="00B371DE"/>
    <w:rsid w:val="00B40AE1"/>
    <w:rsid w:val="00B44B40"/>
    <w:rsid w:val="00B5222B"/>
    <w:rsid w:val="00B64BD7"/>
    <w:rsid w:val="00B75C3A"/>
    <w:rsid w:val="00B9544F"/>
    <w:rsid w:val="00BA1EDF"/>
    <w:rsid w:val="00BA522B"/>
    <w:rsid w:val="00BB033A"/>
    <w:rsid w:val="00BB400B"/>
    <w:rsid w:val="00BD0D80"/>
    <w:rsid w:val="00BD52E6"/>
    <w:rsid w:val="00BF7551"/>
    <w:rsid w:val="00C0337F"/>
    <w:rsid w:val="00C15EF3"/>
    <w:rsid w:val="00C16A14"/>
    <w:rsid w:val="00C267CA"/>
    <w:rsid w:val="00C34D0D"/>
    <w:rsid w:val="00C365B4"/>
    <w:rsid w:val="00C41ED1"/>
    <w:rsid w:val="00C42D9C"/>
    <w:rsid w:val="00C4399C"/>
    <w:rsid w:val="00C4562C"/>
    <w:rsid w:val="00C46337"/>
    <w:rsid w:val="00C51CEA"/>
    <w:rsid w:val="00C532D4"/>
    <w:rsid w:val="00C72DC7"/>
    <w:rsid w:val="00C845B5"/>
    <w:rsid w:val="00C8589D"/>
    <w:rsid w:val="00C90DC3"/>
    <w:rsid w:val="00C91416"/>
    <w:rsid w:val="00C937E0"/>
    <w:rsid w:val="00CA37BB"/>
    <w:rsid w:val="00CA5464"/>
    <w:rsid w:val="00CA65C9"/>
    <w:rsid w:val="00CB0E47"/>
    <w:rsid w:val="00CB1B70"/>
    <w:rsid w:val="00CB21AB"/>
    <w:rsid w:val="00CB7702"/>
    <w:rsid w:val="00CC2E55"/>
    <w:rsid w:val="00CC402F"/>
    <w:rsid w:val="00CC44DA"/>
    <w:rsid w:val="00CC6A8C"/>
    <w:rsid w:val="00CD0557"/>
    <w:rsid w:val="00CE1894"/>
    <w:rsid w:val="00CE58FF"/>
    <w:rsid w:val="00D0148D"/>
    <w:rsid w:val="00D02E1E"/>
    <w:rsid w:val="00D05E73"/>
    <w:rsid w:val="00D07E2B"/>
    <w:rsid w:val="00D14DD6"/>
    <w:rsid w:val="00D20161"/>
    <w:rsid w:val="00D26563"/>
    <w:rsid w:val="00D34012"/>
    <w:rsid w:val="00D45952"/>
    <w:rsid w:val="00D45F50"/>
    <w:rsid w:val="00D512A7"/>
    <w:rsid w:val="00D56CF0"/>
    <w:rsid w:val="00D714F3"/>
    <w:rsid w:val="00D733D9"/>
    <w:rsid w:val="00D754F6"/>
    <w:rsid w:val="00D75726"/>
    <w:rsid w:val="00D85A9C"/>
    <w:rsid w:val="00D91329"/>
    <w:rsid w:val="00DA60EA"/>
    <w:rsid w:val="00DB19C1"/>
    <w:rsid w:val="00DC6DFE"/>
    <w:rsid w:val="00DD78C7"/>
    <w:rsid w:val="00DD7AE7"/>
    <w:rsid w:val="00DE3082"/>
    <w:rsid w:val="00DE7D13"/>
    <w:rsid w:val="00E12E04"/>
    <w:rsid w:val="00E12E41"/>
    <w:rsid w:val="00E13B82"/>
    <w:rsid w:val="00E164CF"/>
    <w:rsid w:val="00E23CD7"/>
    <w:rsid w:val="00E254B5"/>
    <w:rsid w:val="00E41EB9"/>
    <w:rsid w:val="00E4310B"/>
    <w:rsid w:val="00E5621C"/>
    <w:rsid w:val="00E56CDE"/>
    <w:rsid w:val="00E665D6"/>
    <w:rsid w:val="00E935B5"/>
    <w:rsid w:val="00E95058"/>
    <w:rsid w:val="00EA3F82"/>
    <w:rsid w:val="00EB072B"/>
    <w:rsid w:val="00EC4B72"/>
    <w:rsid w:val="00ED2E96"/>
    <w:rsid w:val="00ED3D42"/>
    <w:rsid w:val="00ED535F"/>
    <w:rsid w:val="00EE03EF"/>
    <w:rsid w:val="00EE436E"/>
    <w:rsid w:val="00EE4E05"/>
    <w:rsid w:val="00EE6A12"/>
    <w:rsid w:val="00EE6D26"/>
    <w:rsid w:val="00EE6FE0"/>
    <w:rsid w:val="00EF495A"/>
    <w:rsid w:val="00EF5B8D"/>
    <w:rsid w:val="00F014F8"/>
    <w:rsid w:val="00F21110"/>
    <w:rsid w:val="00F23AA0"/>
    <w:rsid w:val="00F363F0"/>
    <w:rsid w:val="00F37D9C"/>
    <w:rsid w:val="00F42201"/>
    <w:rsid w:val="00F45A90"/>
    <w:rsid w:val="00F475CE"/>
    <w:rsid w:val="00F55F90"/>
    <w:rsid w:val="00F60769"/>
    <w:rsid w:val="00F734F1"/>
    <w:rsid w:val="00F7493A"/>
    <w:rsid w:val="00F8700D"/>
    <w:rsid w:val="00F87137"/>
    <w:rsid w:val="00F908EA"/>
    <w:rsid w:val="00FA05C7"/>
    <w:rsid w:val="00FA1E59"/>
    <w:rsid w:val="00FD393D"/>
    <w:rsid w:val="00FD4B30"/>
    <w:rsid w:val="00FF4718"/>
    <w:rsid w:val="00FF7F6B"/>
    <w:rsid w:val="01551E15"/>
    <w:rsid w:val="28213993"/>
    <w:rsid w:val="55BF2F0E"/>
    <w:rsid w:val="7FF74C25"/>
    <w:rsid w:val="A75E1398"/>
    <w:rsid w:val="DBBF0588"/>
    <w:rsid w:val="DBFE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1"/>
    <w:semiHidden/>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rFonts w:ascii="Verdana" w:hAnsi="Verdana"/>
      <w:kern w:val="0"/>
      <w:sz w:val="24"/>
      <w:szCs w:val="20"/>
      <w:lang w:eastAsia="en-US"/>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页眉 Char"/>
    <w:link w:val="4"/>
    <w:qFormat/>
    <w:uiPriority w:val="99"/>
    <w:rPr>
      <w:rFonts w:ascii="Times New Roman" w:hAnsi="Times New Roman" w:eastAsia="仿宋_GB2312"/>
      <w:kern w:val="2"/>
      <w:sz w:val="18"/>
      <w:szCs w:val="18"/>
    </w:rPr>
  </w:style>
  <w:style w:type="character" w:customStyle="1" w:styleId="11">
    <w:name w:val="页脚 Char"/>
    <w:link w:val="3"/>
    <w:qFormat/>
    <w:uiPriority w:val="0"/>
    <w:rPr>
      <w:rFonts w:ascii="Times New Roman" w:hAnsi="Times New Roman" w:eastAsia="仿宋_GB2312"/>
      <w:kern w:val="2"/>
      <w:sz w:val="18"/>
      <w:szCs w:val="18"/>
    </w:rPr>
  </w:style>
  <w:style w:type="paragraph" w:customStyle="1" w:styleId="12">
    <w:name w:val="xl7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3">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styleId="18">
    <w:name w:val="List Paragraph"/>
    <w:basedOn w:val="1"/>
    <w:qFormat/>
    <w:uiPriority w:val="34"/>
    <w:pPr>
      <w:ind w:firstLine="420" w:firstLineChars="200"/>
    </w:pPr>
  </w:style>
  <w:style w:type="paragraph" w:customStyle="1" w:styleId="19">
    <w:name w:val="xl6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
    <w:name w:val="列出段落1"/>
    <w:basedOn w:val="1"/>
    <w:qFormat/>
    <w:uiPriority w:val="0"/>
    <w:pPr>
      <w:ind w:firstLine="420" w:firstLineChars="200"/>
    </w:pPr>
    <w:rPr>
      <w:rFonts w:eastAsia="宋体"/>
    </w:rPr>
  </w:style>
  <w:style w:type="paragraph" w:customStyle="1" w:styleId="22">
    <w:name w:val="xl68"/>
    <w:basedOn w:val="1"/>
    <w:qFormat/>
    <w:uiPriority w:val="0"/>
    <w:pPr>
      <w:widowControl/>
      <w:spacing w:before="100" w:beforeAutospacing="1" w:after="100" w:afterAutospacing="1"/>
      <w:jc w:val="left"/>
      <w:textAlignment w:val="bottom"/>
    </w:pPr>
    <w:rPr>
      <w:rFonts w:ascii="宋体" w:hAnsi="宋体" w:eastAsia="宋体" w:cs="宋体"/>
      <w:kern w:val="0"/>
      <w:sz w:val="24"/>
    </w:rPr>
  </w:style>
  <w:style w:type="paragraph" w:customStyle="1" w:styleId="2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4">
    <w:name w:val="xl7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xl7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4"/>
    </w:rPr>
  </w:style>
  <w:style w:type="paragraph" w:customStyle="1" w:styleId="2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rPr>
  </w:style>
  <w:style w:type="paragraph" w:customStyle="1" w:styleId="2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0">
    <w:name w:val="xl72"/>
    <w:basedOn w:val="1"/>
    <w:qFormat/>
    <w:uiPriority w:val="0"/>
    <w:pPr>
      <w:widowControl/>
      <w:spacing w:before="100" w:beforeAutospacing="1" w:after="100" w:afterAutospacing="1"/>
      <w:jc w:val="center"/>
    </w:pPr>
    <w:rPr>
      <w:rFonts w:ascii="宋体" w:hAnsi="宋体" w:eastAsia="宋体" w:cs="宋体"/>
      <w:kern w:val="0"/>
      <w:sz w:val="24"/>
    </w:rPr>
  </w:style>
  <w:style w:type="character" w:customStyle="1" w:styleId="31">
    <w:name w:val="批注框文本 Char"/>
    <w:link w:val="2"/>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106</Pages>
  <Words>93258</Words>
  <Characters>93949</Characters>
  <Lines>761</Lines>
  <Paragraphs>214</Paragraphs>
  <TotalTime>13</TotalTime>
  <ScaleCrop>false</ScaleCrop>
  <LinksUpToDate>false</LinksUpToDate>
  <CharactersWithSpaces>94013</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2020-11-24T00:00:00Z</dcterms:created>
  <dc:creator>印发</dc:creator>
  <cp:lastModifiedBy>uos</cp:lastModifiedBy>
  <dcterms:modified xsi:type="dcterms:W3CDTF">2024-03-11T16:56:15Z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33BC6E0C507B08A72FC7EE6567DF5F71</vt:lpwstr>
  </property>
</Properties>
</file>