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59" w:rsidRPr="005F1E62" w:rsidRDefault="005F1E62" w:rsidP="005F1E62">
      <w:pPr>
        <w:pStyle w:val="1"/>
        <w:jc w:val="center"/>
        <w:rPr>
          <w:rFonts w:ascii="方正小标宋简体" w:eastAsia="方正小标宋简体"/>
          <w:b w:val="0"/>
          <w:sz w:val="36"/>
          <w:szCs w:val="36"/>
        </w:rPr>
      </w:pPr>
      <w:r w:rsidRPr="005F1E62">
        <w:rPr>
          <w:rFonts w:ascii="方正小标宋简体" w:eastAsia="方正小标宋简体" w:hint="eastAsia"/>
          <w:b w:val="0"/>
          <w:sz w:val="36"/>
          <w:szCs w:val="36"/>
        </w:rPr>
        <w:t>（二</w:t>
      </w:r>
      <w:bookmarkStart w:id="0" w:name="_GoBack"/>
      <w:bookmarkEnd w:id="0"/>
      <w:r w:rsidRPr="005F1E62">
        <w:rPr>
          <w:rFonts w:ascii="方正小标宋简体" w:eastAsia="方正小标宋简体" w:hint="eastAsia"/>
          <w:b w:val="0"/>
          <w:sz w:val="36"/>
          <w:szCs w:val="36"/>
        </w:rPr>
        <w:t>十二）</w:t>
      </w:r>
      <w:r w:rsidR="00BD6059" w:rsidRPr="005F1E62">
        <w:rPr>
          <w:rFonts w:ascii="方正小标宋简体" w:eastAsia="方正小标宋简体" w:hint="eastAsia"/>
          <w:b w:val="0"/>
          <w:sz w:val="36"/>
          <w:szCs w:val="36"/>
        </w:rPr>
        <w:t>安全生产领域基层政务公开标准目录</w:t>
      </w:r>
    </w:p>
    <w:tbl>
      <w:tblPr>
        <w:tblW w:w="5170" w:type="pct"/>
        <w:tblInd w:w="-276" w:type="dxa"/>
        <w:tblLayout w:type="fixed"/>
        <w:tblCellMar>
          <w:top w:w="15" w:type="dxa"/>
          <w:left w:w="15" w:type="dxa"/>
          <w:bottom w:w="15" w:type="dxa"/>
          <w:right w:w="15" w:type="dxa"/>
        </w:tblCellMar>
        <w:tblLook w:val="04A0" w:firstRow="1" w:lastRow="0" w:firstColumn="1" w:lastColumn="0" w:noHBand="0" w:noVBand="1"/>
      </w:tblPr>
      <w:tblGrid>
        <w:gridCol w:w="570"/>
        <w:gridCol w:w="709"/>
        <w:gridCol w:w="853"/>
        <w:gridCol w:w="2692"/>
        <w:gridCol w:w="2831"/>
        <w:gridCol w:w="1418"/>
        <w:gridCol w:w="1141"/>
        <w:gridCol w:w="849"/>
        <w:gridCol w:w="566"/>
        <w:gridCol w:w="681"/>
        <w:gridCol w:w="478"/>
        <w:gridCol w:w="687"/>
        <w:gridCol w:w="557"/>
        <w:gridCol w:w="711"/>
      </w:tblGrid>
      <w:tr w:rsidR="004B357F" w:rsidRPr="00BD6059" w:rsidTr="001B27A2">
        <w:tc>
          <w:tcPr>
            <w:tcW w:w="193"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序号</w:t>
            </w:r>
          </w:p>
        </w:tc>
        <w:tc>
          <w:tcPr>
            <w:tcW w:w="529"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公开事项</w:t>
            </w:r>
          </w:p>
        </w:tc>
        <w:tc>
          <w:tcPr>
            <w:tcW w:w="913"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公开内容（要素）</w:t>
            </w:r>
          </w:p>
        </w:tc>
        <w:tc>
          <w:tcPr>
            <w:tcW w:w="96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公开依据</w:t>
            </w:r>
          </w:p>
        </w:tc>
        <w:tc>
          <w:tcPr>
            <w:tcW w:w="481"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公开时限</w:t>
            </w:r>
          </w:p>
        </w:tc>
        <w:tc>
          <w:tcPr>
            <w:tcW w:w="38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公开主体</w:t>
            </w:r>
          </w:p>
        </w:tc>
        <w:tc>
          <w:tcPr>
            <w:tcW w:w="288"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公开渠道和载体</w:t>
            </w:r>
          </w:p>
        </w:tc>
        <w:tc>
          <w:tcPr>
            <w:tcW w:w="423"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公开对象</w:t>
            </w:r>
          </w:p>
        </w:tc>
        <w:tc>
          <w:tcPr>
            <w:tcW w:w="395"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公开方式</w:t>
            </w:r>
          </w:p>
        </w:tc>
        <w:tc>
          <w:tcPr>
            <w:tcW w:w="430"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6027F9" w:rsidRDefault="00BD6059" w:rsidP="004A538C">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公开层级</w:t>
            </w:r>
          </w:p>
        </w:tc>
      </w:tr>
      <w:tr w:rsidR="001B27A2" w:rsidRPr="00BD6059" w:rsidTr="001B27A2">
        <w:trPr>
          <w:trHeight w:val="755"/>
        </w:trPr>
        <w:tc>
          <w:tcPr>
            <w:tcW w:w="193" w:type="pct"/>
            <w:vMerge/>
            <w:tcBorders>
              <w:top w:val="single" w:sz="6" w:space="0" w:color="000000"/>
              <w:left w:val="single" w:sz="6" w:space="0" w:color="000000"/>
              <w:bottom w:val="single" w:sz="6" w:space="0" w:color="000000"/>
              <w:right w:val="single" w:sz="6" w:space="0" w:color="000000"/>
            </w:tcBorders>
            <w:vAlign w:val="center"/>
            <w:hideMark/>
          </w:tcPr>
          <w:p w:rsidR="001B27A2" w:rsidRPr="006027F9" w:rsidRDefault="001B27A2" w:rsidP="00500EB2">
            <w:pPr>
              <w:widowControl/>
              <w:spacing w:line="280" w:lineRule="exact"/>
              <w:jc w:val="left"/>
              <w:rPr>
                <w:rFonts w:ascii="黑体" w:eastAsia="黑体" w:hAnsi="黑体" w:cs="宋体"/>
                <w:bCs/>
                <w:kern w:val="0"/>
                <w:sz w:val="20"/>
                <w:szCs w:val="18"/>
              </w:rPr>
            </w:pP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1B27A2"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一级事项</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1B27A2"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二级事项</w:t>
            </w:r>
          </w:p>
        </w:tc>
        <w:tc>
          <w:tcPr>
            <w:tcW w:w="913" w:type="pct"/>
            <w:vMerge/>
            <w:tcBorders>
              <w:top w:val="single" w:sz="6" w:space="0" w:color="000000"/>
              <w:left w:val="single" w:sz="6" w:space="0" w:color="000000"/>
              <w:bottom w:val="single" w:sz="6" w:space="0" w:color="000000"/>
              <w:right w:val="single" w:sz="6" w:space="0" w:color="000000"/>
            </w:tcBorders>
            <w:vAlign w:val="center"/>
            <w:hideMark/>
          </w:tcPr>
          <w:p w:rsidR="001B27A2" w:rsidRPr="006027F9" w:rsidRDefault="001B27A2" w:rsidP="00500EB2">
            <w:pPr>
              <w:widowControl/>
              <w:spacing w:line="280" w:lineRule="exact"/>
              <w:jc w:val="left"/>
              <w:rPr>
                <w:rFonts w:ascii="黑体" w:eastAsia="黑体" w:hAnsi="黑体" w:cs="宋体"/>
                <w:bCs/>
                <w:kern w:val="0"/>
                <w:sz w:val="20"/>
                <w:szCs w:val="18"/>
              </w:rPr>
            </w:pPr>
          </w:p>
        </w:tc>
        <w:tc>
          <w:tcPr>
            <w:tcW w:w="960" w:type="pct"/>
            <w:vMerge/>
            <w:tcBorders>
              <w:top w:val="single" w:sz="6" w:space="0" w:color="000000"/>
              <w:left w:val="single" w:sz="6" w:space="0" w:color="000000"/>
              <w:bottom w:val="single" w:sz="6" w:space="0" w:color="000000"/>
              <w:right w:val="single" w:sz="6" w:space="0" w:color="000000"/>
            </w:tcBorders>
            <w:vAlign w:val="center"/>
            <w:hideMark/>
          </w:tcPr>
          <w:p w:rsidR="001B27A2" w:rsidRPr="006027F9" w:rsidRDefault="001B27A2" w:rsidP="00500EB2">
            <w:pPr>
              <w:widowControl/>
              <w:spacing w:line="280" w:lineRule="exact"/>
              <w:jc w:val="left"/>
              <w:rPr>
                <w:rFonts w:ascii="黑体" w:eastAsia="黑体" w:hAnsi="黑体" w:cs="宋体"/>
                <w:bCs/>
                <w:kern w:val="0"/>
                <w:sz w:val="20"/>
                <w:szCs w:val="18"/>
              </w:rPr>
            </w:pPr>
          </w:p>
        </w:tc>
        <w:tc>
          <w:tcPr>
            <w:tcW w:w="481" w:type="pct"/>
            <w:vMerge/>
            <w:tcBorders>
              <w:top w:val="single" w:sz="6" w:space="0" w:color="000000"/>
              <w:left w:val="single" w:sz="6" w:space="0" w:color="000000"/>
              <w:bottom w:val="single" w:sz="6" w:space="0" w:color="000000"/>
              <w:right w:val="single" w:sz="6" w:space="0" w:color="000000"/>
            </w:tcBorders>
            <w:vAlign w:val="center"/>
            <w:hideMark/>
          </w:tcPr>
          <w:p w:rsidR="001B27A2" w:rsidRPr="006027F9" w:rsidRDefault="001B27A2" w:rsidP="00500EB2">
            <w:pPr>
              <w:widowControl/>
              <w:spacing w:line="280" w:lineRule="exact"/>
              <w:jc w:val="left"/>
              <w:rPr>
                <w:rFonts w:ascii="黑体" w:eastAsia="黑体" w:hAnsi="黑体" w:cs="宋体"/>
                <w:bCs/>
                <w:kern w:val="0"/>
                <w:sz w:val="20"/>
                <w:szCs w:val="18"/>
              </w:rPr>
            </w:pPr>
          </w:p>
        </w:tc>
        <w:tc>
          <w:tcPr>
            <w:tcW w:w="387" w:type="pct"/>
            <w:vMerge/>
            <w:tcBorders>
              <w:top w:val="single" w:sz="6" w:space="0" w:color="000000"/>
              <w:left w:val="single" w:sz="6" w:space="0" w:color="000000"/>
              <w:bottom w:val="single" w:sz="6" w:space="0" w:color="000000"/>
              <w:right w:val="single" w:sz="6" w:space="0" w:color="000000"/>
            </w:tcBorders>
            <w:vAlign w:val="center"/>
            <w:hideMark/>
          </w:tcPr>
          <w:p w:rsidR="001B27A2" w:rsidRPr="006027F9" w:rsidRDefault="001B27A2" w:rsidP="00500EB2">
            <w:pPr>
              <w:widowControl/>
              <w:spacing w:line="280" w:lineRule="exact"/>
              <w:jc w:val="left"/>
              <w:rPr>
                <w:rFonts w:ascii="黑体" w:eastAsia="黑体" w:hAnsi="黑体" w:cs="宋体"/>
                <w:bCs/>
                <w:kern w:val="0"/>
                <w:sz w:val="20"/>
                <w:szCs w:val="18"/>
              </w:rPr>
            </w:pP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6027F9" w:rsidRDefault="001B27A2" w:rsidP="00500EB2">
            <w:pPr>
              <w:widowControl/>
              <w:spacing w:line="280" w:lineRule="exact"/>
              <w:jc w:val="left"/>
              <w:rPr>
                <w:rFonts w:ascii="黑体" w:eastAsia="黑体" w:hAnsi="黑体" w:cs="宋体"/>
                <w:bCs/>
                <w:kern w:val="0"/>
                <w:sz w:val="20"/>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1B27A2"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全社会</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1B27A2"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特定群众</w:t>
            </w: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1B27A2"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主动</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1B27A2" w:rsidP="00500EB2">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依申请</w:t>
            </w: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016D31" w:rsidP="004A538C">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县</w:t>
            </w:r>
            <w:r w:rsidR="001B27A2" w:rsidRPr="006027F9">
              <w:rPr>
                <w:rFonts w:ascii="黑体" w:eastAsia="黑体" w:hAnsi="黑体" w:cs="宋体" w:hint="eastAsia"/>
                <w:bCs/>
                <w:kern w:val="0"/>
                <w:sz w:val="20"/>
                <w:szCs w:val="18"/>
              </w:rPr>
              <w:t>级</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6027F9" w:rsidRDefault="006C55A3" w:rsidP="004A538C">
            <w:pPr>
              <w:widowControl/>
              <w:spacing w:line="280" w:lineRule="exact"/>
              <w:jc w:val="center"/>
              <w:outlineLvl w:val="1"/>
              <w:rPr>
                <w:rFonts w:ascii="黑体" w:eastAsia="黑体" w:hAnsi="黑体" w:cs="宋体"/>
                <w:bCs/>
                <w:kern w:val="0"/>
                <w:sz w:val="20"/>
                <w:szCs w:val="18"/>
              </w:rPr>
            </w:pPr>
            <w:r w:rsidRPr="006027F9">
              <w:rPr>
                <w:rFonts w:ascii="黑体" w:eastAsia="黑体" w:hAnsi="黑体" w:cs="宋体" w:hint="eastAsia"/>
                <w:bCs/>
                <w:kern w:val="0"/>
                <w:sz w:val="20"/>
                <w:szCs w:val="18"/>
              </w:rPr>
              <w:t>镇（街道）</w:t>
            </w:r>
            <w:r w:rsidR="001B27A2" w:rsidRPr="006027F9">
              <w:rPr>
                <w:rFonts w:ascii="黑体" w:eastAsia="黑体" w:hAnsi="黑体" w:cs="宋体" w:hint="eastAsia"/>
                <w:bCs/>
                <w:kern w:val="0"/>
                <w:sz w:val="20"/>
                <w:szCs w:val="18"/>
              </w:rPr>
              <w:t>、村级</w:t>
            </w:r>
          </w:p>
        </w:tc>
      </w:tr>
      <w:tr w:rsidR="001B27A2" w:rsidRPr="005F1E62" w:rsidTr="001B27A2">
        <w:trPr>
          <w:trHeight w:val="825"/>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政策文件</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法律法规</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与安全生产有关的法律、法规</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813"/>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部门和地方规章</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与安全生产有关的部门和地方规章</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1046"/>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3</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其他政策文件</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其他可以公开的与安全生产有关的政策文件，包括改革方案、发展规划、专项规划、工作计划等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1037"/>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4</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标准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安全生产领域有关的国家标准、行业标准、地方标准等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rPr>
          <w:trHeight w:val="1306"/>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5</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重大决策草案</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涉及管理相对人切身利益、需社会广泛知晓的重要改革方案等重大决策，决策前向社会公开决策草案、决策依据</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6</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政策文件</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重大政策解读及回应</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有关重大政策的解读与回应，安全生产相关热点问题的解读与回应</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重大决策</w:t>
            </w:r>
            <w:proofErr w:type="gramStart"/>
            <w:r w:rsidRPr="005F1E62">
              <w:rPr>
                <w:rFonts w:ascii="仿宋" w:eastAsia="仿宋" w:hAnsi="仿宋" w:cs="宋体" w:hint="eastAsia"/>
                <w:bCs/>
                <w:kern w:val="0"/>
                <w:sz w:val="18"/>
                <w:szCs w:val="18"/>
              </w:rPr>
              <w:t>作出</w:t>
            </w:r>
            <w:proofErr w:type="gramEnd"/>
            <w:r w:rsidRPr="005F1E62">
              <w:rPr>
                <w:rFonts w:ascii="仿宋" w:eastAsia="仿宋" w:hAnsi="仿宋" w:cs="宋体" w:hint="eastAsia"/>
                <w:bCs/>
                <w:kern w:val="0"/>
                <w:sz w:val="18"/>
                <w:szCs w:val="18"/>
              </w:rPr>
              <w:t>后及时公开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7</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重要会议</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通过会议讨论</w:t>
            </w:r>
            <w:proofErr w:type="gramStart"/>
            <w:r w:rsidRPr="005F1E62">
              <w:rPr>
                <w:rFonts w:ascii="仿宋" w:eastAsia="仿宋" w:hAnsi="仿宋" w:cs="宋体" w:hint="eastAsia"/>
                <w:bCs/>
                <w:kern w:val="0"/>
                <w:sz w:val="18"/>
                <w:szCs w:val="18"/>
              </w:rPr>
              <w:t>作出</w:t>
            </w:r>
            <w:proofErr w:type="gramEnd"/>
            <w:r w:rsidRPr="005F1E62">
              <w:rPr>
                <w:rFonts w:ascii="仿宋" w:eastAsia="仿宋" w:hAnsi="仿宋" w:cs="宋体" w:hint="eastAsia"/>
                <w:bCs/>
                <w:kern w:val="0"/>
                <w:sz w:val="18"/>
                <w:szCs w:val="18"/>
              </w:rPr>
              <w:t>重要改革方案等重大决策时，经党组研究认为有必要公开讨论决策过程的会议</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提前一周发通知邀请</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8</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征集采纳社会公众意见情况</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重大决策草案公布后征集到的社会公众意见情况、采纳与否情况及理由等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征求意见时对外公布的时限内公开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9</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依法行政</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行政许可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办理行政许可和其他对外管理服务事项的依据、条件、程序</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10</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依法行政</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行政处罚</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办理行政处罚的依据、条件、程序以及本级行政机关认为具有一定社会影响的行政处罚决定</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rPr>
          <w:trHeight w:val="325"/>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11</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行政强制</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办理行政强制的依据、条件、程序</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国务院关于推进安全生产领域改革发展的意见》（2016年）3.《中华人民共和国突发事件应对法》4.《突发事件应急预案管理办法》</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rPr>
          <w:trHeight w:val="1395"/>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12</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隐患管理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重大隐患排查、挂牌督办及其整改情况，安全生产举报电话等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1.《安全生产法》2.《中华人民共和国政府信息公开条例》（国务院令第711号）3.《中共中央 国务院关于推进安全生产领域改革发展的意见》</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13</w:t>
            </w:r>
          </w:p>
        </w:tc>
        <w:tc>
          <w:tcPr>
            <w:tcW w:w="240" w:type="pct"/>
            <w:vMerge w:val="restart"/>
            <w:tcBorders>
              <w:top w:val="single" w:sz="6" w:space="0" w:color="000000"/>
              <w:left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应急管理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承担处置主责、非敏感的应急信息，包括事故灾害类预警信息、事故信息、事故后采取的应急处置措施和应对结果等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1.《中华人民共和国政府信息公开条例》（国务院令第711号）2.《突发事件应对法》3.《关于全面推进政务公开工作的意见》（中办发〔2016〕8号）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971"/>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14</w:t>
            </w:r>
          </w:p>
        </w:tc>
        <w:tc>
          <w:tcPr>
            <w:tcW w:w="240" w:type="pct"/>
            <w:vMerge/>
            <w:tcBorders>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黑名单管理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列入或撤销纳入安全生产黑名单管理的企业信息，具体企业名称、证照编号、经营地址、负责人姓名等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《政府信息公开条例》、《社会信用体系建设规划纲要（2014-2020年）》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 xml:space="preserve">　</w:t>
            </w: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 xml:space="preserve">　</w:t>
            </w: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rPr>
          <w:trHeight w:val="892"/>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15</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事故通报</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1、事故信息:本部门接报查实的各类生产安全事故情况（事故发生时间、地点、伤亡情况、简要经过）</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2、典型事故通报:各类典型安全生产事故情况通报，主要包</w:t>
            </w:r>
            <w:r w:rsidRPr="005F1E62">
              <w:rPr>
                <w:rFonts w:ascii="仿宋" w:eastAsia="仿宋" w:hAnsi="仿宋" w:cs="宋体" w:hint="eastAsia"/>
                <w:bCs/>
                <w:kern w:val="0"/>
                <w:sz w:val="18"/>
                <w:szCs w:val="18"/>
              </w:rPr>
              <w:lastRenderedPageBreak/>
              <w:t>括发生时间、地点、起因、经过、结果、相关领导批示情况、预防性措施建议等内容</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3、事故调查报告：依照事故调查处理权限，经批复的生产安全事故调查报告，依法应当保密的除外</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1.《安全生产法》2.《中华人民共和国政府信息公开条例》（国务院令第711号）3.《中共中央 国务院关于推进安全生产领域改革发展的意见》</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按照中央有</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proofErr w:type="gramStart"/>
            <w:r w:rsidRPr="005F1E62">
              <w:rPr>
                <w:rFonts w:ascii="仿宋" w:eastAsia="仿宋" w:hAnsi="仿宋" w:cs="宋体" w:hint="eastAsia"/>
                <w:bCs/>
                <w:kern w:val="0"/>
                <w:sz w:val="18"/>
                <w:szCs w:val="18"/>
              </w:rPr>
              <w:t>关要求</w:t>
            </w:r>
            <w:proofErr w:type="gramEnd"/>
            <w:r w:rsidRPr="005F1E62">
              <w:rPr>
                <w:rFonts w:ascii="仿宋" w:eastAsia="仿宋" w:hAnsi="仿宋" w:cs="宋体" w:hint="eastAsia"/>
                <w:bCs/>
                <w:kern w:val="0"/>
                <w:sz w:val="18"/>
                <w:szCs w:val="18"/>
              </w:rPr>
              <w:t>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rPr>
          <w:trHeight w:val="1180"/>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16</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动态信息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业务工作动态、安全生产执法检查动态</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1306"/>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17</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安全生产预警提示信息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安全生产提示信息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信息形成后及时公开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1308"/>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18</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公共服务</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政务公开目录</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政务公开事项的索引、名称、内容概述、生成日期等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rPr>
          <w:trHeight w:val="727"/>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19</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政务公开标准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政府信息公开指南等流程性信息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20</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公共服务</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权力清单及责</w:t>
            </w:r>
            <w:r w:rsidRPr="005F1E62">
              <w:rPr>
                <w:rFonts w:ascii="仿宋" w:eastAsia="仿宋" w:hAnsi="仿宋" w:cs="宋体" w:hint="eastAsia"/>
                <w:bCs/>
                <w:kern w:val="0"/>
                <w:sz w:val="18"/>
                <w:szCs w:val="18"/>
              </w:rPr>
              <w:lastRenderedPageBreak/>
              <w:t>任清单</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同级政府审批通过的行政执法主体信息和行政许可、行政处</w:t>
            </w:r>
            <w:r w:rsidRPr="005F1E62">
              <w:rPr>
                <w:rFonts w:ascii="仿宋" w:eastAsia="仿宋" w:hAnsi="仿宋" w:cs="宋体" w:hint="eastAsia"/>
                <w:bCs/>
                <w:kern w:val="0"/>
                <w:sz w:val="18"/>
                <w:szCs w:val="18"/>
              </w:rPr>
              <w:lastRenderedPageBreak/>
              <w:t>罚、行政强制、行政检查、行政确认、行政奖励及其他行政职权等行政执法职权职责清单</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1.《中华人民共和国政府信息公开条例》（国务院令第711号）</w:t>
            </w:r>
            <w:r w:rsidRPr="005F1E62">
              <w:rPr>
                <w:rFonts w:ascii="仿宋" w:eastAsia="仿宋" w:hAnsi="仿宋" w:cs="宋体" w:hint="eastAsia"/>
                <w:bCs/>
                <w:kern w:val="0"/>
                <w:sz w:val="18"/>
                <w:szCs w:val="18"/>
              </w:rPr>
              <w:lastRenderedPageBreak/>
              <w:t>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信息形成或者变更20个工</w:t>
            </w:r>
            <w:r w:rsidRPr="005F1E62">
              <w:rPr>
                <w:rFonts w:ascii="仿宋" w:eastAsia="仿宋" w:hAnsi="仿宋" w:cs="宋体" w:hint="eastAsia"/>
                <w:bCs/>
                <w:kern w:val="0"/>
                <w:sz w:val="18"/>
                <w:szCs w:val="18"/>
              </w:rPr>
              <w:lastRenderedPageBreak/>
              <w:t>作日内，如有更新，及时公开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21</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主要业务办事指南</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主要业务工作的办事依据、程序、时限，办事时间、地点、部门、联系方式及相关办理结果</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信息形成或者变更之日起20个工作日内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22</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年度报告</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政府信息公开年度报告及相关统计报表</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每年1月31日前</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23</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重点领域信息公开</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财政资金信息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预算、决算</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“三公”经费</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安全生产专项资金使用等财政资金信息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按中央要求时限公开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rPr>
          <w:trHeight w:val="2297"/>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24</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重点领域信息公开</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政府采购信息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本单位采购实施情况相关信息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8C0FCF">
        <w:trPr>
          <w:trHeight w:val="1044"/>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25</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办事纪律和监督管理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本单位的办事纪律,受理投诉、举报、信访的途径等内容</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26</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重点领域信息公开</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重大工程项目信息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后续举措等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1.《中华人民共和国政府信息公开条例》（国务院令第711号）2.《国务院办公厅关于推进重大建设项目批准和实施领域政府信息公开的意见》（国办发〔2017〕94号）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按照中央有关要求公开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27</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检查和巡查发现安全监管监察问题</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检查和巡查发现的、并要求向社会公开的问题及整改落实情况</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1B27A2" w:rsidRPr="005F1E62"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28</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5F1E62" w:rsidRDefault="001B27A2" w:rsidP="00500EB2">
            <w:pPr>
              <w:widowControl/>
              <w:spacing w:line="280" w:lineRule="exact"/>
              <w:jc w:val="left"/>
              <w:rPr>
                <w:rFonts w:ascii="仿宋" w:eastAsia="仿宋" w:hAnsi="仿宋" w:cs="宋体"/>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建议提案办理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办理制度与推进情况</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人大代表建议办理</w:t>
            </w:r>
          </w:p>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政协委员提案办理</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1.《中华人民共和国政府信息公开条例》（国务院令第711号）2.《国务院办公厅关于做好全国人大代表建议和全国政协委员提案办理结果公开工作的通知》（国办发〔2014〕46号）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按照中央有关要求公开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500EB2">
            <w:pPr>
              <w:widowControl/>
              <w:spacing w:line="280" w:lineRule="exact"/>
              <w:jc w:val="left"/>
              <w:outlineLvl w:val="1"/>
              <w:rPr>
                <w:rFonts w:ascii="仿宋" w:eastAsia="仿宋" w:hAnsi="仿宋" w:cs="宋体"/>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5F1E62" w:rsidRDefault="001B27A2" w:rsidP="004A538C">
            <w:pPr>
              <w:widowControl/>
              <w:spacing w:line="280" w:lineRule="exact"/>
              <w:jc w:val="center"/>
              <w:outlineLvl w:val="1"/>
              <w:rPr>
                <w:rFonts w:ascii="仿宋" w:eastAsia="仿宋" w:hAnsi="仿宋" w:cs="宋体"/>
                <w:bCs/>
                <w:kern w:val="0"/>
                <w:sz w:val="18"/>
                <w:szCs w:val="18"/>
              </w:rPr>
            </w:pPr>
          </w:p>
        </w:tc>
      </w:tr>
    </w:tbl>
    <w:p w:rsidR="0072750D" w:rsidRDefault="0072750D">
      <w:pPr>
        <w:widowControl/>
        <w:jc w:val="left"/>
      </w:pPr>
    </w:p>
    <w:sectPr w:rsidR="0072750D" w:rsidSect="008C0FCF">
      <w:pgSz w:w="16838" w:h="11906" w:orient="landscape"/>
      <w:pgMar w:top="1644" w:right="1440" w:bottom="164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23" w:rsidRDefault="00FF2C23" w:rsidP="005F71D8">
      <w:r>
        <w:separator/>
      </w:r>
    </w:p>
  </w:endnote>
  <w:endnote w:type="continuationSeparator" w:id="0">
    <w:p w:rsidR="00FF2C23" w:rsidRDefault="00FF2C23" w:rsidP="005F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23" w:rsidRDefault="00FF2C23" w:rsidP="005F71D8">
      <w:r>
        <w:separator/>
      </w:r>
    </w:p>
  </w:footnote>
  <w:footnote w:type="continuationSeparator" w:id="0">
    <w:p w:rsidR="00FF2C23" w:rsidRDefault="00FF2C23" w:rsidP="005F7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016D31"/>
    <w:rsid w:val="001B27A2"/>
    <w:rsid w:val="00222AF8"/>
    <w:rsid w:val="004A4F18"/>
    <w:rsid w:val="004A538C"/>
    <w:rsid w:val="004B357F"/>
    <w:rsid w:val="00500EB2"/>
    <w:rsid w:val="005D5B88"/>
    <w:rsid w:val="005F1E62"/>
    <w:rsid w:val="005F71D8"/>
    <w:rsid w:val="006027F9"/>
    <w:rsid w:val="00631A89"/>
    <w:rsid w:val="0068698E"/>
    <w:rsid w:val="006B3FB5"/>
    <w:rsid w:val="006C55A3"/>
    <w:rsid w:val="0072750D"/>
    <w:rsid w:val="008C0FCF"/>
    <w:rsid w:val="00903F18"/>
    <w:rsid w:val="009459E9"/>
    <w:rsid w:val="00962360"/>
    <w:rsid w:val="00B939F3"/>
    <w:rsid w:val="00BC45E6"/>
    <w:rsid w:val="00BD6059"/>
    <w:rsid w:val="00BE6D61"/>
    <w:rsid w:val="00C24C56"/>
    <w:rsid w:val="00C32481"/>
    <w:rsid w:val="00D64911"/>
    <w:rsid w:val="00F4696B"/>
    <w:rsid w:val="00F530AE"/>
    <w:rsid w:val="00FF2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5F1E62"/>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BD60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6059"/>
    <w:rPr>
      <w:rFonts w:ascii="宋体" w:hAnsi="宋体" w:cs="宋体"/>
      <w:b/>
      <w:bCs/>
      <w:sz w:val="36"/>
      <w:szCs w:val="36"/>
    </w:rPr>
  </w:style>
  <w:style w:type="paragraph" w:styleId="a3">
    <w:name w:val="Normal (Web)"/>
    <w:basedOn w:val="a"/>
    <w:uiPriority w:val="99"/>
    <w:unhideWhenUsed/>
    <w:rsid w:val="0072750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5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71D8"/>
    <w:rPr>
      <w:kern w:val="2"/>
      <w:sz w:val="18"/>
      <w:szCs w:val="18"/>
    </w:rPr>
  </w:style>
  <w:style w:type="paragraph" w:styleId="a5">
    <w:name w:val="footer"/>
    <w:basedOn w:val="a"/>
    <w:link w:val="Char0"/>
    <w:rsid w:val="005F71D8"/>
    <w:pPr>
      <w:tabs>
        <w:tab w:val="center" w:pos="4153"/>
        <w:tab w:val="right" w:pos="8306"/>
      </w:tabs>
      <w:snapToGrid w:val="0"/>
      <w:jc w:val="left"/>
    </w:pPr>
    <w:rPr>
      <w:sz w:val="18"/>
      <w:szCs w:val="18"/>
    </w:rPr>
  </w:style>
  <w:style w:type="character" w:customStyle="1" w:styleId="Char0">
    <w:name w:val="页脚 Char"/>
    <w:basedOn w:val="a0"/>
    <w:link w:val="a5"/>
    <w:rsid w:val="005F71D8"/>
    <w:rPr>
      <w:kern w:val="2"/>
      <w:sz w:val="18"/>
      <w:szCs w:val="18"/>
    </w:rPr>
  </w:style>
  <w:style w:type="character" w:customStyle="1" w:styleId="1Char">
    <w:name w:val="标题 1 Char"/>
    <w:basedOn w:val="a0"/>
    <w:link w:val="1"/>
    <w:rsid w:val="005F1E62"/>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5F1E62"/>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BD60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6059"/>
    <w:rPr>
      <w:rFonts w:ascii="宋体" w:hAnsi="宋体" w:cs="宋体"/>
      <w:b/>
      <w:bCs/>
      <w:sz w:val="36"/>
      <w:szCs w:val="36"/>
    </w:rPr>
  </w:style>
  <w:style w:type="paragraph" w:styleId="a3">
    <w:name w:val="Normal (Web)"/>
    <w:basedOn w:val="a"/>
    <w:uiPriority w:val="99"/>
    <w:unhideWhenUsed/>
    <w:rsid w:val="0072750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5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71D8"/>
    <w:rPr>
      <w:kern w:val="2"/>
      <w:sz w:val="18"/>
      <w:szCs w:val="18"/>
    </w:rPr>
  </w:style>
  <w:style w:type="paragraph" w:styleId="a5">
    <w:name w:val="footer"/>
    <w:basedOn w:val="a"/>
    <w:link w:val="Char0"/>
    <w:rsid w:val="005F71D8"/>
    <w:pPr>
      <w:tabs>
        <w:tab w:val="center" w:pos="4153"/>
        <w:tab w:val="right" w:pos="8306"/>
      </w:tabs>
      <w:snapToGrid w:val="0"/>
      <w:jc w:val="left"/>
    </w:pPr>
    <w:rPr>
      <w:sz w:val="18"/>
      <w:szCs w:val="18"/>
    </w:rPr>
  </w:style>
  <w:style w:type="character" w:customStyle="1" w:styleId="Char0">
    <w:name w:val="页脚 Char"/>
    <w:basedOn w:val="a0"/>
    <w:link w:val="a5"/>
    <w:rsid w:val="005F71D8"/>
    <w:rPr>
      <w:kern w:val="2"/>
      <w:sz w:val="18"/>
      <w:szCs w:val="18"/>
    </w:rPr>
  </w:style>
  <w:style w:type="character" w:customStyle="1" w:styleId="1Char">
    <w:name w:val="标题 1 Char"/>
    <w:basedOn w:val="a0"/>
    <w:link w:val="1"/>
    <w:rsid w:val="005F1E6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9120">
      <w:bodyDiv w:val="1"/>
      <w:marLeft w:val="0"/>
      <w:marRight w:val="0"/>
      <w:marTop w:val="0"/>
      <w:marBottom w:val="0"/>
      <w:divBdr>
        <w:top w:val="none" w:sz="0" w:space="0" w:color="auto"/>
        <w:left w:val="none" w:sz="0" w:space="0" w:color="auto"/>
        <w:bottom w:val="none" w:sz="0" w:space="0" w:color="auto"/>
        <w:right w:val="none" w:sz="0" w:space="0" w:color="auto"/>
      </w:divBdr>
      <w:divsChild>
        <w:div w:id="902374413">
          <w:marLeft w:val="0"/>
          <w:marRight w:val="0"/>
          <w:marTop w:val="0"/>
          <w:marBottom w:val="0"/>
          <w:divBdr>
            <w:top w:val="none" w:sz="0" w:space="0" w:color="auto"/>
            <w:left w:val="none" w:sz="0" w:space="0" w:color="auto"/>
            <w:bottom w:val="none" w:sz="0" w:space="0" w:color="auto"/>
            <w:right w:val="none" w:sz="0" w:space="0" w:color="auto"/>
          </w:divBdr>
          <w:divsChild>
            <w:div w:id="708334916">
              <w:marLeft w:val="0"/>
              <w:marRight w:val="0"/>
              <w:marTop w:val="100"/>
              <w:marBottom w:val="100"/>
              <w:divBdr>
                <w:top w:val="none" w:sz="0" w:space="0" w:color="auto"/>
                <w:left w:val="none" w:sz="0" w:space="0" w:color="auto"/>
                <w:bottom w:val="none" w:sz="0" w:space="0" w:color="auto"/>
                <w:right w:val="none" w:sz="0" w:space="0" w:color="auto"/>
              </w:divBdr>
              <w:divsChild>
                <w:div w:id="613248092">
                  <w:marLeft w:val="0"/>
                  <w:marRight w:val="0"/>
                  <w:marTop w:val="600"/>
                  <w:marBottom w:val="0"/>
                  <w:divBdr>
                    <w:top w:val="none" w:sz="0" w:space="0" w:color="auto"/>
                    <w:left w:val="none" w:sz="0" w:space="0" w:color="auto"/>
                    <w:bottom w:val="none" w:sz="0" w:space="0" w:color="auto"/>
                    <w:right w:val="none" w:sz="0" w:space="0" w:color="auto"/>
                  </w:divBdr>
                  <w:divsChild>
                    <w:div w:id="162672761">
                      <w:marLeft w:val="0"/>
                      <w:marRight w:val="0"/>
                      <w:marTop w:val="225"/>
                      <w:marBottom w:val="0"/>
                      <w:divBdr>
                        <w:top w:val="none" w:sz="0" w:space="0" w:color="auto"/>
                        <w:left w:val="none" w:sz="0" w:space="0" w:color="auto"/>
                        <w:bottom w:val="none" w:sz="0" w:space="0" w:color="auto"/>
                        <w:right w:val="none" w:sz="0" w:space="0" w:color="auto"/>
                      </w:divBdr>
                      <w:divsChild>
                        <w:div w:id="8614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600659">
      <w:bodyDiv w:val="1"/>
      <w:marLeft w:val="0"/>
      <w:marRight w:val="0"/>
      <w:marTop w:val="0"/>
      <w:marBottom w:val="0"/>
      <w:divBdr>
        <w:top w:val="none" w:sz="0" w:space="0" w:color="auto"/>
        <w:left w:val="none" w:sz="0" w:space="0" w:color="auto"/>
        <w:bottom w:val="none" w:sz="0" w:space="0" w:color="auto"/>
        <w:right w:val="none" w:sz="0" w:space="0" w:color="auto"/>
      </w:divBdr>
      <w:divsChild>
        <w:div w:id="960765351">
          <w:marLeft w:val="0"/>
          <w:marRight w:val="0"/>
          <w:marTop w:val="0"/>
          <w:marBottom w:val="0"/>
          <w:divBdr>
            <w:top w:val="none" w:sz="0" w:space="0" w:color="auto"/>
            <w:left w:val="none" w:sz="0" w:space="0" w:color="auto"/>
            <w:bottom w:val="none" w:sz="0" w:space="0" w:color="auto"/>
            <w:right w:val="none" w:sz="0" w:space="0" w:color="auto"/>
          </w:divBdr>
          <w:divsChild>
            <w:div w:id="163471785">
              <w:marLeft w:val="0"/>
              <w:marRight w:val="0"/>
              <w:marTop w:val="100"/>
              <w:marBottom w:val="100"/>
              <w:divBdr>
                <w:top w:val="none" w:sz="0" w:space="0" w:color="auto"/>
                <w:left w:val="none" w:sz="0" w:space="0" w:color="auto"/>
                <w:bottom w:val="none" w:sz="0" w:space="0" w:color="auto"/>
                <w:right w:val="none" w:sz="0" w:space="0" w:color="auto"/>
              </w:divBdr>
              <w:divsChild>
                <w:div w:id="884756526">
                  <w:marLeft w:val="0"/>
                  <w:marRight w:val="0"/>
                  <w:marTop w:val="600"/>
                  <w:marBottom w:val="0"/>
                  <w:divBdr>
                    <w:top w:val="none" w:sz="0" w:space="0" w:color="auto"/>
                    <w:left w:val="none" w:sz="0" w:space="0" w:color="auto"/>
                    <w:bottom w:val="none" w:sz="0" w:space="0" w:color="auto"/>
                    <w:right w:val="none" w:sz="0" w:space="0" w:color="auto"/>
                  </w:divBdr>
                  <w:divsChild>
                    <w:div w:id="1658994647">
                      <w:marLeft w:val="0"/>
                      <w:marRight w:val="0"/>
                      <w:marTop w:val="225"/>
                      <w:marBottom w:val="0"/>
                      <w:divBdr>
                        <w:top w:val="none" w:sz="0" w:space="0" w:color="auto"/>
                        <w:left w:val="none" w:sz="0" w:space="0" w:color="auto"/>
                        <w:bottom w:val="none" w:sz="0" w:space="0" w:color="auto"/>
                        <w:right w:val="none" w:sz="0" w:space="0" w:color="auto"/>
                      </w:divBdr>
                      <w:divsChild>
                        <w:div w:id="12381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1984">
      <w:bodyDiv w:val="1"/>
      <w:marLeft w:val="0"/>
      <w:marRight w:val="0"/>
      <w:marTop w:val="0"/>
      <w:marBottom w:val="0"/>
      <w:divBdr>
        <w:top w:val="none" w:sz="0" w:space="0" w:color="auto"/>
        <w:left w:val="none" w:sz="0" w:space="0" w:color="auto"/>
        <w:bottom w:val="none" w:sz="0" w:space="0" w:color="auto"/>
        <w:right w:val="none" w:sz="0" w:space="0" w:color="auto"/>
      </w:divBdr>
    </w:div>
    <w:div w:id="1937984594">
      <w:bodyDiv w:val="1"/>
      <w:marLeft w:val="0"/>
      <w:marRight w:val="0"/>
      <w:marTop w:val="0"/>
      <w:marBottom w:val="0"/>
      <w:divBdr>
        <w:top w:val="none" w:sz="0" w:space="0" w:color="auto"/>
        <w:left w:val="none" w:sz="0" w:space="0" w:color="auto"/>
        <w:bottom w:val="none" w:sz="0" w:space="0" w:color="auto"/>
        <w:right w:val="none" w:sz="0" w:space="0" w:color="auto"/>
      </w:divBdr>
      <w:divsChild>
        <w:div w:id="1455903749">
          <w:marLeft w:val="0"/>
          <w:marRight w:val="0"/>
          <w:marTop w:val="0"/>
          <w:marBottom w:val="0"/>
          <w:divBdr>
            <w:top w:val="none" w:sz="0" w:space="0" w:color="auto"/>
            <w:left w:val="none" w:sz="0" w:space="0" w:color="auto"/>
            <w:bottom w:val="none" w:sz="0" w:space="0" w:color="auto"/>
            <w:right w:val="none" w:sz="0" w:space="0" w:color="auto"/>
          </w:divBdr>
          <w:divsChild>
            <w:div w:id="1105536265">
              <w:marLeft w:val="0"/>
              <w:marRight w:val="0"/>
              <w:marTop w:val="100"/>
              <w:marBottom w:val="100"/>
              <w:divBdr>
                <w:top w:val="none" w:sz="0" w:space="0" w:color="auto"/>
                <w:left w:val="none" w:sz="0" w:space="0" w:color="auto"/>
                <w:bottom w:val="none" w:sz="0" w:space="0" w:color="auto"/>
                <w:right w:val="none" w:sz="0" w:space="0" w:color="auto"/>
              </w:divBdr>
              <w:divsChild>
                <w:div w:id="1061758473">
                  <w:marLeft w:val="0"/>
                  <w:marRight w:val="0"/>
                  <w:marTop w:val="600"/>
                  <w:marBottom w:val="0"/>
                  <w:divBdr>
                    <w:top w:val="none" w:sz="0" w:space="0" w:color="auto"/>
                    <w:left w:val="none" w:sz="0" w:space="0" w:color="auto"/>
                    <w:bottom w:val="none" w:sz="0" w:space="0" w:color="auto"/>
                    <w:right w:val="none" w:sz="0" w:space="0" w:color="auto"/>
                  </w:divBdr>
                  <w:divsChild>
                    <w:div w:id="368333685">
                      <w:marLeft w:val="0"/>
                      <w:marRight w:val="0"/>
                      <w:marTop w:val="225"/>
                      <w:marBottom w:val="0"/>
                      <w:divBdr>
                        <w:top w:val="none" w:sz="0" w:space="0" w:color="auto"/>
                        <w:left w:val="none" w:sz="0" w:space="0" w:color="auto"/>
                        <w:bottom w:val="none" w:sz="0" w:space="0" w:color="auto"/>
                        <w:right w:val="none" w:sz="0" w:space="0" w:color="auto"/>
                      </w:divBdr>
                      <w:divsChild>
                        <w:div w:id="6036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635</Words>
  <Characters>3625</Characters>
  <Application>Microsoft Office Word</Application>
  <DocSecurity>0</DocSecurity>
  <Lines>30</Lines>
  <Paragraphs>8</Paragraphs>
  <ScaleCrop>false</ScaleCrop>
  <Company>Microsoft</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欧育辉</dc:creator>
  <cp:lastModifiedBy>jm1</cp:lastModifiedBy>
  <cp:revision>3</cp:revision>
  <dcterms:created xsi:type="dcterms:W3CDTF">2020-11-23T09:19:00Z</dcterms:created>
  <dcterms:modified xsi:type="dcterms:W3CDTF">2020-11-23T09:23:00Z</dcterms:modified>
</cp:coreProperties>
</file>