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7BED9">
      <w:pPr>
        <w:rPr>
          <w:rFonts w:hint="eastAsia" w:ascii="仿宋_GB2312" w:hAnsi="仿宋_GB2312" w:eastAsia="仿宋_GB2312" w:cs="仿宋_GB2312"/>
          <w:color w:val="auto"/>
          <w:sz w:val="32"/>
          <w:szCs w:val="32"/>
          <w:highlight w:val="none"/>
        </w:rPr>
      </w:pPr>
    </w:p>
    <w:p w14:paraId="612C6607">
      <w:pPr>
        <w:rPr>
          <w:rFonts w:ascii="仿宋_GB2312" w:hAnsi="仿宋_GB2312" w:eastAsia="仿宋_GB2312" w:cs="仿宋_GB2312"/>
          <w:color w:val="auto"/>
          <w:sz w:val="32"/>
          <w:szCs w:val="32"/>
          <w:highlight w:val="none"/>
        </w:rPr>
      </w:pPr>
    </w:p>
    <w:p w14:paraId="1FE1142C">
      <w:pPr>
        <w:jc w:val="center"/>
        <w:rPr>
          <w:rFonts w:ascii="方正小标宋_GBK" w:hAnsi="方正小标宋_GBK" w:eastAsia="方正小标宋_GBK" w:cs="方正小标宋_GBK"/>
          <w:color w:val="auto"/>
          <w:sz w:val="72"/>
          <w:szCs w:val="72"/>
          <w:highlight w:val="none"/>
        </w:rPr>
      </w:pPr>
    </w:p>
    <w:p w14:paraId="02354804">
      <w:pPr>
        <w:jc w:val="center"/>
        <w:rPr>
          <w:rFonts w:hint="eastAsia" w:ascii="方正小标宋_GBK" w:hAnsi="方正小标宋_GBK" w:eastAsia="方正小标宋_GBK" w:cs="方正小标宋_GBK"/>
          <w:color w:val="auto"/>
          <w:sz w:val="72"/>
          <w:szCs w:val="72"/>
          <w:highlight w:val="none"/>
          <w:lang w:val="en-US" w:eastAsia="zh-CN"/>
        </w:rPr>
      </w:pPr>
      <w:r>
        <w:rPr>
          <w:rFonts w:hint="eastAsia" w:ascii="方正小标宋_GBK" w:hAnsi="方正小标宋_GBK" w:eastAsia="方正小标宋_GBK" w:cs="方正小标宋_GBK"/>
          <w:b w:val="0"/>
          <w:bCs w:val="0"/>
          <w:color w:val="auto"/>
          <w:sz w:val="52"/>
          <w:szCs w:val="52"/>
          <w:highlight w:val="none"/>
          <w:u w:val="none" w:color="auto"/>
          <w:lang w:val="en-US" w:eastAsia="zh-CN"/>
        </w:rPr>
        <w:t>开平</w:t>
      </w:r>
      <w:r>
        <w:rPr>
          <w:rFonts w:hint="eastAsia" w:ascii="方正小标宋_GBK" w:hAnsi="方正小标宋_GBK" w:eastAsia="方正小标宋_GBK" w:cs="方正小标宋_GBK"/>
          <w:b w:val="0"/>
          <w:bCs w:val="0"/>
          <w:color w:val="auto"/>
          <w:sz w:val="52"/>
          <w:szCs w:val="52"/>
          <w:highlight w:val="none"/>
          <w:u w:val="none" w:color="auto"/>
        </w:rPr>
        <w:t>市人力资源和社会保障事业发展</w:t>
      </w:r>
      <w:r>
        <w:rPr>
          <w:rFonts w:hint="eastAsia" w:ascii="方正小标宋_GBK" w:hAnsi="方正小标宋_GBK" w:eastAsia="方正小标宋_GBK" w:cs="方正小标宋_GBK"/>
          <w:b w:val="0"/>
          <w:bCs w:val="0"/>
          <w:color w:val="auto"/>
          <w:sz w:val="52"/>
          <w:szCs w:val="52"/>
          <w:highlight w:val="none"/>
          <w:u w:val="none" w:color="auto"/>
          <w:lang w:eastAsia="zh-CN"/>
        </w:rPr>
        <w:t>“</w:t>
      </w:r>
      <w:r>
        <w:rPr>
          <w:rFonts w:hint="eastAsia" w:ascii="方正小标宋_GBK" w:hAnsi="方正小标宋_GBK" w:eastAsia="方正小标宋_GBK" w:cs="方正小标宋_GBK"/>
          <w:b w:val="0"/>
          <w:bCs w:val="0"/>
          <w:color w:val="auto"/>
          <w:sz w:val="52"/>
          <w:szCs w:val="52"/>
          <w:highlight w:val="none"/>
          <w:u w:val="none" w:color="auto"/>
        </w:rPr>
        <w:t>十五五</w:t>
      </w:r>
      <w:r>
        <w:rPr>
          <w:rFonts w:hint="eastAsia" w:ascii="方正小标宋_GBK" w:hAnsi="方正小标宋_GBK" w:eastAsia="方正小标宋_GBK" w:cs="方正小标宋_GBK"/>
          <w:b w:val="0"/>
          <w:bCs w:val="0"/>
          <w:color w:val="auto"/>
          <w:sz w:val="52"/>
          <w:szCs w:val="52"/>
          <w:highlight w:val="none"/>
          <w:u w:val="none" w:color="auto"/>
          <w:lang w:eastAsia="zh-CN"/>
        </w:rPr>
        <w:t>”</w:t>
      </w:r>
      <w:r>
        <w:rPr>
          <w:rFonts w:hint="eastAsia" w:ascii="方正小标宋_GBK" w:hAnsi="方正小标宋_GBK" w:eastAsia="方正小标宋_GBK" w:cs="方正小标宋_GBK"/>
          <w:b w:val="0"/>
          <w:bCs w:val="0"/>
          <w:color w:val="auto"/>
          <w:sz w:val="52"/>
          <w:szCs w:val="52"/>
          <w:highlight w:val="none"/>
          <w:u w:val="none" w:color="auto"/>
        </w:rPr>
        <w:t>规划</w:t>
      </w:r>
    </w:p>
    <w:p w14:paraId="7E90AD2B">
      <w:pPr>
        <w:jc w:val="center"/>
        <w:rPr>
          <w:rFonts w:hint="eastAsia" w:ascii="方正小标宋_GBK" w:hAnsi="方正小标宋_GBK" w:eastAsia="方正小标宋_GBK" w:cs="方正小标宋_GBK"/>
          <w:b w:val="0"/>
          <w:bCs w:val="0"/>
          <w:color w:val="auto"/>
          <w:sz w:val="44"/>
          <w:szCs w:val="44"/>
          <w:highlight w:val="none"/>
          <w:u w:val="none" w:color="auto"/>
        </w:rPr>
      </w:pPr>
      <w:r>
        <w:rPr>
          <w:rFonts w:hint="eastAsia" w:ascii="方正小标宋_GBK" w:hAnsi="方正小标宋_GBK" w:eastAsia="方正小标宋_GBK" w:cs="方正小标宋_GBK"/>
          <w:b w:val="0"/>
          <w:bCs w:val="0"/>
          <w:color w:val="auto"/>
          <w:sz w:val="44"/>
          <w:szCs w:val="44"/>
          <w:highlight w:val="none"/>
          <w:u w:val="none" w:color="auto"/>
        </w:rPr>
        <w:t>（</w:t>
      </w:r>
      <w:r>
        <w:rPr>
          <w:rFonts w:hint="eastAsia" w:ascii="方正小标宋_GBK" w:hAnsi="方正小标宋_GBK" w:eastAsia="方正小标宋_GBK" w:cs="方正小标宋_GBK"/>
          <w:b w:val="0"/>
          <w:bCs w:val="0"/>
          <w:color w:val="auto"/>
          <w:sz w:val="44"/>
          <w:szCs w:val="44"/>
          <w:highlight w:val="none"/>
          <w:u w:val="none" w:color="auto"/>
          <w:lang w:val="en-US" w:eastAsia="zh-CN"/>
        </w:rPr>
        <w:t>征求意见稿</w:t>
      </w:r>
      <w:r>
        <w:rPr>
          <w:rFonts w:hint="eastAsia" w:ascii="方正小标宋_GBK" w:hAnsi="方正小标宋_GBK" w:eastAsia="方正小标宋_GBK" w:cs="方正小标宋_GBK"/>
          <w:b w:val="0"/>
          <w:bCs w:val="0"/>
          <w:color w:val="auto"/>
          <w:sz w:val="44"/>
          <w:szCs w:val="44"/>
          <w:highlight w:val="none"/>
          <w:u w:val="none" w:color="auto"/>
        </w:rPr>
        <w:t>）</w:t>
      </w:r>
    </w:p>
    <w:p w14:paraId="2A77C1CC">
      <w:pPr>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br w:type="page"/>
      </w:r>
      <w:bookmarkStart w:id="154" w:name="_GoBack"/>
      <w:bookmarkEnd w:id="154"/>
    </w:p>
    <w:sdt>
      <w:sdtPr>
        <w:rPr>
          <w:rFonts w:ascii="宋体" w:hAnsi="宋体" w:eastAsia="宋体" w:cstheme="minorBidi"/>
          <w:color w:val="auto"/>
          <w:kern w:val="2"/>
          <w:sz w:val="21"/>
          <w:szCs w:val="24"/>
          <w:highlight w:val="none"/>
          <w:lang w:val="en-US" w:eastAsia="zh-CN" w:bidi="ar-SA"/>
        </w:rPr>
        <w:id w:val="147453879"/>
        <w15:color w:val="DBDBDB"/>
        <w:docPartObj>
          <w:docPartGallery w:val="Table of Contents"/>
          <w:docPartUnique/>
        </w:docPartObj>
      </w:sdtPr>
      <w:sdtEndPr>
        <w:rPr>
          <w:rFonts w:asciiTheme="minorHAnsi" w:hAnsiTheme="minorHAnsi" w:eastAsiaTheme="minorEastAsia" w:cstheme="minorBidi"/>
          <w:color w:val="auto"/>
          <w:kern w:val="2"/>
          <w:sz w:val="21"/>
          <w:szCs w:val="24"/>
          <w:highlight w:val="none"/>
          <w:lang w:val="en-US" w:eastAsia="zh-CN" w:bidi="ar-SA"/>
        </w:rPr>
      </w:sdtEndPr>
      <w:sdtContent>
        <w:p w14:paraId="5B6EFFD1">
          <w:pPr>
            <w:spacing w:before="0" w:beforeLines="0" w:after="0" w:afterLines="0" w:line="240" w:lineRule="auto"/>
            <w:ind w:left="0" w:leftChars="0" w:right="0" w:rightChars="0" w:firstLine="0" w:firstLineChars="0"/>
            <w:jc w:val="center"/>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目录</w:t>
          </w:r>
        </w:p>
        <w:p w14:paraId="0AE9BB6B">
          <w:pPr>
            <w:pStyle w:val="9"/>
            <w:tabs>
              <w:tab w:val="right" w:leader="dot" w:pos="9071"/>
            </w:tabs>
            <w:rPr>
              <w:color w:val="auto"/>
              <w:sz w:val="28"/>
              <w:szCs w:val="36"/>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_Toc27364 </w:instrText>
          </w:r>
          <w:r>
            <w:rPr>
              <w:color w:val="auto"/>
              <w:sz w:val="28"/>
              <w:szCs w:val="36"/>
              <w:highlight w:val="none"/>
            </w:rPr>
            <w:fldChar w:fldCharType="separate"/>
          </w:r>
          <w:r>
            <w:rPr>
              <w:rFonts w:hint="eastAsia" w:ascii="黑体" w:hAnsi="黑体" w:eastAsia="黑体" w:cs="黑体"/>
              <w:color w:val="auto"/>
              <w:sz w:val="28"/>
              <w:szCs w:val="44"/>
              <w:highlight w:val="none"/>
            </w:rPr>
            <w:t>第一章 发展基础</w:t>
          </w:r>
          <w:r>
            <w:rPr>
              <w:rFonts w:hint="eastAsia" w:ascii="黑体" w:hAnsi="黑体" w:eastAsia="黑体" w:cs="黑体"/>
              <w:color w:val="auto"/>
              <w:sz w:val="28"/>
              <w:szCs w:val="44"/>
              <w:highlight w:val="none"/>
              <w:lang w:eastAsia="zh-CN"/>
            </w:rPr>
            <w:t>、</w:t>
          </w:r>
          <w:r>
            <w:rPr>
              <w:rFonts w:hint="eastAsia" w:ascii="黑体" w:hAnsi="黑体" w:eastAsia="黑体" w:cs="黑体"/>
              <w:color w:val="auto"/>
              <w:sz w:val="28"/>
              <w:szCs w:val="44"/>
              <w:highlight w:val="none"/>
              <w:lang w:val="en-US" w:eastAsia="zh-CN"/>
            </w:rPr>
            <w:t>面临形势</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_Toc27364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D8860B4">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_Toc7383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第一节 发展基础</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_Toc7383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0CC10CBA">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_Toc23597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第二节 面临形势</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_Toc23597 \h </w:instrText>
          </w:r>
          <w:r>
            <w:rPr>
              <w:color w:val="auto"/>
              <w:sz w:val="28"/>
              <w:szCs w:val="36"/>
              <w:highlight w:val="none"/>
            </w:rPr>
            <w:fldChar w:fldCharType="separate"/>
          </w:r>
          <w:r>
            <w:rPr>
              <w:color w:val="auto"/>
              <w:sz w:val="28"/>
              <w:szCs w:val="36"/>
              <w:highlight w:val="none"/>
            </w:rPr>
            <w:t>7</w:t>
          </w:r>
          <w:r>
            <w:rPr>
              <w:color w:val="auto"/>
              <w:sz w:val="28"/>
              <w:szCs w:val="36"/>
              <w:highlight w:val="none"/>
            </w:rPr>
            <w:fldChar w:fldCharType="end"/>
          </w:r>
          <w:r>
            <w:rPr>
              <w:color w:val="auto"/>
              <w:sz w:val="28"/>
              <w:szCs w:val="36"/>
              <w:highlight w:val="none"/>
            </w:rPr>
            <w:fldChar w:fldCharType="end"/>
          </w:r>
        </w:p>
        <w:p w14:paraId="09E15619">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_Toc6154 </w:instrText>
          </w:r>
          <w:r>
            <w:rPr>
              <w:color w:val="auto"/>
              <w:sz w:val="28"/>
              <w:szCs w:val="36"/>
              <w:highlight w:val="none"/>
            </w:rPr>
            <w:fldChar w:fldCharType="separate"/>
          </w:r>
          <w:r>
            <w:rPr>
              <w:rFonts w:hint="eastAsia" w:ascii="黑体" w:hAnsi="黑体" w:eastAsia="黑体" w:cs="黑体"/>
              <w:color w:val="auto"/>
              <w:sz w:val="28"/>
              <w:szCs w:val="44"/>
              <w:highlight w:val="none"/>
            </w:rPr>
            <w:t>第二章 总体要求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_Toc6154 \h </w:instrText>
          </w:r>
          <w:r>
            <w:rPr>
              <w:color w:val="auto"/>
              <w:sz w:val="28"/>
              <w:szCs w:val="36"/>
              <w:highlight w:val="none"/>
            </w:rPr>
            <w:fldChar w:fldCharType="separate"/>
          </w:r>
          <w:r>
            <w:rPr>
              <w:color w:val="auto"/>
              <w:sz w:val="28"/>
              <w:szCs w:val="36"/>
              <w:highlight w:val="none"/>
            </w:rPr>
            <w:t>10</w:t>
          </w:r>
          <w:r>
            <w:rPr>
              <w:color w:val="auto"/>
              <w:sz w:val="28"/>
              <w:szCs w:val="36"/>
              <w:highlight w:val="none"/>
            </w:rPr>
            <w:fldChar w:fldCharType="end"/>
          </w:r>
          <w:r>
            <w:rPr>
              <w:color w:val="auto"/>
              <w:sz w:val="28"/>
              <w:szCs w:val="36"/>
              <w:highlight w:val="none"/>
            </w:rPr>
            <w:fldChar w:fldCharType="end"/>
          </w:r>
        </w:p>
        <w:p w14:paraId="29778EA1">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_Toc19072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第一节 指导思想</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_Toc19072 \h </w:instrText>
          </w:r>
          <w:r>
            <w:rPr>
              <w:color w:val="auto"/>
              <w:sz w:val="28"/>
              <w:szCs w:val="36"/>
              <w:highlight w:val="none"/>
            </w:rPr>
            <w:fldChar w:fldCharType="separate"/>
          </w:r>
          <w:r>
            <w:rPr>
              <w:color w:val="auto"/>
              <w:sz w:val="28"/>
              <w:szCs w:val="36"/>
              <w:highlight w:val="none"/>
            </w:rPr>
            <w:t>10</w:t>
          </w:r>
          <w:r>
            <w:rPr>
              <w:color w:val="auto"/>
              <w:sz w:val="28"/>
              <w:szCs w:val="36"/>
              <w:highlight w:val="none"/>
            </w:rPr>
            <w:fldChar w:fldCharType="end"/>
          </w:r>
          <w:r>
            <w:rPr>
              <w:color w:val="auto"/>
              <w:sz w:val="28"/>
              <w:szCs w:val="36"/>
              <w:highlight w:val="none"/>
            </w:rPr>
            <w:fldChar w:fldCharType="end"/>
          </w:r>
        </w:p>
        <w:p w14:paraId="55F9891A">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_Toc17896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第二节 基本原则</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_Toc17896 \h </w:instrText>
          </w:r>
          <w:r>
            <w:rPr>
              <w:color w:val="auto"/>
              <w:sz w:val="28"/>
              <w:szCs w:val="36"/>
              <w:highlight w:val="none"/>
            </w:rPr>
            <w:fldChar w:fldCharType="separate"/>
          </w:r>
          <w:r>
            <w:rPr>
              <w:color w:val="auto"/>
              <w:sz w:val="28"/>
              <w:szCs w:val="36"/>
              <w:highlight w:val="none"/>
            </w:rPr>
            <w:t>10</w:t>
          </w:r>
          <w:r>
            <w:rPr>
              <w:color w:val="auto"/>
              <w:sz w:val="28"/>
              <w:szCs w:val="36"/>
              <w:highlight w:val="none"/>
            </w:rPr>
            <w:fldChar w:fldCharType="end"/>
          </w:r>
          <w:r>
            <w:rPr>
              <w:color w:val="auto"/>
              <w:sz w:val="28"/>
              <w:szCs w:val="36"/>
              <w:highlight w:val="none"/>
            </w:rPr>
            <w:fldChar w:fldCharType="end"/>
          </w:r>
        </w:p>
        <w:p w14:paraId="38A64904">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_Toc3201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第三节 主要目标</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_Toc3201 \h </w:instrText>
          </w:r>
          <w:r>
            <w:rPr>
              <w:color w:val="auto"/>
              <w:sz w:val="28"/>
              <w:szCs w:val="36"/>
              <w:highlight w:val="none"/>
            </w:rPr>
            <w:fldChar w:fldCharType="separate"/>
          </w:r>
          <w:r>
            <w:rPr>
              <w:color w:val="auto"/>
              <w:sz w:val="28"/>
              <w:szCs w:val="36"/>
              <w:highlight w:val="none"/>
            </w:rPr>
            <w:t>12</w:t>
          </w:r>
          <w:r>
            <w:rPr>
              <w:color w:val="auto"/>
              <w:sz w:val="28"/>
              <w:szCs w:val="36"/>
              <w:highlight w:val="none"/>
            </w:rPr>
            <w:fldChar w:fldCharType="end"/>
          </w:r>
          <w:r>
            <w:rPr>
              <w:color w:val="auto"/>
              <w:sz w:val="28"/>
              <w:szCs w:val="36"/>
              <w:highlight w:val="none"/>
            </w:rPr>
            <w:fldChar w:fldCharType="end"/>
          </w:r>
        </w:p>
        <w:p w14:paraId="5B9CD541">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_Toc31414 </w:instrText>
          </w:r>
          <w:r>
            <w:rPr>
              <w:color w:val="auto"/>
              <w:sz w:val="28"/>
              <w:szCs w:val="36"/>
              <w:highlight w:val="none"/>
            </w:rPr>
            <w:fldChar w:fldCharType="separate"/>
          </w:r>
          <w:r>
            <w:rPr>
              <w:rFonts w:hint="eastAsia" w:ascii="黑体" w:hAnsi="黑体" w:eastAsia="黑体" w:cs="黑体"/>
              <w:color w:val="auto"/>
              <w:sz w:val="28"/>
              <w:szCs w:val="44"/>
              <w:highlight w:val="none"/>
            </w:rPr>
            <w:t xml:space="preserve">第三章 </w:t>
          </w:r>
          <w:r>
            <w:rPr>
              <w:rFonts w:hint="eastAsia" w:ascii="黑体" w:hAnsi="黑体" w:eastAsia="黑体" w:cs="黑体"/>
              <w:color w:val="auto"/>
              <w:sz w:val="28"/>
              <w:szCs w:val="44"/>
              <w:highlight w:val="none"/>
              <w:lang w:eastAsia="zh-CN"/>
            </w:rPr>
            <w:t>深挖侨乡底蕴</w:t>
          </w:r>
          <w:r>
            <w:rPr>
              <w:rFonts w:hint="default" w:ascii="黑体" w:hAnsi="黑体" w:eastAsia="黑体" w:cs="黑体"/>
              <w:color w:val="auto"/>
              <w:sz w:val="28"/>
              <w:szCs w:val="44"/>
              <w:highlight w:val="none"/>
            </w:rPr>
            <w:t xml:space="preserve">优势 </w:t>
          </w:r>
          <w:r>
            <w:rPr>
              <w:rFonts w:hint="eastAsia" w:ascii="黑体" w:hAnsi="黑体" w:eastAsia="黑体" w:cs="黑体"/>
              <w:color w:val="auto"/>
              <w:sz w:val="28"/>
              <w:szCs w:val="44"/>
              <w:highlight w:val="none"/>
              <w:lang w:eastAsia="zh-CN"/>
            </w:rPr>
            <w:t>落实区域协调发展战略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_Toc31414 \h </w:instrText>
          </w:r>
          <w:r>
            <w:rPr>
              <w:color w:val="auto"/>
              <w:sz w:val="28"/>
              <w:szCs w:val="36"/>
              <w:highlight w:val="none"/>
            </w:rPr>
            <w:fldChar w:fldCharType="separate"/>
          </w:r>
          <w:r>
            <w:rPr>
              <w:color w:val="auto"/>
              <w:sz w:val="28"/>
              <w:szCs w:val="36"/>
              <w:highlight w:val="none"/>
            </w:rPr>
            <w:t>15</w:t>
          </w:r>
          <w:r>
            <w:rPr>
              <w:color w:val="auto"/>
              <w:sz w:val="28"/>
              <w:szCs w:val="36"/>
              <w:highlight w:val="none"/>
            </w:rPr>
            <w:fldChar w:fldCharType="end"/>
          </w:r>
          <w:r>
            <w:rPr>
              <w:color w:val="auto"/>
              <w:sz w:val="28"/>
              <w:szCs w:val="36"/>
              <w:highlight w:val="none"/>
            </w:rPr>
            <w:fldChar w:fldCharType="end"/>
          </w:r>
        </w:p>
        <w:p w14:paraId="20A1880A">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_Toc25803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一</w:t>
          </w:r>
          <w:r>
            <w:rPr>
              <w:rFonts w:hint="eastAsia" w:ascii="楷体_GB2312" w:hAnsi="楷体_GB2312" w:eastAsia="楷体_GB2312" w:cs="楷体_GB2312"/>
              <w:color w:val="auto"/>
              <w:sz w:val="28"/>
              <w:szCs w:val="44"/>
              <w:highlight w:val="none"/>
            </w:rPr>
            <w:t>节 积极参与新阶段粤港澳大湾区建设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_Toc25803 \h </w:instrText>
          </w:r>
          <w:r>
            <w:rPr>
              <w:color w:val="auto"/>
              <w:sz w:val="28"/>
              <w:szCs w:val="36"/>
              <w:highlight w:val="none"/>
            </w:rPr>
            <w:fldChar w:fldCharType="separate"/>
          </w:r>
          <w:r>
            <w:rPr>
              <w:color w:val="auto"/>
              <w:sz w:val="28"/>
              <w:szCs w:val="36"/>
              <w:highlight w:val="none"/>
            </w:rPr>
            <w:t>15</w:t>
          </w:r>
          <w:r>
            <w:rPr>
              <w:color w:val="auto"/>
              <w:sz w:val="28"/>
              <w:szCs w:val="36"/>
              <w:highlight w:val="none"/>
            </w:rPr>
            <w:fldChar w:fldCharType="end"/>
          </w:r>
          <w:r>
            <w:rPr>
              <w:color w:val="auto"/>
              <w:sz w:val="28"/>
              <w:szCs w:val="36"/>
              <w:highlight w:val="none"/>
            </w:rPr>
            <w:fldChar w:fldCharType="end"/>
          </w:r>
        </w:p>
        <w:p w14:paraId="272681AC">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_Toc22626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二</w:t>
          </w:r>
          <w:r>
            <w:rPr>
              <w:rFonts w:hint="eastAsia" w:ascii="楷体_GB2312" w:hAnsi="楷体_GB2312" w:eastAsia="楷体_GB2312" w:cs="楷体_GB2312"/>
              <w:color w:val="auto"/>
              <w:sz w:val="28"/>
              <w:szCs w:val="44"/>
              <w:highlight w:val="none"/>
            </w:rPr>
            <w:t>节 深入推动“百千万工程”落地见效</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_Toc22626 \h </w:instrText>
          </w:r>
          <w:r>
            <w:rPr>
              <w:color w:val="auto"/>
              <w:sz w:val="28"/>
              <w:szCs w:val="36"/>
              <w:highlight w:val="none"/>
            </w:rPr>
            <w:fldChar w:fldCharType="separate"/>
          </w:r>
          <w:r>
            <w:rPr>
              <w:color w:val="auto"/>
              <w:sz w:val="28"/>
              <w:szCs w:val="36"/>
              <w:highlight w:val="none"/>
            </w:rPr>
            <w:t>16</w:t>
          </w:r>
          <w:r>
            <w:rPr>
              <w:color w:val="auto"/>
              <w:sz w:val="28"/>
              <w:szCs w:val="36"/>
              <w:highlight w:val="none"/>
            </w:rPr>
            <w:fldChar w:fldCharType="end"/>
          </w:r>
          <w:r>
            <w:rPr>
              <w:color w:val="auto"/>
              <w:sz w:val="28"/>
              <w:szCs w:val="36"/>
              <w:highlight w:val="none"/>
            </w:rPr>
            <w:fldChar w:fldCharType="end"/>
          </w:r>
        </w:p>
        <w:p w14:paraId="40279143">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_Toc14410 </w:instrText>
          </w:r>
          <w:r>
            <w:rPr>
              <w:color w:val="auto"/>
              <w:sz w:val="28"/>
              <w:szCs w:val="36"/>
              <w:highlight w:val="none"/>
            </w:rPr>
            <w:fldChar w:fldCharType="separate"/>
          </w:r>
          <w:r>
            <w:rPr>
              <w:rFonts w:hint="eastAsia" w:ascii="黑体" w:hAnsi="黑体" w:eastAsia="黑体" w:cs="黑体"/>
              <w:color w:val="auto"/>
              <w:sz w:val="28"/>
              <w:szCs w:val="44"/>
              <w:highlight w:val="none"/>
              <w:lang w:val="en-US" w:eastAsia="zh-CN"/>
            </w:rPr>
            <w:t xml:space="preserve">第四章 </w:t>
          </w:r>
          <w:r>
            <w:rPr>
              <w:rFonts w:hint="eastAsia" w:ascii="黑体" w:hAnsi="黑体" w:eastAsia="黑体" w:cs="黑体"/>
              <w:color w:val="auto"/>
              <w:sz w:val="28"/>
              <w:szCs w:val="44"/>
              <w:highlight w:val="none"/>
            </w:rPr>
            <w:t>聚焦社会发展新态势 推动实现更充分更高质量就业</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_Toc14410 \h </w:instrText>
          </w:r>
          <w:r>
            <w:rPr>
              <w:color w:val="auto"/>
              <w:sz w:val="28"/>
              <w:szCs w:val="36"/>
              <w:highlight w:val="none"/>
            </w:rPr>
            <w:fldChar w:fldCharType="separate"/>
          </w:r>
          <w:r>
            <w:rPr>
              <w:color w:val="auto"/>
              <w:sz w:val="28"/>
              <w:szCs w:val="36"/>
              <w:highlight w:val="none"/>
            </w:rPr>
            <w:t>17</w:t>
          </w:r>
          <w:r>
            <w:rPr>
              <w:color w:val="auto"/>
              <w:sz w:val="28"/>
              <w:szCs w:val="36"/>
              <w:highlight w:val="none"/>
            </w:rPr>
            <w:fldChar w:fldCharType="end"/>
          </w:r>
          <w:r>
            <w:rPr>
              <w:color w:val="auto"/>
              <w:sz w:val="28"/>
              <w:szCs w:val="36"/>
              <w:highlight w:val="none"/>
            </w:rPr>
            <w:fldChar w:fldCharType="end"/>
          </w:r>
        </w:p>
        <w:p w14:paraId="5C0DF4C1">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_Toc14332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第一节 </w:t>
          </w:r>
          <w:r>
            <w:rPr>
              <w:rFonts w:hint="eastAsia" w:ascii="楷体_GB2312" w:hAnsi="楷体_GB2312" w:eastAsia="楷体_GB2312" w:cs="楷体_GB2312"/>
              <w:color w:val="auto"/>
              <w:sz w:val="28"/>
              <w:szCs w:val="44"/>
              <w:highlight w:val="none"/>
              <w:lang w:val="zh-CN"/>
            </w:rPr>
            <w:t>强化就业优先政策</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_Toc14332 \h </w:instrText>
          </w:r>
          <w:r>
            <w:rPr>
              <w:color w:val="auto"/>
              <w:sz w:val="28"/>
              <w:szCs w:val="36"/>
              <w:highlight w:val="none"/>
            </w:rPr>
            <w:fldChar w:fldCharType="separate"/>
          </w:r>
          <w:r>
            <w:rPr>
              <w:color w:val="auto"/>
              <w:sz w:val="28"/>
              <w:szCs w:val="36"/>
              <w:highlight w:val="none"/>
            </w:rPr>
            <w:t>17</w:t>
          </w:r>
          <w:r>
            <w:rPr>
              <w:color w:val="auto"/>
              <w:sz w:val="28"/>
              <w:szCs w:val="36"/>
              <w:highlight w:val="none"/>
            </w:rPr>
            <w:fldChar w:fldCharType="end"/>
          </w:r>
          <w:r>
            <w:rPr>
              <w:color w:val="auto"/>
              <w:sz w:val="28"/>
              <w:szCs w:val="36"/>
              <w:highlight w:val="none"/>
            </w:rPr>
            <w:fldChar w:fldCharType="end"/>
          </w:r>
        </w:p>
        <w:p w14:paraId="004F9C78">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_Toc11355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二</w:t>
          </w:r>
          <w:r>
            <w:rPr>
              <w:rFonts w:hint="eastAsia" w:ascii="楷体_GB2312" w:hAnsi="楷体_GB2312" w:eastAsia="楷体_GB2312" w:cs="楷体_GB2312"/>
              <w:color w:val="auto"/>
              <w:sz w:val="28"/>
              <w:szCs w:val="44"/>
              <w:highlight w:val="none"/>
            </w:rPr>
            <w:t>节 突出保障重点群体就业</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_Toc11355 \h </w:instrText>
          </w:r>
          <w:r>
            <w:rPr>
              <w:color w:val="auto"/>
              <w:sz w:val="28"/>
              <w:szCs w:val="36"/>
              <w:highlight w:val="none"/>
            </w:rPr>
            <w:fldChar w:fldCharType="separate"/>
          </w:r>
          <w:r>
            <w:rPr>
              <w:color w:val="auto"/>
              <w:sz w:val="28"/>
              <w:szCs w:val="36"/>
              <w:highlight w:val="none"/>
            </w:rPr>
            <w:t>19</w:t>
          </w:r>
          <w:r>
            <w:rPr>
              <w:color w:val="auto"/>
              <w:sz w:val="28"/>
              <w:szCs w:val="36"/>
              <w:highlight w:val="none"/>
            </w:rPr>
            <w:fldChar w:fldCharType="end"/>
          </w:r>
          <w:r>
            <w:rPr>
              <w:color w:val="auto"/>
              <w:sz w:val="28"/>
              <w:szCs w:val="36"/>
              <w:highlight w:val="none"/>
            </w:rPr>
            <w:fldChar w:fldCharType="end"/>
          </w:r>
        </w:p>
        <w:p w14:paraId="4E45A36A">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_Toc16330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三</w:t>
          </w:r>
          <w:r>
            <w:rPr>
              <w:rFonts w:hint="eastAsia" w:ascii="楷体_GB2312" w:hAnsi="楷体_GB2312" w:eastAsia="楷体_GB2312" w:cs="楷体_GB2312"/>
              <w:color w:val="auto"/>
              <w:sz w:val="28"/>
              <w:szCs w:val="44"/>
              <w:highlight w:val="none"/>
            </w:rPr>
            <w:t xml:space="preserve">节 </w:t>
          </w:r>
          <w:r>
            <w:rPr>
              <w:rFonts w:hint="eastAsia" w:ascii="楷体_GB2312" w:hAnsi="楷体_GB2312" w:eastAsia="楷体_GB2312" w:cs="楷体_GB2312"/>
              <w:color w:val="auto"/>
              <w:sz w:val="28"/>
              <w:szCs w:val="44"/>
              <w:highlight w:val="none"/>
              <w:lang w:val="en-US" w:eastAsia="zh-CN"/>
            </w:rPr>
            <w:t>全面</w:t>
          </w:r>
          <w:r>
            <w:rPr>
              <w:rFonts w:hint="eastAsia" w:ascii="楷体_GB2312" w:hAnsi="楷体_GB2312" w:eastAsia="楷体_GB2312" w:cs="楷体_GB2312"/>
              <w:color w:val="auto"/>
              <w:sz w:val="28"/>
              <w:szCs w:val="44"/>
              <w:highlight w:val="none"/>
            </w:rPr>
            <w:t>促进创业带动就业</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_Toc16330 \h </w:instrText>
          </w:r>
          <w:r>
            <w:rPr>
              <w:color w:val="auto"/>
              <w:sz w:val="28"/>
              <w:szCs w:val="36"/>
              <w:highlight w:val="none"/>
            </w:rPr>
            <w:fldChar w:fldCharType="separate"/>
          </w:r>
          <w:r>
            <w:rPr>
              <w:color w:val="auto"/>
              <w:sz w:val="28"/>
              <w:szCs w:val="36"/>
              <w:highlight w:val="none"/>
            </w:rPr>
            <w:t>21</w:t>
          </w:r>
          <w:r>
            <w:rPr>
              <w:color w:val="auto"/>
              <w:sz w:val="28"/>
              <w:szCs w:val="36"/>
              <w:highlight w:val="none"/>
            </w:rPr>
            <w:fldChar w:fldCharType="end"/>
          </w:r>
          <w:r>
            <w:rPr>
              <w:color w:val="auto"/>
              <w:sz w:val="28"/>
              <w:szCs w:val="36"/>
              <w:highlight w:val="none"/>
            </w:rPr>
            <w:fldChar w:fldCharType="end"/>
          </w:r>
        </w:p>
        <w:p w14:paraId="0F80162B">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_Toc4868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四</w:t>
          </w:r>
          <w:r>
            <w:rPr>
              <w:rFonts w:hint="eastAsia" w:ascii="楷体_GB2312" w:hAnsi="楷体_GB2312" w:eastAsia="楷体_GB2312" w:cs="楷体_GB2312"/>
              <w:color w:val="auto"/>
              <w:sz w:val="28"/>
              <w:szCs w:val="44"/>
              <w:highlight w:val="none"/>
            </w:rPr>
            <w:t xml:space="preserve">节 </w:t>
          </w:r>
          <w:r>
            <w:rPr>
              <w:rFonts w:hint="eastAsia" w:ascii="楷体_GB2312" w:hAnsi="楷体_GB2312" w:eastAsia="楷体_GB2312" w:cs="楷体_GB2312"/>
              <w:color w:val="auto"/>
              <w:sz w:val="28"/>
              <w:szCs w:val="44"/>
              <w:highlight w:val="none"/>
              <w:lang w:val="en-US" w:eastAsia="zh-CN"/>
            </w:rPr>
            <w:t>加快推动</w:t>
          </w:r>
          <w:r>
            <w:rPr>
              <w:rFonts w:hint="eastAsia" w:ascii="楷体_GB2312" w:hAnsi="楷体_GB2312" w:eastAsia="楷体_GB2312" w:cs="楷体_GB2312"/>
              <w:color w:val="auto"/>
              <w:sz w:val="28"/>
              <w:szCs w:val="44"/>
              <w:highlight w:val="none"/>
            </w:rPr>
            <w:t>人力资源服务业高质量发展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_Toc4868 \h </w:instrText>
          </w:r>
          <w:r>
            <w:rPr>
              <w:color w:val="auto"/>
              <w:sz w:val="28"/>
              <w:szCs w:val="36"/>
              <w:highlight w:val="none"/>
            </w:rPr>
            <w:fldChar w:fldCharType="separate"/>
          </w:r>
          <w:r>
            <w:rPr>
              <w:color w:val="auto"/>
              <w:sz w:val="28"/>
              <w:szCs w:val="36"/>
              <w:highlight w:val="none"/>
            </w:rPr>
            <w:t>22</w:t>
          </w:r>
          <w:r>
            <w:rPr>
              <w:color w:val="auto"/>
              <w:sz w:val="28"/>
              <w:szCs w:val="36"/>
              <w:highlight w:val="none"/>
            </w:rPr>
            <w:fldChar w:fldCharType="end"/>
          </w:r>
          <w:r>
            <w:rPr>
              <w:color w:val="auto"/>
              <w:sz w:val="28"/>
              <w:szCs w:val="36"/>
              <w:highlight w:val="none"/>
            </w:rPr>
            <w:fldChar w:fldCharType="end"/>
          </w:r>
        </w:p>
        <w:p w14:paraId="10046988">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_Toc4916 </w:instrText>
          </w:r>
          <w:r>
            <w:rPr>
              <w:color w:val="auto"/>
              <w:sz w:val="28"/>
              <w:szCs w:val="36"/>
              <w:highlight w:val="none"/>
            </w:rPr>
            <w:fldChar w:fldCharType="separate"/>
          </w:r>
          <w:r>
            <w:rPr>
              <w:rFonts w:hint="eastAsia" w:ascii="楷体" w:hAnsi="楷体" w:eastAsia="楷体" w:cs="楷体"/>
              <w:bCs w:val="0"/>
              <w:color w:val="auto"/>
              <w:sz w:val="28"/>
              <w:szCs w:val="44"/>
              <w:highlight w:val="none"/>
            </w:rPr>
            <w:t xml:space="preserve">第五节 </w:t>
          </w:r>
          <w:r>
            <w:rPr>
              <w:rFonts w:hint="eastAsia" w:ascii="楷体" w:hAnsi="楷体" w:eastAsia="楷体" w:cs="楷体"/>
              <w:bCs w:val="0"/>
              <w:color w:val="auto"/>
              <w:sz w:val="28"/>
              <w:szCs w:val="44"/>
              <w:highlight w:val="none"/>
              <w:lang w:val="en-US" w:eastAsia="zh-CN"/>
            </w:rPr>
            <w:t>完善</w:t>
          </w:r>
          <w:r>
            <w:rPr>
              <w:rFonts w:hint="eastAsia" w:ascii="楷体" w:hAnsi="楷体" w:eastAsia="楷体" w:cs="楷体"/>
              <w:bCs w:val="0"/>
              <w:color w:val="auto"/>
              <w:sz w:val="28"/>
              <w:szCs w:val="44"/>
              <w:highlight w:val="none"/>
            </w:rPr>
            <w:t>就业创业服务体系</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_Toc4916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14B33734">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_Toc32185 </w:instrText>
          </w:r>
          <w:r>
            <w:rPr>
              <w:color w:val="auto"/>
              <w:sz w:val="28"/>
              <w:szCs w:val="36"/>
              <w:highlight w:val="none"/>
            </w:rPr>
            <w:fldChar w:fldCharType="separate"/>
          </w:r>
          <w:r>
            <w:rPr>
              <w:rFonts w:hint="eastAsia" w:ascii="黑体" w:hAnsi="黑体" w:eastAsia="黑体" w:cs="黑体"/>
              <w:color w:val="auto"/>
              <w:sz w:val="28"/>
              <w:szCs w:val="44"/>
              <w:highlight w:val="none"/>
            </w:rPr>
            <w:t>第</w:t>
          </w:r>
          <w:r>
            <w:rPr>
              <w:rFonts w:hint="eastAsia" w:ascii="黑体" w:hAnsi="黑体" w:eastAsia="黑体" w:cs="黑体"/>
              <w:color w:val="auto"/>
              <w:sz w:val="28"/>
              <w:szCs w:val="44"/>
              <w:highlight w:val="none"/>
              <w:lang w:val="en-US" w:eastAsia="zh-CN"/>
            </w:rPr>
            <w:t>五</w:t>
          </w:r>
          <w:r>
            <w:rPr>
              <w:rFonts w:hint="eastAsia" w:ascii="黑体" w:hAnsi="黑体" w:eastAsia="黑体" w:cs="黑体"/>
              <w:color w:val="auto"/>
              <w:sz w:val="28"/>
              <w:szCs w:val="44"/>
              <w:highlight w:val="none"/>
            </w:rPr>
            <w:t>章 满足美好生活新期待 构建覆盖全民的社会保障体系</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_Toc32185 \h </w:instrText>
          </w:r>
          <w:r>
            <w:rPr>
              <w:color w:val="auto"/>
              <w:sz w:val="28"/>
              <w:szCs w:val="36"/>
              <w:highlight w:val="none"/>
            </w:rPr>
            <w:fldChar w:fldCharType="separate"/>
          </w:r>
          <w:r>
            <w:rPr>
              <w:color w:val="auto"/>
              <w:sz w:val="28"/>
              <w:szCs w:val="36"/>
              <w:highlight w:val="none"/>
            </w:rPr>
            <w:t>25</w:t>
          </w:r>
          <w:r>
            <w:rPr>
              <w:color w:val="auto"/>
              <w:sz w:val="28"/>
              <w:szCs w:val="36"/>
              <w:highlight w:val="none"/>
            </w:rPr>
            <w:fldChar w:fldCharType="end"/>
          </w:r>
          <w:r>
            <w:rPr>
              <w:color w:val="auto"/>
              <w:sz w:val="28"/>
              <w:szCs w:val="36"/>
              <w:highlight w:val="none"/>
            </w:rPr>
            <w:fldChar w:fldCharType="end"/>
          </w:r>
        </w:p>
        <w:p w14:paraId="2477F51B">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_Toc13020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第一节 推动社会保险扩面提质</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_Toc13020 \h </w:instrText>
          </w:r>
          <w:r>
            <w:rPr>
              <w:color w:val="auto"/>
              <w:sz w:val="28"/>
              <w:szCs w:val="36"/>
              <w:highlight w:val="none"/>
            </w:rPr>
            <w:fldChar w:fldCharType="separate"/>
          </w:r>
          <w:r>
            <w:rPr>
              <w:color w:val="auto"/>
              <w:sz w:val="28"/>
              <w:szCs w:val="36"/>
              <w:highlight w:val="none"/>
            </w:rPr>
            <w:t>25</w:t>
          </w:r>
          <w:r>
            <w:rPr>
              <w:color w:val="auto"/>
              <w:sz w:val="28"/>
              <w:szCs w:val="36"/>
              <w:highlight w:val="none"/>
            </w:rPr>
            <w:fldChar w:fldCharType="end"/>
          </w:r>
          <w:r>
            <w:rPr>
              <w:color w:val="auto"/>
              <w:sz w:val="28"/>
              <w:szCs w:val="36"/>
              <w:highlight w:val="none"/>
            </w:rPr>
            <w:fldChar w:fldCharType="end"/>
          </w:r>
        </w:p>
        <w:p w14:paraId="6F7AC273">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_Toc21390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第二节 健全多层次社会保障体系</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_Toc21390 \h </w:instrText>
          </w:r>
          <w:r>
            <w:rPr>
              <w:color w:val="auto"/>
              <w:sz w:val="28"/>
              <w:szCs w:val="36"/>
              <w:highlight w:val="none"/>
            </w:rPr>
            <w:fldChar w:fldCharType="separate"/>
          </w:r>
          <w:r>
            <w:rPr>
              <w:color w:val="auto"/>
              <w:sz w:val="28"/>
              <w:szCs w:val="36"/>
              <w:highlight w:val="none"/>
            </w:rPr>
            <w:t>26</w:t>
          </w:r>
          <w:r>
            <w:rPr>
              <w:color w:val="auto"/>
              <w:sz w:val="28"/>
              <w:szCs w:val="36"/>
              <w:highlight w:val="none"/>
            </w:rPr>
            <w:fldChar w:fldCharType="end"/>
          </w:r>
          <w:r>
            <w:rPr>
              <w:color w:val="auto"/>
              <w:sz w:val="28"/>
              <w:szCs w:val="36"/>
              <w:highlight w:val="none"/>
            </w:rPr>
            <w:fldChar w:fldCharType="end"/>
          </w:r>
        </w:p>
        <w:p w14:paraId="7FB07CAA">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_Toc5783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第三节 </w:t>
          </w:r>
          <w:r>
            <w:rPr>
              <w:rFonts w:hint="default" w:ascii="楷体_GB2312" w:hAnsi="楷体_GB2312" w:eastAsia="楷体_GB2312" w:cs="楷体_GB2312"/>
              <w:color w:val="auto"/>
              <w:sz w:val="28"/>
              <w:szCs w:val="44"/>
              <w:highlight w:val="none"/>
              <w:lang w:val="zh-CN"/>
            </w:rPr>
            <w:t>稳步提</w:t>
          </w:r>
          <w:r>
            <w:rPr>
              <w:rFonts w:hint="eastAsia" w:ascii="楷体_GB2312" w:hAnsi="楷体_GB2312" w:eastAsia="楷体_GB2312" w:cs="楷体_GB2312"/>
              <w:color w:val="auto"/>
              <w:sz w:val="28"/>
              <w:szCs w:val="44"/>
              <w:highlight w:val="none"/>
              <w:lang w:val="zh-CN"/>
            </w:rPr>
            <w:t>升社会保险待遇</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_Toc5783 \h </w:instrText>
          </w:r>
          <w:r>
            <w:rPr>
              <w:color w:val="auto"/>
              <w:sz w:val="28"/>
              <w:szCs w:val="36"/>
              <w:highlight w:val="none"/>
            </w:rPr>
            <w:fldChar w:fldCharType="separate"/>
          </w:r>
          <w:r>
            <w:rPr>
              <w:color w:val="auto"/>
              <w:sz w:val="28"/>
              <w:szCs w:val="36"/>
              <w:highlight w:val="none"/>
            </w:rPr>
            <w:t>28</w:t>
          </w:r>
          <w:r>
            <w:rPr>
              <w:color w:val="auto"/>
              <w:sz w:val="28"/>
              <w:szCs w:val="36"/>
              <w:highlight w:val="none"/>
            </w:rPr>
            <w:fldChar w:fldCharType="end"/>
          </w:r>
          <w:r>
            <w:rPr>
              <w:color w:val="auto"/>
              <w:sz w:val="28"/>
              <w:szCs w:val="36"/>
              <w:highlight w:val="none"/>
            </w:rPr>
            <w:fldChar w:fldCharType="end"/>
          </w:r>
        </w:p>
        <w:p w14:paraId="0FAC1955">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_Toc28109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第四节 </w:t>
          </w:r>
          <w:r>
            <w:rPr>
              <w:rFonts w:hint="default" w:ascii="楷体_GB2312" w:hAnsi="楷体_GB2312" w:eastAsia="楷体_GB2312" w:cs="楷体_GB2312"/>
              <w:color w:val="auto"/>
              <w:sz w:val="28"/>
              <w:szCs w:val="44"/>
              <w:highlight w:val="none"/>
              <w:lang w:val="zh-CN"/>
            </w:rPr>
            <w:t>健全社保基金监管</w:t>
          </w:r>
          <w:r>
            <w:rPr>
              <w:rFonts w:hint="eastAsia" w:ascii="楷体_GB2312" w:hAnsi="楷体_GB2312" w:eastAsia="楷体_GB2312" w:cs="楷体_GB2312"/>
              <w:color w:val="auto"/>
              <w:sz w:val="28"/>
              <w:szCs w:val="44"/>
              <w:highlight w:val="none"/>
              <w:lang w:val="en-US" w:eastAsia="zh-CN"/>
            </w:rPr>
            <w:t>管理</w:t>
          </w:r>
          <w:r>
            <w:rPr>
              <w:rFonts w:hint="default" w:ascii="楷体_GB2312" w:hAnsi="楷体_GB2312" w:eastAsia="楷体_GB2312" w:cs="楷体_GB2312"/>
              <w:color w:val="auto"/>
              <w:sz w:val="28"/>
              <w:szCs w:val="44"/>
              <w:highlight w:val="none"/>
              <w:lang w:val="zh-CN"/>
            </w:rPr>
            <w:t>体系</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_Toc28109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6DA57F11">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_Toc6188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lang w:val="en-US" w:eastAsia="zh-CN"/>
            </w:rPr>
            <w:t>第五节 完善</w:t>
          </w:r>
          <w:r>
            <w:rPr>
              <w:rFonts w:hint="eastAsia" w:ascii="楷体_GB2312" w:hAnsi="楷体_GB2312" w:eastAsia="楷体_GB2312" w:cs="楷体_GB2312"/>
              <w:color w:val="auto"/>
              <w:sz w:val="28"/>
              <w:szCs w:val="44"/>
              <w:highlight w:val="none"/>
            </w:rPr>
            <w:t>社会保险经办服务体系</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_Toc6188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01641299">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_Toc5690 </w:instrText>
          </w:r>
          <w:r>
            <w:rPr>
              <w:color w:val="auto"/>
              <w:sz w:val="28"/>
              <w:szCs w:val="36"/>
              <w:highlight w:val="none"/>
            </w:rPr>
            <w:fldChar w:fldCharType="separate"/>
          </w:r>
          <w:r>
            <w:rPr>
              <w:rFonts w:hint="eastAsia" w:ascii="黑体" w:hAnsi="黑体" w:eastAsia="黑体" w:cs="黑体"/>
              <w:color w:val="auto"/>
              <w:sz w:val="28"/>
              <w:szCs w:val="44"/>
              <w:highlight w:val="none"/>
            </w:rPr>
            <w:t>第</w:t>
          </w:r>
          <w:r>
            <w:rPr>
              <w:rFonts w:hint="eastAsia" w:ascii="黑体" w:hAnsi="黑体" w:eastAsia="黑体" w:cs="黑体"/>
              <w:color w:val="auto"/>
              <w:sz w:val="28"/>
              <w:szCs w:val="44"/>
              <w:highlight w:val="none"/>
              <w:lang w:val="en-US" w:eastAsia="zh-CN"/>
            </w:rPr>
            <w:t>六</w:t>
          </w:r>
          <w:r>
            <w:rPr>
              <w:rFonts w:hint="eastAsia" w:ascii="黑体" w:hAnsi="黑体" w:eastAsia="黑体" w:cs="黑体"/>
              <w:color w:val="auto"/>
              <w:sz w:val="28"/>
              <w:szCs w:val="44"/>
              <w:highlight w:val="none"/>
            </w:rPr>
            <w:t xml:space="preserve">章 加强人才资源有效供给 </w:t>
          </w:r>
          <w:r>
            <w:rPr>
              <w:rFonts w:hint="default" w:ascii="黑体" w:hAnsi="黑体" w:eastAsia="黑体" w:cs="黑体"/>
              <w:color w:val="auto"/>
              <w:sz w:val="28"/>
              <w:szCs w:val="44"/>
              <w:highlight w:val="none"/>
            </w:rPr>
            <w:t>引领支撑现代化产业体系建设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_Toc5690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DD3B082">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_Toc15615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第一节 加快建设高层次专业技术人才队伍</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_Toc15615 \h </w:instrText>
          </w:r>
          <w:r>
            <w:rPr>
              <w:color w:val="auto"/>
              <w:sz w:val="28"/>
              <w:szCs w:val="36"/>
              <w:highlight w:val="none"/>
            </w:rPr>
            <w:fldChar w:fldCharType="separate"/>
          </w:r>
          <w:r>
            <w:rPr>
              <w:color w:val="auto"/>
              <w:sz w:val="28"/>
              <w:szCs w:val="36"/>
              <w:highlight w:val="none"/>
            </w:rPr>
            <w:t>32</w:t>
          </w:r>
          <w:r>
            <w:rPr>
              <w:color w:val="auto"/>
              <w:sz w:val="28"/>
              <w:szCs w:val="36"/>
              <w:highlight w:val="none"/>
            </w:rPr>
            <w:fldChar w:fldCharType="end"/>
          </w:r>
          <w:r>
            <w:rPr>
              <w:color w:val="auto"/>
              <w:sz w:val="28"/>
              <w:szCs w:val="36"/>
              <w:highlight w:val="none"/>
            </w:rPr>
            <w:fldChar w:fldCharType="end"/>
          </w:r>
        </w:p>
        <w:p w14:paraId="551B8CBC">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_Toc23702 </w:instrText>
          </w:r>
          <w:r>
            <w:rPr>
              <w:color w:val="auto"/>
              <w:sz w:val="28"/>
              <w:szCs w:val="36"/>
              <w:highlight w:val="none"/>
            </w:rPr>
            <w:fldChar w:fldCharType="separate"/>
          </w:r>
          <w:r>
            <w:rPr>
              <w:rFonts w:hint="eastAsia" w:ascii="楷体" w:hAnsi="楷体" w:eastAsia="楷体" w:cs="楷体"/>
              <w:bCs w:val="0"/>
              <w:color w:val="auto"/>
              <w:sz w:val="28"/>
              <w:szCs w:val="44"/>
              <w:highlight w:val="none"/>
              <w:lang w:val="en-US" w:eastAsia="zh-CN"/>
            </w:rPr>
            <w:t>第二节 打造进一步满足产业发展需求的技能人才队伍</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_Toc23702 \h </w:instrText>
          </w:r>
          <w:r>
            <w:rPr>
              <w:color w:val="auto"/>
              <w:sz w:val="28"/>
              <w:szCs w:val="36"/>
              <w:highlight w:val="none"/>
            </w:rPr>
            <w:fldChar w:fldCharType="separate"/>
          </w:r>
          <w:r>
            <w:rPr>
              <w:color w:val="auto"/>
              <w:sz w:val="28"/>
              <w:szCs w:val="36"/>
              <w:highlight w:val="none"/>
            </w:rPr>
            <w:t>33</w:t>
          </w:r>
          <w:r>
            <w:rPr>
              <w:color w:val="auto"/>
              <w:sz w:val="28"/>
              <w:szCs w:val="36"/>
              <w:highlight w:val="none"/>
            </w:rPr>
            <w:fldChar w:fldCharType="end"/>
          </w:r>
          <w:r>
            <w:rPr>
              <w:color w:val="auto"/>
              <w:sz w:val="28"/>
              <w:szCs w:val="36"/>
              <w:highlight w:val="none"/>
            </w:rPr>
            <w:fldChar w:fldCharType="end"/>
          </w:r>
        </w:p>
        <w:p w14:paraId="3BBB3815">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_Toc7693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lang w:val="en-US" w:eastAsia="zh-CN"/>
            </w:rPr>
            <w:t>第三节 深化事业单位人事制度改革</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_Toc7693 \h </w:instrText>
          </w:r>
          <w:r>
            <w:rPr>
              <w:color w:val="auto"/>
              <w:sz w:val="28"/>
              <w:szCs w:val="36"/>
              <w:highlight w:val="none"/>
            </w:rPr>
            <w:fldChar w:fldCharType="separate"/>
          </w:r>
          <w:r>
            <w:rPr>
              <w:color w:val="auto"/>
              <w:sz w:val="28"/>
              <w:szCs w:val="36"/>
              <w:highlight w:val="none"/>
            </w:rPr>
            <w:t>35</w:t>
          </w:r>
          <w:r>
            <w:rPr>
              <w:color w:val="auto"/>
              <w:sz w:val="28"/>
              <w:szCs w:val="36"/>
              <w:highlight w:val="none"/>
            </w:rPr>
            <w:fldChar w:fldCharType="end"/>
          </w:r>
          <w:r>
            <w:rPr>
              <w:color w:val="auto"/>
              <w:sz w:val="28"/>
              <w:szCs w:val="36"/>
              <w:highlight w:val="none"/>
            </w:rPr>
            <w:fldChar w:fldCharType="end"/>
          </w:r>
        </w:p>
        <w:p w14:paraId="4A09BAA3">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_Toc9505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lang w:val="en-US" w:eastAsia="zh-CN"/>
            </w:rPr>
            <w:t>第四节</w:t>
          </w:r>
          <w:r>
            <w:rPr>
              <w:rFonts w:hint="eastAsia" w:ascii="楷体_GB2312" w:hAnsi="楷体_GB2312" w:eastAsia="楷体_GB2312" w:cs="楷体_GB2312"/>
              <w:color w:val="auto"/>
              <w:sz w:val="28"/>
              <w:szCs w:val="44"/>
              <w:highlight w:val="none"/>
            </w:rPr>
            <w:t xml:space="preserve">  完善人才服务体系</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_Toc9505 \h </w:instrText>
          </w:r>
          <w:r>
            <w:rPr>
              <w:color w:val="auto"/>
              <w:sz w:val="28"/>
              <w:szCs w:val="36"/>
              <w:highlight w:val="none"/>
            </w:rPr>
            <w:fldChar w:fldCharType="separate"/>
          </w:r>
          <w:r>
            <w:rPr>
              <w:color w:val="auto"/>
              <w:sz w:val="28"/>
              <w:szCs w:val="36"/>
              <w:highlight w:val="none"/>
            </w:rPr>
            <w:t>36</w:t>
          </w:r>
          <w:r>
            <w:rPr>
              <w:color w:val="auto"/>
              <w:sz w:val="28"/>
              <w:szCs w:val="36"/>
              <w:highlight w:val="none"/>
            </w:rPr>
            <w:fldChar w:fldCharType="end"/>
          </w:r>
          <w:r>
            <w:rPr>
              <w:color w:val="auto"/>
              <w:sz w:val="28"/>
              <w:szCs w:val="36"/>
              <w:highlight w:val="none"/>
            </w:rPr>
            <w:fldChar w:fldCharType="end"/>
          </w:r>
        </w:p>
        <w:p w14:paraId="00C74A82">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_Toc26862 </w:instrText>
          </w:r>
          <w:r>
            <w:rPr>
              <w:color w:val="auto"/>
              <w:sz w:val="28"/>
              <w:szCs w:val="36"/>
              <w:highlight w:val="none"/>
            </w:rPr>
            <w:fldChar w:fldCharType="separate"/>
          </w:r>
          <w:r>
            <w:rPr>
              <w:rFonts w:hint="eastAsia" w:ascii="黑体" w:hAnsi="黑体" w:eastAsia="黑体" w:cs="黑体"/>
              <w:color w:val="auto"/>
              <w:sz w:val="28"/>
              <w:szCs w:val="44"/>
              <w:highlight w:val="none"/>
            </w:rPr>
            <w:t xml:space="preserve">第七章 </w:t>
          </w:r>
          <w:r>
            <w:rPr>
              <w:rFonts w:hint="default" w:ascii="黑体" w:hAnsi="黑体" w:eastAsia="黑体" w:cs="黑体"/>
              <w:color w:val="auto"/>
              <w:sz w:val="28"/>
              <w:szCs w:val="44"/>
              <w:highlight w:val="none"/>
            </w:rPr>
            <w:t xml:space="preserve">深化工资收入分配制度改革 </w:t>
          </w:r>
          <w:r>
            <w:rPr>
              <w:rFonts w:hint="eastAsia" w:ascii="黑体" w:hAnsi="黑体" w:eastAsia="黑体" w:cs="黑体"/>
              <w:color w:val="auto"/>
              <w:sz w:val="28"/>
              <w:szCs w:val="44"/>
              <w:highlight w:val="none"/>
              <w:lang w:eastAsia="zh-CN"/>
            </w:rPr>
            <w:t>健全劳动报酬合理增长机制</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_Toc26862 \h </w:instrText>
          </w:r>
          <w:r>
            <w:rPr>
              <w:color w:val="auto"/>
              <w:sz w:val="28"/>
              <w:szCs w:val="36"/>
              <w:highlight w:val="none"/>
            </w:rPr>
            <w:fldChar w:fldCharType="separate"/>
          </w:r>
          <w:r>
            <w:rPr>
              <w:color w:val="auto"/>
              <w:sz w:val="28"/>
              <w:szCs w:val="36"/>
              <w:highlight w:val="none"/>
            </w:rPr>
            <w:t>37</w:t>
          </w:r>
          <w:r>
            <w:rPr>
              <w:color w:val="auto"/>
              <w:sz w:val="28"/>
              <w:szCs w:val="36"/>
              <w:highlight w:val="none"/>
            </w:rPr>
            <w:fldChar w:fldCharType="end"/>
          </w:r>
          <w:r>
            <w:rPr>
              <w:color w:val="auto"/>
              <w:sz w:val="28"/>
              <w:szCs w:val="36"/>
              <w:highlight w:val="none"/>
            </w:rPr>
            <w:fldChar w:fldCharType="end"/>
          </w:r>
        </w:p>
        <w:p w14:paraId="1C573E53">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_Toc8223 </w:instrText>
          </w:r>
          <w:r>
            <w:rPr>
              <w:color w:val="auto"/>
              <w:sz w:val="28"/>
              <w:szCs w:val="36"/>
              <w:highlight w:val="none"/>
            </w:rPr>
            <w:fldChar w:fldCharType="separate"/>
          </w:r>
          <w:r>
            <w:rPr>
              <w:rFonts w:hint="eastAsia" w:ascii="楷体" w:hAnsi="楷体" w:eastAsia="楷体" w:cs="楷体"/>
              <w:bCs w:val="0"/>
              <w:color w:val="auto"/>
              <w:sz w:val="28"/>
              <w:szCs w:val="36"/>
              <w:highlight w:val="none"/>
            </w:rPr>
            <w:t>第一节  深化企业工资收入分配制度改革</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_Toc8223 \h </w:instrText>
          </w:r>
          <w:r>
            <w:rPr>
              <w:color w:val="auto"/>
              <w:sz w:val="28"/>
              <w:szCs w:val="36"/>
              <w:highlight w:val="none"/>
            </w:rPr>
            <w:fldChar w:fldCharType="separate"/>
          </w:r>
          <w:r>
            <w:rPr>
              <w:color w:val="auto"/>
              <w:sz w:val="28"/>
              <w:szCs w:val="36"/>
              <w:highlight w:val="none"/>
            </w:rPr>
            <w:t>37</w:t>
          </w:r>
          <w:r>
            <w:rPr>
              <w:color w:val="auto"/>
              <w:sz w:val="28"/>
              <w:szCs w:val="36"/>
              <w:highlight w:val="none"/>
            </w:rPr>
            <w:fldChar w:fldCharType="end"/>
          </w:r>
          <w:r>
            <w:rPr>
              <w:color w:val="auto"/>
              <w:sz w:val="28"/>
              <w:szCs w:val="36"/>
              <w:highlight w:val="none"/>
            </w:rPr>
            <w:fldChar w:fldCharType="end"/>
          </w:r>
        </w:p>
        <w:p w14:paraId="4919A652">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_Toc6841 </w:instrText>
          </w:r>
          <w:r>
            <w:rPr>
              <w:color w:val="auto"/>
              <w:sz w:val="28"/>
              <w:szCs w:val="36"/>
              <w:highlight w:val="none"/>
            </w:rPr>
            <w:fldChar w:fldCharType="separate"/>
          </w:r>
          <w:r>
            <w:rPr>
              <w:rFonts w:hint="eastAsia" w:ascii="楷体" w:hAnsi="楷体" w:eastAsia="楷体" w:cs="楷体"/>
              <w:bCs w:val="0"/>
              <w:color w:val="auto"/>
              <w:sz w:val="28"/>
              <w:szCs w:val="36"/>
              <w:highlight w:val="none"/>
            </w:rPr>
            <w:t>第</w:t>
          </w:r>
          <w:r>
            <w:rPr>
              <w:rFonts w:hint="eastAsia" w:ascii="楷体" w:hAnsi="楷体" w:eastAsia="楷体" w:cs="楷体"/>
              <w:bCs w:val="0"/>
              <w:color w:val="auto"/>
              <w:sz w:val="28"/>
              <w:szCs w:val="36"/>
              <w:highlight w:val="none"/>
              <w:lang w:eastAsia="zh-CN"/>
            </w:rPr>
            <w:t>二</w:t>
          </w:r>
          <w:r>
            <w:rPr>
              <w:rFonts w:hint="eastAsia" w:ascii="楷体" w:hAnsi="楷体" w:eastAsia="楷体" w:cs="楷体"/>
              <w:bCs w:val="0"/>
              <w:color w:val="auto"/>
              <w:sz w:val="28"/>
              <w:szCs w:val="36"/>
              <w:highlight w:val="none"/>
            </w:rPr>
            <w:t>节  完善事业单位薪酬分配制度</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_Toc6841 \h </w:instrText>
          </w:r>
          <w:r>
            <w:rPr>
              <w:color w:val="auto"/>
              <w:sz w:val="28"/>
              <w:szCs w:val="36"/>
              <w:highlight w:val="none"/>
            </w:rPr>
            <w:fldChar w:fldCharType="separate"/>
          </w:r>
          <w:r>
            <w:rPr>
              <w:color w:val="auto"/>
              <w:sz w:val="28"/>
              <w:szCs w:val="36"/>
              <w:highlight w:val="none"/>
            </w:rPr>
            <w:t>39</w:t>
          </w:r>
          <w:r>
            <w:rPr>
              <w:color w:val="auto"/>
              <w:sz w:val="28"/>
              <w:szCs w:val="36"/>
              <w:highlight w:val="none"/>
            </w:rPr>
            <w:fldChar w:fldCharType="end"/>
          </w:r>
          <w:r>
            <w:rPr>
              <w:color w:val="auto"/>
              <w:sz w:val="28"/>
              <w:szCs w:val="36"/>
              <w:highlight w:val="none"/>
            </w:rPr>
            <w:fldChar w:fldCharType="end"/>
          </w:r>
        </w:p>
        <w:p w14:paraId="07219650">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_Toc19666 </w:instrText>
          </w:r>
          <w:r>
            <w:rPr>
              <w:color w:val="auto"/>
              <w:sz w:val="28"/>
              <w:szCs w:val="36"/>
              <w:highlight w:val="none"/>
            </w:rPr>
            <w:fldChar w:fldCharType="separate"/>
          </w:r>
          <w:r>
            <w:rPr>
              <w:rFonts w:hint="eastAsia" w:ascii="黑体" w:hAnsi="黑体" w:eastAsia="黑体" w:cs="黑体"/>
              <w:color w:val="auto"/>
              <w:sz w:val="28"/>
              <w:szCs w:val="44"/>
              <w:highlight w:val="none"/>
            </w:rPr>
            <w:t xml:space="preserve">第八章 </w:t>
          </w:r>
          <w:r>
            <w:rPr>
              <w:rFonts w:hint="eastAsia" w:ascii="黑体" w:hAnsi="黑体" w:eastAsia="黑体" w:cs="黑体"/>
              <w:color w:val="auto"/>
              <w:sz w:val="28"/>
              <w:szCs w:val="44"/>
              <w:highlight w:val="none"/>
              <w:lang w:val="en-US" w:eastAsia="zh-CN"/>
            </w:rPr>
            <w:t>完善</w:t>
          </w:r>
          <w:r>
            <w:rPr>
              <w:rFonts w:hint="default" w:ascii="黑体" w:hAnsi="黑体" w:eastAsia="黑体" w:cs="黑体"/>
              <w:color w:val="auto"/>
              <w:sz w:val="28"/>
              <w:szCs w:val="44"/>
              <w:highlight w:val="none"/>
            </w:rPr>
            <w:t>劳动关系治理体系</w:t>
          </w:r>
          <w:r>
            <w:rPr>
              <w:rFonts w:hint="eastAsia" w:ascii="黑体" w:hAnsi="黑体" w:eastAsia="黑体" w:cs="黑体"/>
              <w:color w:val="auto"/>
              <w:sz w:val="28"/>
              <w:szCs w:val="44"/>
              <w:highlight w:val="none"/>
            </w:rPr>
            <w:t xml:space="preserve"> </w:t>
          </w:r>
          <w:r>
            <w:rPr>
              <w:rFonts w:hint="eastAsia" w:ascii="黑体" w:hAnsi="黑体" w:eastAsia="黑体" w:cs="黑体"/>
              <w:color w:val="auto"/>
              <w:sz w:val="28"/>
              <w:szCs w:val="44"/>
              <w:highlight w:val="none"/>
              <w:lang w:val="en-US" w:eastAsia="zh-CN"/>
            </w:rPr>
            <w:t>维护</w:t>
          </w:r>
          <w:r>
            <w:rPr>
              <w:rFonts w:hint="eastAsia" w:ascii="黑体" w:hAnsi="黑体" w:eastAsia="黑体" w:cs="黑体"/>
              <w:color w:val="auto"/>
              <w:sz w:val="28"/>
              <w:szCs w:val="44"/>
              <w:highlight w:val="none"/>
            </w:rPr>
            <w:t>劳动关系和谐</w:t>
          </w:r>
          <w:r>
            <w:rPr>
              <w:rFonts w:hint="eastAsia" w:ascii="黑体" w:hAnsi="黑体" w:eastAsia="黑体" w:cs="黑体"/>
              <w:color w:val="auto"/>
              <w:sz w:val="28"/>
              <w:szCs w:val="44"/>
              <w:highlight w:val="none"/>
              <w:lang w:val="en-US" w:eastAsia="zh-CN"/>
            </w:rPr>
            <w:t>稳定</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_Toc19666 \h </w:instrText>
          </w:r>
          <w:r>
            <w:rPr>
              <w:color w:val="auto"/>
              <w:sz w:val="28"/>
              <w:szCs w:val="36"/>
              <w:highlight w:val="none"/>
            </w:rPr>
            <w:fldChar w:fldCharType="separate"/>
          </w:r>
          <w:r>
            <w:rPr>
              <w:color w:val="auto"/>
              <w:sz w:val="28"/>
              <w:szCs w:val="36"/>
              <w:highlight w:val="none"/>
            </w:rPr>
            <w:t>39</w:t>
          </w:r>
          <w:r>
            <w:rPr>
              <w:color w:val="auto"/>
              <w:sz w:val="28"/>
              <w:szCs w:val="36"/>
              <w:highlight w:val="none"/>
            </w:rPr>
            <w:fldChar w:fldCharType="end"/>
          </w:r>
          <w:r>
            <w:rPr>
              <w:color w:val="auto"/>
              <w:sz w:val="28"/>
              <w:szCs w:val="36"/>
              <w:highlight w:val="none"/>
            </w:rPr>
            <w:fldChar w:fldCharType="end"/>
          </w:r>
        </w:p>
        <w:p w14:paraId="30CD1EC4">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_Toc23470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第一节 完善</w:t>
          </w:r>
          <w:r>
            <w:rPr>
              <w:rFonts w:hint="eastAsia" w:ascii="楷体_GB2312" w:hAnsi="楷体_GB2312" w:eastAsia="楷体_GB2312" w:cs="楷体_GB2312"/>
              <w:color w:val="auto"/>
              <w:sz w:val="28"/>
              <w:szCs w:val="44"/>
              <w:highlight w:val="none"/>
              <w:lang w:val="en-US" w:eastAsia="zh-CN"/>
            </w:rPr>
            <w:t>协商</w:t>
          </w:r>
          <w:r>
            <w:rPr>
              <w:rFonts w:hint="eastAsia" w:ascii="楷体_GB2312" w:hAnsi="楷体_GB2312" w:eastAsia="楷体_GB2312" w:cs="楷体_GB2312"/>
              <w:color w:val="auto"/>
              <w:sz w:val="28"/>
              <w:szCs w:val="44"/>
              <w:highlight w:val="none"/>
            </w:rPr>
            <w:t>协调机制</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_Toc23470 \h </w:instrText>
          </w:r>
          <w:r>
            <w:rPr>
              <w:color w:val="auto"/>
              <w:sz w:val="28"/>
              <w:szCs w:val="36"/>
              <w:highlight w:val="none"/>
            </w:rPr>
            <w:fldChar w:fldCharType="separate"/>
          </w:r>
          <w:r>
            <w:rPr>
              <w:color w:val="auto"/>
              <w:sz w:val="28"/>
              <w:szCs w:val="36"/>
              <w:highlight w:val="none"/>
            </w:rPr>
            <w:t>40</w:t>
          </w:r>
          <w:r>
            <w:rPr>
              <w:color w:val="auto"/>
              <w:sz w:val="28"/>
              <w:szCs w:val="36"/>
              <w:highlight w:val="none"/>
            </w:rPr>
            <w:fldChar w:fldCharType="end"/>
          </w:r>
          <w:r>
            <w:rPr>
              <w:color w:val="auto"/>
              <w:sz w:val="28"/>
              <w:szCs w:val="36"/>
              <w:highlight w:val="none"/>
            </w:rPr>
            <w:fldChar w:fldCharType="end"/>
          </w:r>
        </w:p>
        <w:p w14:paraId="1617D000">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_Toc403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二</w:t>
          </w:r>
          <w:r>
            <w:rPr>
              <w:rFonts w:hint="eastAsia" w:ascii="楷体_GB2312" w:hAnsi="楷体_GB2312" w:eastAsia="楷体_GB2312" w:cs="楷体_GB2312"/>
              <w:color w:val="auto"/>
              <w:sz w:val="28"/>
              <w:szCs w:val="44"/>
              <w:highlight w:val="none"/>
            </w:rPr>
            <w:t xml:space="preserve">节 </w:t>
          </w:r>
          <w:r>
            <w:rPr>
              <w:rFonts w:hint="eastAsia" w:ascii="楷体_GB2312" w:hAnsi="楷体_GB2312" w:eastAsia="楷体_GB2312" w:cs="楷体_GB2312"/>
              <w:color w:val="auto"/>
              <w:sz w:val="28"/>
              <w:szCs w:val="44"/>
              <w:highlight w:val="none"/>
              <w:lang w:eastAsia="zh-CN"/>
            </w:rPr>
            <w:t>提升</w:t>
          </w:r>
          <w:r>
            <w:rPr>
              <w:rFonts w:hint="default" w:ascii="楷体_GB2312" w:hAnsi="楷体_GB2312" w:eastAsia="楷体_GB2312" w:cs="楷体_GB2312"/>
              <w:color w:val="auto"/>
              <w:sz w:val="28"/>
              <w:szCs w:val="44"/>
              <w:highlight w:val="none"/>
            </w:rPr>
            <w:t>争议调解仲裁</w:t>
          </w:r>
          <w:r>
            <w:rPr>
              <w:rFonts w:hint="eastAsia" w:ascii="楷体_GB2312" w:hAnsi="楷体_GB2312" w:eastAsia="楷体_GB2312" w:cs="楷体_GB2312"/>
              <w:color w:val="auto"/>
              <w:sz w:val="28"/>
              <w:szCs w:val="44"/>
              <w:highlight w:val="none"/>
              <w:lang w:eastAsia="zh-CN"/>
            </w:rPr>
            <w:t>效能</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_Toc403 \h </w:instrText>
          </w:r>
          <w:r>
            <w:rPr>
              <w:color w:val="auto"/>
              <w:sz w:val="28"/>
              <w:szCs w:val="36"/>
              <w:highlight w:val="none"/>
            </w:rPr>
            <w:fldChar w:fldCharType="separate"/>
          </w:r>
          <w:r>
            <w:rPr>
              <w:color w:val="auto"/>
              <w:sz w:val="28"/>
              <w:szCs w:val="36"/>
              <w:highlight w:val="none"/>
            </w:rPr>
            <w:t>40</w:t>
          </w:r>
          <w:r>
            <w:rPr>
              <w:color w:val="auto"/>
              <w:sz w:val="28"/>
              <w:szCs w:val="36"/>
              <w:highlight w:val="none"/>
            </w:rPr>
            <w:fldChar w:fldCharType="end"/>
          </w:r>
          <w:r>
            <w:rPr>
              <w:color w:val="auto"/>
              <w:sz w:val="28"/>
              <w:szCs w:val="36"/>
              <w:highlight w:val="none"/>
            </w:rPr>
            <w:fldChar w:fldCharType="end"/>
          </w:r>
        </w:p>
        <w:p w14:paraId="741EB100">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_Toc4777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三</w:t>
          </w:r>
          <w:r>
            <w:rPr>
              <w:rFonts w:hint="eastAsia" w:ascii="楷体_GB2312" w:hAnsi="楷体_GB2312" w:eastAsia="楷体_GB2312" w:cs="楷体_GB2312"/>
              <w:color w:val="auto"/>
              <w:sz w:val="28"/>
              <w:szCs w:val="44"/>
              <w:highlight w:val="none"/>
            </w:rPr>
            <w:t xml:space="preserve">节 </w:t>
          </w:r>
          <w:r>
            <w:rPr>
              <w:rFonts w:hint="eastAsia" w:ascii="楷体_GB2312" w:hAnsi="楷体_GB2312" w:eastAsia="楷体_GB2312" w:cs="楷体_GB2312"/>
              <w:color w:val="auto"/>
              <w:sz w:val="28"/>
              <w:szCs w:val="44"/>
              <w:highlight w:val="none"/>
              <w:lang w:eastAsia="zh-CN"/>
            </w:rPr>
            <w:t>强化</w:t>
          </w:r>
          <w:r>
            <w:rPr>
              <w:rFonts w:hint="default" w:ascii="楷体_GB2312" w:hAnsi="楷体_GB2312" w:eastAsia="楷体_GB2312" w:cs="楷体_GB2312"/>
              <w:color w:val="auto"/>
              <w:sz w:val="28"/>
              <w:szCs w:val="44"/>
              <w:highlight w:val="none"/>
            </w:rPr>
            <w:t>劳动保障监察执法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_Toc4777 \h </w:instrText>
          </w:r>
          <w:r>
            <w:rPr>
              <w:color w:val="auto"/>
              <w:sz w:val="28"/>
              <w:szCs w:val="36"/>
              <w:highlight w:val="none"/>
            </w:rPr>
            <w:fldChar w:fldCharType="separate"/>
          </w:r>
          <w:r>
            <w:rPr>
              <w:color w:val="auto"/>
              <w:sz w:val="28"/>
              <w:szCs w:val="36"/>
              <w:highlight w:val="none"/>
            </w:rPr>
            <w:t>40</w:t>
          </w:r>
          <w:r>
            <w:rPr>
              <w:color w:val="auto"/>
              <w:sz w:val="28"/>
              <w:szCs w:val="36"/>
              <w:highlight w:val="none"/>
            </w:rPr>
            <w:fldChar w:fldCharType="end"/>
          </w:r>
          <w:r>
            <w:rPr>
              <w:color w:val="auto"/>
              <w:sz w:val="28"/>
              <w:szCs w:val="36"/>
              <w:highlight w:val="none"/>
            </w:rPr>
            <w:fldChar w:fldCharType="end"/>
          </w:r>
        </w:p>
        <w:p w14:paraId="35D5CA73">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_Toc10375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w:t>
          </w:r>
          <w:r>
            <w:rPr>
              <w:rFonts w:hint="eastAsia" w:ascii="楷体_GB2312" w:hAnsi="楷体_GB2312" w:eastAsia="楷体_GB2312" w:cs="楷体_GB2312"/>
              <w:color w:val="auto"/>
              <w:sz w:val="28"/>
              <w:szCs w:val="44"/>
              <w:highlight w:val="none"/>
              <w:lang w:val="en-US" w:eastAsia="zh-CN"/>
            </w:rPr>
            <w:t>四</w:t>
          </w:r>
          <w:r>
            <w:rPr>
              <w:rFonts w:hint="eastAsia" w:ascii="楷体_GB2312" w:hAnsi="楷体_GB2312" w:eastAsia="楷体_GB2312" w:cs="楷体_GB2312"/>
              <w:color w:val="auto"/>
              <w:sz w:val="28"/>
              <w:szCs w:val="44"/>
              <w:highlight w:val="none"/>
            </w:rPr>
            <w:t xml:space="preserve">节 </w:t>
          </w:r>
          <w:r>
            <w:rPr>
              <w:rFonts w:hint="eastAsia" w:ascii="楷体_GB2312" w:hAnsi="楷体_GB2312" w:eastAsia="楷体_GB2312" w:cs="楷体_GB2312"/>
              <w:color w:val="auto"/>
              <w:sz w:val="28"/>
              <w:szCs w:val="44"/>
              <w:highlight w:val="none"/>
              <w:lang w:eastAsia="zh-CN"/>
            </w:rPr>
            <w:t>筑牢</w:t>
          </w:r>
          <w:r>
            <w:rPr>
              <w:rFonts w:hint="eastAsia" w:ascii="楷体_GB2312" w:hAnsi="楷体_GB2312" w:eastAsia="楷体_GB2312" w:cs="楷体_GB2312"/>
              <w:color w:val="auto"/>
              <w:sz w:val="28"/>
              <w:szCs w:val="44"/>
              <w:highlight w:val="none"/>
            </w:rPr>
            <w:t>新业态劳动者权益保障</w:t>
          </w:r>
          <w:r>
            <w:rPr>
              <w:rFonts w:hint="eastAsia" w:ascii="楷体_GB2312" w:hAnsi="楷体_GB2312" w:eastAsia="楷体_GB2312" w:cs="楷体_GB2312"/>
              <w:color w:val="auto"/>
              <w:sz w:val="28"/>
              <w:szCs w:val="44"/>
              <w:highlight w:val="none"/>
              <w:lang w:eastAsia="zh-CN"/>
            </w:rPr>
            <w:t>防线</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_Toc10375 \h </w:instrText>
          </w:r>
          <w:r>
            <w:rPr>
              <w:color w:val="auto"/>
              <w:sz w:val="28"/>
              <w:szCs w:val="36"/>
              <w:highlight w:val="none"/>
            </w:rPr>
            <w:fldChar w:fldCharType="separate"/>
          </w:r>
          <w:r>
            <w:rPr>
              <w:color w:val="auto"/>
              <w:sz w:val="28"/>
              <w:szCs w:val="36"/>
              <w:highlight w:val="none"/>
            </w:rPr>
            <w:t>43</w:t>
          </w:r>
          <w:r>
            <w:rPr>
              <w:color w:val="auto"/>
              <w:sz w:val="28"/>
              <w:szCs w:val="36"/>
              <w:highlight w:val="none"/>
            </w:rPr>
            <w:fldChar w:fldCharType="end"/>
          </w:r>
          <w:r>
            <w:rPr>
              <w:color w:val="auto"/>
              <w:sz w:val="28"/>
              <w:szCs w:val="36"/>
              <w:highlight w:val="none"/>
            </w:rPr>
            <w:fldChar w:fldCharType="end"/>
          </w:r>
        </w:p>
        <w:p w14:paraId="7993E665">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_Toc22334 </w:instrText>
          </w:r>
          <w:r>
            <w:rPr>
              <w:color w:val="auto"/>
              <w:sz w:val="28"/>
              <w:szCs w:val="36"/>
              <w:highlight w:val="none"/>
            </w:rPr>
            <w:fldChar w:fldCharType="separate"/>
          </w:r>
          <w:r>
            <w:rPr>
              <w:rFonts w:hint="eastAsia" w:ascii="黑体" w:hAnsi="黑体" w:eastAsia="黑体" w:cs="黑体"/>
              <w:color w:val="auto"/>
              <w:sz w:val="28"/>
              <w:szCs w:val="44"/>
              <w:highlight w:val="none"/>
            </w:rPr>
            <w:t>第九章 围绕行风建设新要求 全方位提升人社服务效能</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_Toc22334 \h </w:instrText>
          </w:r>
          <w:r>
            <w:rPr>
              <w:color w:val="auto"/>
              <w:sz w:val="28"/>
              <w:szCs w:val="36"/>
              <w:highlight w:val="none"/>
            </w:rPr>
            <w:fldChar w:fldCharType="separate"/>
          </w:r>
          <w:r>
            <w:rPr>
              <w:color w:val="auto"/>
              <w:sz w:val="28"/>
              <w:szCs w:val="36"/>
              <w:highlight w:val="none"/>
            </w:rPr>
            <w:t>44</w:t>
          </w:r>
          <w:r>
            <w:rPr>
              <w:color w:val="auto"/>
              <w:sz w:val="28"/>
              <w:szCs w:val="36"/>
              <w:highlight w:val="none"/>
            </w:rPr>
            <w:fldChar w:fldCharType="end"/>
          </w:r>
          <w:r>
            <w:rPr>
              <w:color w:val="auto"/>
              <w:sz w:val="28"/>
              <w:szCs w:val="36"/>
              <w:highlight w:val="none"/>
            </w:rPr>
            <w:fldChar w:fldCharType="end"/>
          </w:r>
        </w:p>
        <w:p w14:paraId="7C6E5415">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_Toc22290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第一节 </w:t>
          </w:r>
          <w:r>
            <w:rPr>
              <w:rFonts w:hint="default" w:ascii="楷体_GB2312" w:hAnsi="楷体_GB2312" w:eastAsia="楷体_GB2312" w:cs="楷体_GB2312"/>
              <w:color w:val="auto"/>
              <w:sz w:val="28"/>
              <w:szCs w:val="44"/>
              <w:highlight w:val="none"/>
            </w:rPr>
            <w:t>加强人社系统行风建设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_Toc22290 \h </w:instrText>
          </w:r>
          <w:r>
            <w:rPr>
              <w:color w:val="auto"/>
              <w:sz w:val="28"/>
              <w:szCs w:val="36"/>
              <w:highlight w:val="none"/>
            </w:rPr>
            <w:fldChar w:fldCharType="separate"/>
          </w:r>
          <w:r>
            <w:rPr>
              <w:color w:val="auto"/>
              <w:sz w:val="28"/>
              <w:szCs w:val="36"/>
              <w:highlight w:val="none"/>
            </w:rPr>
            <w:t>44</w:t>
          </w:r>
          <w:r>
            <w:rPr>
              <w:color w:val="auto"/>
              <w:sz w:val="28"/>
              <w:szCs w:val="36"/>
              <w:highlight w:val="none"/>
            </w:rPr>
            <w:fldChar w:fldCharType="end"/>
          </w:r>
          <w:r>
            <w:rPr>
              <w:color w:val="auto"/>
              <w:sz w:val="28"/>
              <w:szCs w:val="36"/>
              <w:highlight w:val="none"/>
            </w:rPr>
            <w:fldChar w:fldCharType="end"/>
          </w:r>
        </w:p>
        <w:p w14:paraId="180F4CFF">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_Toc23771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第二节 推进</w:t>
          </w:r>
          <w:r>
            <w:rPr>
              <w:rFonts w:hint="eastAsia" w:ascii="楷体_GB2312" w:hAnsi="楷体_GB2312" w:eastAsia="楷体_GB2312" w:cs="楷体_GB2312"/>
              <w:color w:val="auto"/>
              <w:sz w:val="28"/>
              <w:szCs w:val="44"/>
              <w:highlight w:val="none"/>
              <w:lang w:val="en-US" w:eastAsia="zh-CN"/>
            </w:rPr>
            <w:t>数字</w:t>
          </w:r>
          <w:r>
            <w:rPr>
              <w:rFonts w:hint="eastAsia" w:ascii="楷体_GB2312" w:hAnsi="楷体_GB2312" w:eastAsia="楷体_GB2312" w:cs="楷体_GB2312"/>
              <w:color w:val="auto"/>
              <w:sz w:val="28"/>
              <w:szCs w:val="44"/>
              <w:highlight w:val="none"/>
            </w:rPr>
            <w:t>智慧人社建设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_Toc23771 \h </w:instrText>
          </w:r>
          <w:r>
            <w:rPr>
              <w:color w:val="auto"/>
              <w:sz w:val="28"/>
              <w:szCs w:val="36"/>
              <w:highlight w:val="none"/>
            </w:rPr>
            <w:fldChar w:fldCharType="separate"/>
          </w:r>
          <w:r>
            <w:rPr>
              <w:color w:val="auto"/>
              <w:sz w:val="28"/>
              <w:szCs w:val="36"/>
              <w:highlight w:val="none"/>
            </w:rPr>
            <w:t>45</w:t>
          </w:r>
          <w:r>
            <w:rPr>
              <w:color w:val="auto"/>
              <w:sz w:val="28"/>
              <w:szCs w:val="36"/>
              <w:highlight w:val="none"/>
            </w:rPr>
            <w:fldChar w:fldCharType="end"/>
          </w:r>
          <w:r>
            <w:rPr>
              <w:color w:val="auto"/>
              <w:sz w:val="28"/>
              <w:szCs w:val="36"/>
              <w:highlight w:val="none"/>
            </w:rPr>
            <w:fldChar w:fldCharType="end"/>
          </w:r>
        </w:p>
        <w:p w14:paraId="092348B8">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_Toc30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第三节 </w:t>
          </w:r>
          <w:r>
            <w:rPr>
              <w:rFonts w:hint="eastAsia" w:ascii="楷体_GB2312" w:hAnsi="楷体_GB2312" w:eastAsia="楷体_GB2312" w:cs="楷体_GB2312"/>
              <w:color w:val="auto"/>
              <w:sz w:val="28"/>
              <w:szCs w:val="44"/>
              <w:highlight w:val="none"/>
              <w:lang w:eastAsia="zh-CN"/>
            </w:rPr>
            <w:t>提高</w:t>
          </w:r>
          <w:r>
            <w:rPr>
              <w:rFonts w:hint="default" w:ascii="楷体_GB2312" w:hAnsi="楷体_GB2312" w:eastAsia="楷体_GB2312" w:cs="楷体_GB2312"/>
              <w:color w:val="auto"/>
              <w:sz w:val="28"/>
              <w:szCs w:val="44"/>
              <w:highlight w:val="none"/>
            </w:rPr>
            <w:t>信息化便民服务</w:t>
          </w:r>
          <w:r>
            <w:rPr>
              <w:rFonts w:hint="eastAsia" w:ascii="楷体_GB2312" w:hAnsi="楷体_GB2312" w:eastAsia="楷体_GB2312" w:cs="楷体_GB2312"/>
              <w:color w:val="auto"/>
              <w:sz w:val="28"/>
              <w:szCs w:val="44"/>
              <w:highlight w:val="none"/>
              <w:lang w:eastAsia="zh-CN"/>
            </w:rPr>
            <w:t>水平</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_Toc30 \h </w:instrText>
          </w:r>
          <w:r>
            <w:rPr>
              <w:color w:val="auto"/>
              <w:sz w:val="28"/>
              <w:szCs w:val="36"/>
              <w:highlight w:val="none"/>
            </w:rPr>
            <w:fldChar w:fldCharType="separate"/>
          </w:r>
          <w:r>
            <w:rPr>
              <w:color w:val="auto"/>
              <w:sz w:val="28"/>
              <w:szCs w:val="36"/>
              <w:highlight w:val="none"/>
            </w:rPr>
            <w:t>47</w:t>
          </w:r>
          <w:r>
            <w:rPr>
              <w:color w:val="auto"/>
              <w:sz w:val="28"/>
              <w:szCs w:val="36"/>
              <w:highlight w:val="none"/>
            </w:rPr>
            <w:fldChar w:fldCharType="end"/>
          </w:r>
          <w:r>
            <w:rPr>
              <w:color w:val="auto"/>
              <w:sz w:val="28"/>
              <w:szCs w:val="36"/>
              <w:highlight w:val="none"/>
            </w:rPr>
            <w:fldChar w:fldCharType="end"/>
          </w:r>
        </w:p>
        <w:p w14:paraId="2FD73E85">
          <w:pPr>
            <w:pStyle w:val="9"/>
            <w:tabs>
              <w:tab w:val="right" w:leader="dot" w:pos="9071"/>
            </w:tabs>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_Toc27439 </w:instrText>
          </w:r>
          <w:r>
            <w:rPr>
              <w:color w:val="auto"/>
              <w:sz w:val="28"/>
              <w:szCs w:val="36"/>
              <w:highlight w:val="none"/>
            </w:rPr>
            <w:fldChar w:fldCharType="separate"/>
          </w:r>
          <w:r>
            <w:rPr>
              <w:rFonts w:hint="eastAsia" w:ascii="黑体" w:hAnsi="黑体" w:eastAsia="黑体" w:cs="黑体"/>
              <w:color w:val="auto"/>
              <w:sz w:val="28"/>
              <w:szCs w:val="44"/>
              <w:highlight w:val="none"/>
            </w:rPr>
            <w:t>第十章 强化规划实施保障</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_Toc27439 \h </w:instrText>
          </w:r>
          <w:r>
            <w:rPr>
              <w:color w:val="auto"/>
              <w:sz w:val="28"/>
              <w:szCs w:val="36"/>
              <w:highlight w:val="none"/>
            </w:rPr>
            <w:fldChar w:fldCharType="separate"/>
          </w:r>
          <w:r>
            <w:rPr>
              <w:color w:val="auto"/>
              <w:sz w:val="28"/>
              <w:szCs w:val="36"/>
              <w:highlight w:val="none"/>
            </w:rPr>
            <w:t>47</w:t>
          </w:r>
          <w:r>
            <w:rPr>
              <w:color w:val="auto"/>
              <w:sz w:val="28"/>
              <w:szCs w:val="36"/>
              <w:highlight w:val="none"/>
            </w:rPr>
            <w:fldChar w:fldCharType="end"/>
          </w:r>
          <w:r>
            <w:rPr>
              <w:color w:val="auto"/>
              <w:sz w:val="28"/>
              <w:szCs w:val="36"/>
              <w:highlight w:val="none"/>
            </w:rPr>
            <w:fldChar w:fldCharType="end"/>
          </w:r>
        </w:p>
        <w:p w14:paraId="503E3D5A">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_Toc4959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第一节 </w:t>
          </w:r>
          <w:r>
            <w:rPr>
              <w:rFonts w:hint="eastAsia" w:ascii="楷体_GB2312" w:hAnsi="楷体_GB2312" w:eastAsia="楷体_GB2312" w:cs="楷体_GB2312"/>
              <w:color w:val="auto"/>
              <w:sz w:val="28"/>
              <w:szCs w:val="44"/>
              <w:highlight w:val="none"/>
              <w:lang w:val="en-US" w:eastAsia="zh-CN"/>
            </w:rPr>
            <w:t>强化党建引领</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_Toc4959 \h </w:instrText>
          </w:r>
          <w:r>
            <w:rPr>
              <w:color w:val="auto"/>
              <w:sz w:val="28"/>
              <w:szCs w:val="36"/>
              <w:highlight w:val="none"/>
            </w:rPr>
            <w:fldChar w:fldCharType="separate"/>
          </w:r>
          <w:r>
            <w:rPr>
              <w:color w:val="auto"/>
              <w:sz w:val="28"/>
              <w:szCs w:val="36"/>
              <w:highlight w:val="none"/>
            </w:rPr>
            <w:t>48</w:t>
          </w:r>
          <w:r>
            <w:rPr>
              <w:color w:val="auto"/>
              <w:sz w:val="28"/>
              <w:szCs w:val="36"/>
              <w:highlight w:val="none"/>
            </w:rPr>
            <w:fldChar w:fldCharType="end"/>
          </w:r>
          <w:r>
            <w:rPr>
              <w:color w:val="auto"/>
              <w:sz w:val="28"/>
              <w:szCs w:val="36"/>
              <w:highlight w:val="none"/>
            </w:rPr>
            <w:fldChar w:fldCharType="end"/>
          </w:r>
        </w:p>
        <w:p w14:paraId="50FB77BE">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_Toc26323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第二节 </w:t>
          </w:r>
          <w:r>
            <w:rPr>
              <w:rFonts w:hint="eastAsia" w:ascii="楷体_GB2312" w:hAnsi="楷体_GB2312" w:eastAsia="楷体_GB2312" w:cs="楷体_GB2312"/>
              <w:color w:val="auto"/>
              <w:sz w:val="28"/>
              <w:szCs w:val="44"/>
              <w:highlight w:val="none"/>
              <w:lang w:val="en-US" w:eastAsia="zh-CN"/>
            </w:rPr>
            <w:t>强化法治建设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_Toc26323 \h </w:instrText>
          </w:r>
          <w:r>
            <w:rPr>
              <w:color w:val="auto"/>
              <w:sz w:val="28"/>
              <w:szCs w:val="36"/>
              <w:highlight w:val="none"/>
            </w:rPr>
            <w:fldChar w:fldCharType="separate"/>
          </w:r>
          <w:r>
            <w:rPr>
              <w:color w:val="auto"/>
              <w:sz w:val="28"/>
              <w:szCs w:val="36"/>
              <w:highlight w:val="none"/>
            </w:rPr>
            <w:t>48</w:t>
          </w:r>
          <w:r>
            <w:rPr>
              <w:color w:val="auto"/>
              <w:sz w:val="28"/>
              <w:szCs w:val="36"/>
              <w:highlight w:val="none"/>
            </w:rPr>
            <w:fldChar w:fldCharType="end"/>
          </w:r>
          <w:r>
            <w:rPr>
              <w:color w:val="auto"/>
              <w:sz w:val="28"/>
              <w:szCs w:val="36"/>
              <w:highlight w:val="none"/>
            </w:rPr>
            <w:fldChar w:fldCharType="end"/>
          </w:r>
        </w:p>
        <w:p w14:paraId="0C70849C">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_Toc12253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第三节 加强</w:t>
          </w:r>
          <w:r>
            <w:rPr>
              <w:rFonts w:hint="eastAsia" w:ascii="楷体_GB2312" w:hAnsi="楷体_GB2312" w:eastAsia="楷体_GB2312" w:cs="楷体_GB2312"/>
              <w:color w:val="auto"/>
              <w:sz w:val="28"/>
              <w:szCs w:val="44"/>
              <w:highlight w:val="none"/>
              <w:lang w:val="en-US" w:eastAsia="zh-CN"/>
            </w:rPr>
            <w:t>要素保障</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_Toc12253 \h </w:instrText>
          </w:r>
          <w:r>
            <w:rPr>
              <w:color w:val="auto"/>
              <w:sz w:val="28"/>
              <w:szCs w:val="36"/>
              <w:highlight w:val="none"/>
            </w:rPr>
            <w:fldChar w:fldCharType="separate"/>
          </w:r>
          <w:r>
            <w:rPr>
              <w:color w:val="auto"/>
              <w:sz w:val="28"/>
              <w:szCs w:val="36"/>
              <w:highlight w:val="none"/>
            </w:rPr>
            <w:t>48</w:t>
          </w:r>
          <w:r>
            <w:rPr>
              <w:color w:val="auto"/>
              <w:sz w:val="28"/>
              <w:szCs w:val="36"/>
              <w:highlight w:val="none"/>
            </w:rPr>
            <w:fldChar w:fldCharType="end"/>
          </w:r>
          <w:r>
            <w:rPr>
              <w:color w:val="auto"/>
              <w:sz w:val="28"/>
              <w:szCs w:val="36"/>
              <w:highlight w:val="none"/>
            </w:rPr>
            <w:fldChar w:fldCharType="end"/>
          </w:r>
        </w:p>
        <w:p w14:paraId="42D0AA97">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_Toc21565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第四节 加强宣传引导</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_Toc21565 \h </w:instrText>
          </w:r>
          <w:r>
            <w:rPr>
              <w:color w:val="auto"/>
              <w:sz w:val="28"/>
              <w:szCs w:val="36"/>
              <w:highlight w:val="none"/>
            </w:rPr>
            <w:fldChar w:fldCharType="separate"/>
          </w:r>
          <w:r>
            <w:rPr>
              <w:color w:val="auto"/>
              <w:sz w:val="28"/>
              <w:szCs w:val="36"/>
              <w:highlight w:val="none"/>
            </w:rPr>
            <w:t>49</w:t>
          </w:r>
          <w:r>
            <w:rPr>
              <w:color w:val="auto"/>
              <w:sz w:val="28"/>
              <w:szCs w:val="36"/>
              <w:highlight w:val="none"/>
            </w:rPr>
            <w:fldChar w:fldCharType="end"/>
          </w:r>
          <w:r>
            <w:rPr>
              <w:color w:val="auto"/>
              <w:sz w:val="28"/>
              <w:szCs w:val="36"/>
              <w:highlight w:val="none"/>
            </w:rPr>
            <w:fldChar w:fldCharType="end"/>
          </w:r>
        </w:p>
        <w:p w14:paraId="695B0AC4">
          <w:pPr>
            <w:pStyle w:val="9"/>
            <w:tabs>
              <w:tab w:val="right" w:leader="dot" w:pos="9071"/>
            </w:tabs>
            <w:ind w:firstLine="560" w:firstLineChars="200"/>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_Toc19353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rPr>
            <w:t xml:space="preserve">第五节 </w:t>
          </w:r>
          <w:r>
            <w:rPr>
              <w:rFonts w:hint="eastAsia" w:ascii="楷体_GB2312" w:hAnsi="楷体_GB2312" w:eastAsia="楷体_GB2312" w:cs="楷体_GB2312"/>
              <w:color w:val="auto"/>
              <w:sz w:val="28"/>
              <w:szCs w:val="44"/>
              <w:highlight w:val="none"/>
              <w:lang w:val="en-US" w:eastAsia="zh-CN"/>
            </w:rPr>
            <w:t>强化监测评估</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_Toc19353 \h </w:instrText>
          </w:r>
          <w:r>
            <w:rPr>
              <w:color w:val="auto"/>
              <w:sz w:val="28"/>
              <w:szCs w:val="36"/>
              <w:highlight w:val="none"/>
            </w:rPr>
            <w:fldChar w:fldCharType="separate"/>
          </w:r>
          <w:r>
            <w:rPr>
              <w:color w:val="auto"/>
              <w:sz w:val="28"/>
              <w:szCs w:val="36"/>
              <w:highlight w:val="none"/>
            </w:rPr>
            <w:t>49</w:t>
          </w:r>
          <w:r>
            <w:rPr>
              <w:color w:val="auto"/>
              <w:sz w:val="28"/>
              <w:szCs w:val="36"/>
              <w:highlight w:val="none"/>
            </w:rPr>
            <w:fldChar w:fldCharType="end"/>
          </w:r>
          <w:r>
            <w:rPr>
              <w:color w:val="auto"/>
              <w:sz w:val="28"/>
              <w:szCs w:val="36"/>
              <w:highlight w:val="none"/>
            </w:rPr>
            <w:fldChar w:fldCharType="end"/>
          </w:r>
        </w:p>
        <w:p w14:paraId="6A2A27CD">
          <w:pPr>
            <w:pStyle w:val="9"/>
            <w:tabs>
              <w:tab w:val="right" w:leader="dot" w:pos="9071"/>
            </w:tabs>
            <w:ind w:firstLine="560" w:firstLineChars="200"/>
            <w:rPr>
              <w:color w:val="auto"/>
              <w:highlight w:val="none"/>
            </w:rPr>
          </w:pPr>
          <w:r>
            <w:rPr>
              <w:color w:val="auto"/>
              <w:sz w:val="28"/>
              <w:szCs w:val="36"/>
              <w:highlight w:val="none"/>
            </w:rPr>
            <w:fldChar w:fldCharType="begin"/>
          </w:r>
          <w:r>
            <w:rPr>
              <w:color w:val="auto"/>
              <w:sz w:val="28"/>
              <w:szCs w:val="36"/>
              <w:highlight w:val="none"/>
            </w:rPr>
            <w:instrText xml:space="preserve"> HYPERLINK \l _Toc20288 </w:instrText>
          </w:r>
          <w:r>
            <w:rPr>
              <w:color w:val="auto"/>
              <w:sz w:val="28"/>
              <w:szCs w:val="36"/>
              <w:highlight w:val="none"/>
            </w:rPr>
            <w:fldChar w:fldCharType="separate"/>
          </w:r>
          <w:r>
            <w:rPr>
              <w:rFonts w:hint="eastAsia" w:ascii="楷体_GB2312" w:hAnsi="楷体_GB2312" w:eastAsia="楷体_GB2312" w:cs="楷体_GB2312"/>
              <w:color w:val="auto"/>
              <w:sz w:val="28"/>
              <w:szCs w:val="44"/>
              <w:highlight w:val="none"/>
              <w:lang w:val="en-US" w:eastAsia="zh-CN"/>
            </w:rPr>
            <w:t xml:space="preserve">第六节 </w:t>
          </w:r>
          <w:r>
            <w:rPr>
              <w:rFonts w:hint="eastAsia" w:ascii="楷体_GB2312" w:hAnsi="楷体_GB2312" w:eastAsia="楷体_GB2312" w:cs="楷体_GB2312"/>
              <w:color w:val="auto"/>
              <w:sz w:val="28"/>
              <w:szCs w:val="44"/>
              <w:highlight w:val="none"/>
            </w:rPr>
            <w:t>强化规划实施</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_Toc20288 \h </w:instrText>
          </w:r>
          <w:r>
            <w:rPr>
              <w:color w:val="auto"/>
              <w:sz w:val="28"/>
              <w:szCs w:val="36"/>
              <w:highlight w:val="none"/>
            </w:rPr>
            <w:fldChar w:fldCharType="separate"/>
          </w:r>
          <w:r>
            <w:rPr>
              <w:color w:val="auto"/>
              <w:sz w:val="28"/>
              <w:szCs w:val="36"/>
              <w:highlight w:val="none"/>
            </w:rPr>
            <w:t>49</w:t>
          </w:r>
          <w:r>
            <w:rPr>
              <w:color w:val="auto"/>
              <w:sz w:val="28"/>
              <w:szCs w:val="36"/>
              <w:highlight w:val="none"/>
            </w:rPr>
            <w:fldChar w:fldCharType="end"/>
          </w:r>
          <w:r>
            <w:rPr>
              <w:color w:val="auto"/>
              <w:sz w:val="28"/>
              <w:szCs w:val="36"/>
              <w:highlight w:val="none"/>
            </w:rPr>
            <w:fldChar w:fldCharType="end"/>
          </w:r>
        </w:p>
        <w:p w14:paraId="7D57C75C">
          <w:pPr>
            <w:rPr>
              <w:rFonts w:asciiTheme="minorHAnsi" w:hAnsiTheme="minorHAnsi" w:eastAsiaTheme="minorEastAsia" w:cstheme="minorBidi"/>
              <w:color w:val="auto"/>
              <w:kern w:val="2"/>
              <w:sz w:val="21"/>
              <w:szCs w:val="24"/>
              <w:highlight w:val="none"/>
              <w:lang w:val="en-US" w:eastAsia="zh-CN" w:bidi="ar-SA"/>
            </w:rPr>
          </w:pPr>
          <w:r>
            <w:rPr>
              <w:color w:val="auto"/>
              <w:highlight w:val="none"/>
            </w:rPr>
            <w:fldChar w:fldCharType="end"/>
          </w:r>
        </w:p>
      </w:sdtContent>
    </w:sdt>
    <w:p w14:paraId="236342CA">
      <w:pPr>
        <w:pStyle w:val="2"/>
        <w:rPr>
          <w:color w:val="auto"/>
          <w:highlight w:val="none"/>
        </w:rPr>
      </w:pPr>
    </w:p>
    <w:p w14:paraId="68A8DE98">
      <w:pPr>
        <w:jc w:val="center"/>
        <w:rPr>
          <w:rFonts w:hint="eastAsia" w:ascii="仿宋_GB2312" w:hAnsi="仿宋_GB2312" w:eastAsia="仿宋_GB2312" w:cs="仿宋_GB2312"/>
          <w:bCs/>
          <w:color w:val="auto"/>
          <w:highlight w:val="none"/>
          <w:lang w:val="zh-CN"/>
        </w:rPr>
      </w:pPr>
    </w:p>
    <w:p w14:paraId="73092F08">
      <w:pPr>
        <w:jc w:val="center"/>
        <w:rPr>
          <w:rFonts w:hint="eastAsia" w:ascii="仿宋_GB2312" w:hAnsi="仿宋_GB2312" w:eastAsia="仿宋_GB2312" w:cs="仿宋_GB2312"/>
          <w:bCs/>
          <w:color w:val="auto"/>
          <w:highlight w:val="none"/>
          <w:lang w:val="zh-CN"/>
        </w:rPr>
      </w:pPr>
    </w:p>
    <w:p w14:paraId="6FC1382D">
      <w:pPr>
        <w:jc w:val="center"/>
        <w:rPr>
          <w:rFonts w:hint="eastAsia" w:ascii="仿宋_GB2312" w:hAnsi="仿宋_GB2312" w:eastAsia="仿宋_GB2312" w:cs="仿宋_GB2312"/>
          <w:bCs/>
          <w:color w:val="auto"/>
          <w:highlight w:val="none"/>
          <w:lang w:val="zh-CN"/>
        </w:rPr>
      </w:pPr>
    </w:p>
    <w:p w14:paraId="74E5F9F6">
      <w:pPr>
        <w:jc w:val="center"/>
        <w:rPr>
          <w:rFonts w:hint="eastAsia" w:ascii="仿宋_GB2312" w:hAnsi="仿宋_GB2312" w:eastAsia="仿宋_GB2312" w:cs="仿宋_GB2312"/>
          <w:bCs/>
          <w:color w:val="auto"/>
          <w:highlight w:val="none"/>
          <w:lang w:val="zh-CN"/>
        </w:rPr>
      </w:pPr>
    </w:p>
    <w:p w14:paraId="1E8FE2E0">
      <w:pPr>
        <w:jc w:val="center"/>
        <w:rPr>
          <w:rFonts w:hint="eastAsia" w:ascii="仿宋_GB2312" w:hAnsi="仿宋_GB2312" w:eastAsia="仿宋_GB2312" w:cs="仿宋_GB2312"/>
          <w:bCs/>
          <w:color w:val="auto"/>
          <w:highlight w:val="none"/>
          <w:lang w:val="zh-CN"/>
        </w:rPr>
      </w:pPr>
    </w:p>
    <w:p w14:paraId="19A30117">
      <w:pPr>
        <w:jc w:val="center"/>
        <w:rPr>
          <w:rFonts w:hint="eastAsia" w:ascii="仿宋_GB2312" w:hAnsi="仿宋_GB2312" w:eastAsia="仿宋_GB2312" w:cs="仿宋_GB2312"/>
          <w:bCs/>
          <w:color w:val="auto"/>
          <w:highlight w:val="none"/>
          <w:lang w:val="zh-CN"/>
        </w:rPr>
      </w:pPr>
    </w:p>
    <w:p w14:paraId="6AE6012F">
      <w:pPr>
        <w:jc w:val="center"/>
        <w:rPr>
          <w:rFonts w:hint="eastAsia" w:ascii="仿宋_GB2312" w:hAnsi="仿宋_GB2312" w:eastAsia="仿宋_GB2312" w:cs="仿宋_GB2312"/>
          <w:bCs/>
          <w:color w:val="auto"/>
          <w:highlight w:val="none"/>
          <w:lang w:val="zh-CN"/>
        </w:rPr>
      </w:pPr>
    </w:p>
    <w:p w14:paraId="60F7F318">
      <w:pPr>
        <w:jc w:val="center"/>
        <w:rPr>
          <w:rFonts w:hint="eastAsia" w:ascii="仿宋_GB2312" w:hAnsi="仿宋_GB2312" w:eastAsia="仿宋_GB2312" w:cs="仿宋_GB2312"/>
          <w:bCs/>
          <w:color w:val="auto"/>
          <w:highlight w:val="none"/>
          <w:lang w:val="zh-CN"/>
        </w:rPr>
      </w:pPr>
    </w:p>
    <w:p w14:paraId="22144D25">
      <w:pPr>
        <w:jc w:val="center"/>
        <w:rPr>
          <w:rFonts w:hint="eastAsia" w:ascii="仿宋_GB2312" w:hAnsi="仿宋_GB2312" w:eastAsia="仿宋_GB2312" w:cs="仿宋_GB2312"/>
          <w:bCs/>
          <w:color w:val="auto"/>
          <w:highlight w:val="none"/>
          <w:lang w:val="zh-CN"/>
        </w:rPr>
      </w:pPr>
    </w:p>
    <w:p w14:paraId="55D4E9DD">
      <w:pPr>
        <w:jc w:val="both"/>
        <w:rPr>
          <w:rFonts w:hint="eastAsia" w:ascii="仿宋_GB2312" w:hAnsi="仿宋_GB2312" w:eastAsia="仿宋_GB2312" w:cs="仿宋_GB2312"/>
          <w:bCs/>
          <w:color w:val="auto"/>
          <w:highlight w:val="none"/>
          <w:lang w:val="zh-CN"/>
        </w:rPr>
      </w:pPr>
    </w:p>
    <w:p w14:paraId="0688B8B3">
      <w:pPr>
        <w:rPr>
          <w:rFonts w:hint="eastAsia" w:ascii="黑体" w:hAnsi="黑体" w:eastAsia="黑体" w:cs="黑体"/>
          <w:color w:val="auto"/>
          <w:sz w:val="32"/>
          <w:szCs w:val="32"/>
          <w:highlight w:val="none"/>
        </w:rPr>
        <w:sectPr>
          <w:pgSz w:w="11906" w:h="16838"/>
          <w:pgMar w:top="2098" w:right="1361" w:bottom="1984" w:left="1474" w:header="851" w:footer="992" w:gutter="0"/>
          <w:pgNumType w:fmt="decimal"/>
          <w:cols w:space="425" w:num="1"/>
          <w:docGrid w:type="lines" w:linePitch="312" w:charSpace="0"/>
        </w:sectPr>
      </w:pPr>
      <w:r>
        <w:rPr>
          <w:rFonts w:hint="eastAsia" w:ascii="黑体" w:hAnsi="黑体" w:eastAsia="黑体" w:cs="黑体"/>
          <w:color w:val="auto"/>
          <w:sz w:val="32"/>
          <w:szCs w:val="32"/>
          <w:highlight w:val="none"/>
        </w:rPr>
        <w:br w:type="page"/>
      </w:r>
    </w:p>
    <w:p w14:paraId="58A9C466">
      <w:pPr>
        <w:spacing w:line="560" w:lineRule="exact"/>
        <w:jc w:val="center"/>
        <w:outlineLvl w:val="9"/>
        <w:rPr>
          <w:rFonts w:hint="eastAsia" w:ascii="方正小标宋简体" w:hAnsi="方正小标宋简体" w:eastAsia="方正小标宋简体" w:cs="方正小标宋简体"/>
          <w:b w:val="0"/>
          <w:bCs w:val="0"/>
          <w:color w:val="auto"/>
          <w:sz w:val="44"/>
          <w:szCs w:val="44"/>
          <w:highlight w:val="none"/>
          <w:u w:val="none" w:color="auto"/>
        </w:rPr>
      </w:pPr>
      <w:bookmarkStart w:id="0" w:name="_Toc1838714397"/>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开平</w:t>
      </w:r>
      <w:r>
        <w:rPr>
          <w:rFonts w:hint="eastAsia" w:ascii="方正小标宋简体" w:hAnsi="方正小标宋简体" w:eastAsia="方正小标宋简体" w:cs="方正小标宋简体"/>
          <w:b w:val="0"/>
          <w:bCs w:val="0"/>
          <w:color w:val="auto"/>
          <w:sz w:val="44"/>
          <w:szCs w:val="44"/>
          <w:highlight w:val="none"/>
          <w:u w:val="none" w:color="auto"/>
        </w:rPr>
        <w:t>市人力资源和社会保障事业发展</w:t>
      </w:r>
    </w:p>
    <w:p w14:paraId="72379EAB">
      <w:pPr>
        <w:jc w:val="center"/>
        <w:rPr>
          <w:rFonts w:hint="eastAsia" w:ascii="黑体" w:hAnsi="黑体" w:eastAsia="黑体" w:cs="黑体"/>
          <w:color w:val="auto"/>
          <w:sz w:val="32"/>
          <w:szCs w:val="32"/>
          <w:highlight w:val="none"/>
        </w:rPr>
      </w:pPr>
      <w:r>
        <w:rPr>
          <w:rFonts w:hint="eastAsia" w:ascii="方正小标宋简体" w:hAnsi="方正小标宋简体" w:eastAsia="方正小标宋简体" w:cs="方正小标宋简体"/>
          <w:b w:val="0"/>
          <w:bCs w:val="0"/>
          <w:color w:val="auto"/>
          <w:sz w:val="44"/>
          <w:szCs w:val="44"/>
          <w:highlight w:val="none"/>
          <w:u w:val="none" w:color="auto"/>
          <w:lang w:eastAsia="zh-CN"/>
        </w:rPr>
        <w:t>“</w:t>
      </w:r>
      <w:r>
        <w:rPr>
          <w:rFonts w:hint="eastAsia" w:ascii="方正小标宋简体" w:hAnsi="方正小标宋简体" w:eastAsia="方正小标宋简体" w:cs="方正小标宋简体"/>
          <w:b w:val="0"/>
          <w:bCs w:val="0"/>
          <w:color w:val="auto"/>
          <w:sz w:val="44"/>
          <w:szCs w:val="44"/>
          <w:highlight w:val="none"/>
          <w:u w:val="none" w:color="auto"/>
        </w:rPr>
        <w:t>十五五</w:t>
      </w:r>
      <w:r>
        <w:rPr>
          <w:rFonts w:hint="eastAsia" w:ascii="方正小标宋简体" w:hAnsi="方正小标宋简体" w:eastAsia="方正小标宋简体" w:cs="方正小标宋简体"/>
          <w:b w:val="0"/>
          <w:bCs w:val="0"/>
          <w:color w:val="auto"/>
          <w:sz w:val="44"/>
          <w:szCs w:val="44"/>
          <w:highlight w:val="none"/>
          <w:u w:val="none" w:color="auto"/>
          <w:lang w:eastAsia="zh-CN"/>
        </w:rPr>
        <w:t>”</w:t>
      </w:r>
      <w:r>
        <w:rPr>
          <w:rFonts w:hint="eastAsia" w:ascii="方正小标宋简体" w:hAnsi="方正小标宋简体" w:eastAsia="方正小标宋简体" w:cs="方正小标宋简体"/>
          <w:b w:val="0"/>
          <w:bCs w:val="0"/>
          <w:color w:val="auto"/>
          <w:sz w:val="44"/>
          <w:szCs w:val="44"/>
          <w:highlight w:val="none"/>
          <w:u w:val="none" w:color="auto"/>
        </w:rPr>
        <w:t>规划</w:t>
      </w:r>
      <w:bookmarkEnd w:id="0"/>
    </w:p>
    <w:p w14:paraId="68B4E7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Times New Roman" w:hAnsi="Times New Roman" w:eastAsia="仿宋_GB2312" w:cs="仿宋_GB2312"/>
          <w:color w:val="auto"/>
          <w:sz w:val="32"/>
          <w:szCs w:val="32"/>
          <w:highlight w:val="none"/>
        </w:rPr>
        <w:t>根据《开平市国民经济和社会发展第十</w:t>
      </w:r>
      <w:r>
        <w:rPr>
          <w:rFonts w:hint="eastAsia" w:ascii="Times New Roman" w:hAnsi="Times New Roman" w:eastAsia="仿宋_GB2312" w:cs="仿宋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rPr>
        <w:t>个五年规划》，为谋划推进开平市人力资源社会保障事业高质量发展，制定本规划。规划期限为</w:t>
      </w:r>
      <w:r>
        <w:rPr>
          <w:rFonts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rPr>
        <w:t>年。</w:t>
      </w:r>
    </w:p>
    <w:p w14:paraId="3103BCD5">
      <w:pPr>
        <w:jc w:val="center"/>
        <w:outlineLvl w:val="0"/>
        <w:rPr>
          <w:rFonts w:hint="eastAsia" w:ascii="黑体" w:hAnsi="黑体" w:eastAsia="黑体" w:cs="黑体"/>
          <w:color w:val="auto"/>
          <w:sz w:val="32"/>
          <w:szCs w:val="32"/>
          <w:highlight w:val="none"/>
        </w:rPr>
      </w:pPr>
      <w:bookmarkStart w:id="1" w:name="_Toc27364"/>
      <w:bookmarkStart w:id="2" w:name="_Toc11320"/>
      <w:bookmarkStart w:id="3" w:name="_Toc10790"/>
    </w:p>
    <w:p w14:paraId="3887CB0B">
      <w:pPr>
        <w:jc w:val="center"/>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第一章 发展基础</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面临形势</w:t>
      </w:r>
      <w:bookmarkEnd w:id="1"/>
      <w:bookmarkEnd w:id="2"/>
      <w:bookmarkEnd w:id="3"/>
    </w:p>
    <w:p w14:paraId="67C4FC34">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ascii="楷体_GB2312" w:hAnsi="楷体_GB2312" w:eastAsia="楷体_GB2312" w:cs="楷体_GB2312"/>
          <w:color w:val="auto"/>
          <w:sz w:val="32"/>
          <w:szCs w:val="32"/>
          <w:highlight w:val="none"/>
        </w:rPr>
      </w:pPr>
      <w:bookmarkStart w:id="4" w:name="_Toc7383"/>
      <w:bookmarkStart w:id="5" w:name="_Toc28525"/>
      <w:bookmarkStart w:id="6" w:name="_Toc32131"/>
      <w:r>
        <w:rPr>
          <w:rFonts w:hint="eastAsia" w:ascii="楷体_GB2312" w:hAnsi="楷体_GB2312" w:eastAsia="楷体_GB2312" w:cs="楷体_GB2312"/>
          <w:color w:val="auto"/>
          <w:sz w:val="32"/>
          <w:szCs w:val="32"/>
          <w:highlight w:val="none"/>
        </w:rPr>
        <w:t>第一节 发展基础</w:t>
      </w:r>
      <w:bookmarkEnd w:id="4"/>
      <w:bookmarkEnd w:id="5"/>
      <w:bookmarkEnd w:id="6"/>
      <w:r>
        <w:rPr>
          <w:rFonts w:hint="eastAsia" w:ascii="楷体_GB2312" w:hAnsi="楷体_GB2312" w:eastAsia="楷体_GB2312" w:cs="楷体_GB2312"/>
          <w:color w:val="auto"/>
          <w:sz w:val="32"/>
          <w:szCs w:val="32"/>
          <w:highlight w:val="none"/>
        </w:rPr>
        <w:t xml:space="preserve"> </w:t>
      </w:r>
    </w:p>
    <w:p w14:paraId="01C68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“十四五”期间，</w:t>
      </w:r>
      <w:r>
        <w:rPr>
          <w:rFonts w:hint="default" w:ascii="Times New Roman" w:hAnsi="Times New Roman" w:eastAsia="仿宋_GB2312" w:cs="仿宋_GB2312"/>
          <w:color w:val="auto"/>
          <w:sz w:val="32"/>
          <w:szCs w:val="32"/>
          <w:highlight w:val="none"/>
        </w:rPr>
        <w:t>全市人力资源社会保障部门</w:t>
      </w:r>
      <w:r>
        <w:rPr>
          <w:rFonts w:hint="eastAsia" w:ascii="Times New Roman" w:hAnsi="Times New Roman" w:eastAsia="仿宋_GB2312" w:cs="仿宋_GB2312"/>
          <w:color w:val="auto"/>
          <w:sz w:val="32"/>
          <w:szCs w:val="32"/>
          <w:highlight w:val="none"/>
        </w:rPr>
        <w:t>以习近平新时代中国特色社会主义思想为指导，在市委、市政府的正确领导下，实施了一系列保民生、</w:t>
      </w:r>
      <w:r>
        <w:rPr>
          <w:rFonts w:hint="eastAsia" w:ascii="Times New Roman" w:hAnsi="Times New Roman" w:eastAsia="仿宋_GB2312" w:cs="仿宋_GB2312"/>
          <w:color w:val="auto"/>
          <w:sz w:val="32"/>
          <w:szCs w:val="32"/>
          <w:highlight w:val="none"/>
          <w:lang w:val="en-US" w:eastAsia="zh-CN"/>
        </w:rPr>
        <w:t>促发展</w:t>
      </w:r>
      <w:r>
        <w:rPr>
          <w:rFonts w:hint="eastAsia" w:ascii="Times New Roman" w:hAnsi="Times New Roman" w:eastAsia="仿宋_GB2312" w:cs="仿宋_GB2312"/>
          <w:color w:val="auto"/>
          <w:sz w:val="32"/>
          <w:szCs w:val="32"/>
          <w:highlight w:val="none"/>
        </w:rPr>
        <w:t>的战略举措，全面完成“十</w:t>
      </w: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rPr>
        <w:t>五”时期主要目标任务，为“十</w:t>
      </w:r>
      <w:r>
        <w:rPr>
          <w:rFonts w:hint="eastAsia" w:ascii="Times New Roman" w:hAnsi="Times New Roman" w:eastAsia="仿宋_GB2312" w:cs="仿宋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rPr>
        <w:t>五”时期我市人力资源和社会保障事业高质量发展夯实了坚实基础。</w:t>
      </w:r>
    </w:p>
    <w:p w14:paraId="517456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就业创业工作</w:t>
      </w:r>
      <w:r>
        <w:rPr>
          <w:rFonts w:hint="eastAsia" w:ascii="仿宋_GB2312" w:hAnsi="仿宋_GB2312" w:eastAsia="仿宋_GB2312" w:cs="仿宋_GB2312"/>
          <w:b/>
          <w:bCs/>
          <w:color w:val="auto"/>
          <w:sz w:val="32"/>
          <w:szCs w:val="32"/>
          <w:highlight w:val="none"/>
          <w:lang w:val="en-US" w:eastAsia="zh-CN"/>
        </w:rPr>
        <w:t>取得</w:t>
      </w:r>
      <w:r>
        <w:rPr>
          <w:rFonts w:hint="eastAsia" w:ascii="仿宋_GB2312" w:hAnsi="仿宋_GB2312" w:eastAsia="仿宋_GB2312" w:cs="仿宋_GB2312"/>
          <w:b/>
          <w:bCs/>
          <w:color w:val="auto"/>
          <w:sz w:val="32"/>
          <w:szCs w:val="32"/>
          <w:highlight w:val="none"/>
        </w:rPr>
        <w:t>新</w:t>
      </w:r>
      <w:r>
        <w:rPr>
          <w:rFonts w:hint="eastAsia" w:ascii="仿宋_GB2312" w:hAnsi="仿宋_GB2312" w:eastAsia="仿宋_GB2312" w:cs="仿宋_GB2312"/>
          <w:b/>
          <w:bCs/>
          <w:color w:val="auto"/>
          <w:sz w:val="32"/>
          <w:szCs w:val="32"/>
          <w:highlight w:val="none"/>
          <w:lang w:val="en-US" w:eastAsia="zh-CN"/>
        </w:rPr>
        <w:t>成效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坚持就业优先战略，以促进高质量充分就业为目标，持续实施更加积极的就业政策。2021年至2025年，全市实现城镇新增就业36293人，城镇失业人员再就业25785人，就业困难人员再就业1718人。通过实施就业创业补贴与创业担保贷款政策，助企纾困，发放就业创业补贴补助超4800万元。健全覆盖城乡的公共就业服务体系，构建“市、镇、村”三级公共就业平台，推进“1+2+N”公共就业服务体系建设，已建成1个零工市场与9个就业驿站。聚焦高校毕业生、就业困难人员等重点群体，提供“培训+就业”全链条服务，累计开展161场重点群体就业创业政策宣传活动，举办59场线上线下就业训练营，超2713人参与。完善江门开平市文旅创业孵化基地（江门开平市农村电商产业园）等创业平台服务体系，累计入驻企业达70家，涵盖港澳青年创业、文创类及电商创业等项目，</w:t>
      </w:r>
      <w:r>
        <w:rPr>
          <w:rFonts w:hint="eastAsia" w:ascii="Times New Roman" w:hAnsi="Times New Roman" w:eastAsia="仿宋_GB2312" w:cs="Times New Roman"/>
          <w:color w:val="auto"/>
          <w:sz w:val="32"/>
          <w:szCs w:val="32"/>
          <w:highlight w:val="none"/>
          <w:u w:val="none"/>
          <w:lang w:val="en-US" w:eastAsia="zh-CN"/>
        </w:rPr>
        <w:t>辐射带动农文旅相关产业就业超2万人</w:t>
      </w:r>
      <w:r>
        <w:rPr>
          <w:rFonts w:hint="eastAsia" w:ascii="仿宋_GB2312" w:hAnsi="仿宋_GB2312" w:eastAsia="仿宋_GB2312" w:cs="仿宋_GB2312"/>
          <w:color w:val="auto"/>
          <w:sz w:val="32"/>
          <w:szCs w:val="32"/>
          <w:highlight w:val="none"/>
          <w:u w:val="none"/>
          <w:lang w:val="en-US" w:eastAsia="zh-CN"/>
        </w:rPr>
        <w:t>。</w:t>
      </w:r>
    </w:p>
    <w:p w14:paraId="626C6753">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社会保障水平实现新提升。</w:t>
      </w:r>
      <w:r>
        <w:rPr>
          <w:rFonts w:hint="eastAsia" w:ascii="仿宋_GB2312" w:hAnsi="仿宋_GB2312" w:eastAsia="仿宋_GB2312" w:cs="仿宋_GB2312"/>
          <w:color w:val="auto"/>
          <w:sz w:val="32"/>
          <w:szCs w:val="32"/>
          <w:highlight w:val="none"/>
        </w:rPr>
        <w:t>持续深化社保制度改革</w:t>
      </w:r>
      <w:r>
        <w:rPr>
          <w:rFonts w:hint="eastAsia" w:ascii="仿宋_GB2312" w:hAnsi="仿宋_GB2312" w:eastAsia="仿宋_GB2312" w:cs="仿宋_GB2312"/>
          <w:color w:val="auto"/>
          <w:sz w:val="32"/>
          <w:szCs w:val="32"/>
          <w:highlight w:val="none"/>
          <w:lang w:eastAsia="zh-CN"/>
        </w:rPr>
        <w:t>，贯彻落实</w:t>
      </w:r>
      <w:r>
        <w:rPr>
          <w:rFonts w:hint="eastAsia" w:ascii="仿宋_GB2312" w:hAnsi="仿宋_GB2312" w:eastAsia="仿宋_GB2312" w:cs="仿宋_GB2312"/>
          <w:color w:val="auto"/>
          <w:sz w:val="32"/>
          <w:szCs w:val="32"/>
          <w:highlight w:val="none"/>
          <w:lang w:val="en-US" w:eastAsia="zh-CN"/>
        </w:rPr>
        <w:t>企业职工</w:t>
      </w:r>
      <w:r>
        <w:rPr>
          <w:rFonts w:hint="eastAsia" w:ascii="仿宋_GB2312" w:hAnsi="仿宋_GB2312" w:eastAsia="仿宋_GB2312" w:cs="仿宋_GB2312"/>
          <w:color w:val="auto"/>
          <w:sz w:val="32"/>
          <w:szCs w:val="32"/>
          <w:highlight w:val="none"/>
          <w:lang w:eastAsia="zh-CN"/>
        </w:rPr>
        <w:t>基本养老保险全国统筹，推进城乡居民养老保险基金省级管理，</w:t>
      </w:r>
      <w:r>
        <w:rPr>
          <w:rFonts w:hint="eastAsia" w:ascii="仿宋_GB2312" w:hAnsi="仿宋_GB2312" w:eastAsia="仿宋_GB2312" w:cs="仿宋_GB2312"/>
          <w:color w:val="auto"/>
          <w:sz w:val="32"/>
          <w:szCs w:val="32"/>
          <w:highlight w:val="none"/>
          <w:lang w:val="en-US" w:eastAsia="zh-CN"/>
        </w:rPr>
        <w:t>巩固和完善失业保险、工伤保险基金省级统筹，</w:t>
      </w:r>
      <w:r>
        <w:rPr>
          <w:rFonts w:hint="eastAsia" w:ascii="仿宋_GB2312" w:hAnsi="仿宋_GB2312" w:eastAsia="仿宋_GB2312" w:cs="仿宋_GB2312"/>
          <w:color w:val="auto"/>
          <w:sz w:val="32"/>
          <w:szCs w:val="32"/>
          <w:highlight w:val="none"/>
          <w:lang w:eastAsia="zh-CN"/>
        </w:rPr>
        <w:t>稳妥有序实施渐进式延迟法定退休年龄</w:t>
      </w:r>
      <w:r>
        <w:rPr>
          <w:rFonts w:hint="eastAsia" w:ascii="仿宋_GB2312" w:hAnsi="仿宋_GB2312" w:eastAsia="仿宋_GB2312" w:cs="仿宋_GB2312"/>
          <w:color w:val="auto"/>
          <w:sz w:val="32"/>
          <w:szCs w:val="32"/>
          <w:highlight w:val="none"/>
          <w:lang w:val="en-US" w:eastAsia="zh-CN"/>
        </w:rPr>
        <w:t>改革，试点推进灵活就业人员参加失业保险、新就业形态人员职业伤害保障。扩大保障覆盖范围，推动社会保障水平实现新突破。</w:t>
      </w:r>
      <w:r>
        <w:rPr>
          <w:rFonts w:hint="eastAsia" w:ascii="仿宋_GB2312" w:hAnsi="仿宋_GB2312" w:eastAsia="仿宋_GB2312" w:cs="仿宋_GB2312"/>
          <w:color w:val="auto"/>
          <w:sz w:val="32"/>
          <w:szCs w:val="32"/>
          <w:highlight w:val="none"/>
          <w:u w:val="none" w:color="auto"/>
          <w:lang w:val="en-US" w:eastAsia="zh-CN"/>
        </w:rPr>
        <w:t>持续推进社保高质量扩面征缴，截至2025年底，全市企业养老保险、失业保险、工伤保险参保人数达40.45万人次，比“十三五”期末增长27.28%。企业养老保险参保人数占比44.93%，比“十三五”期末提高19.03个百分点。</w:t>
      </w:r>
      <w:r>
        <w:rPr>
          <w:rFonts w:hint="eastAsia" w:ascii="Times New Roman" w:hAnsi="Times New Roman" w:eastAsia="仿宋_GB2312" w:cs="仿宋_GB2312"/>
          <w:color w:val="auto"/>
          <w:sz w:val="32"/>
          <w:szCs w:val="32"/>
          <w:highlight w:val="none"/>
        </w:rPr>
        <w:t>社会保险待遇水平进一步提高，企业职工退休人员养老金人均达</w:t>
      </w:r>
      <w:r>
        <w:rPr>
          <w:rFonts w:hint="eastAsia" w:eastAsia="仿宋_GB2312" w:cs="仿宋_GB2312"/>
          <w:color w:val="auto"/>
          <w:sz w:val="32"/>
          <w:szCs w:val="32"/>
          <w:highlight w:val="none"/>
          <w:lang w:val="en-US" w:eastAsia="zh-CN"/>
        </w:rPr>
        <w:t>2547.64</w:t>
      </w:r>
      <w:r>
        <w:rPr>
          <w:rFonts w:hint="eastAsia" w:ascii="Times New Roman" w:hAnsi="Times New Roman" w:eastAsia="仿宋_GB2312" w:cs="仿宋_GB2312"/>
          <w:color w:val="auto"/>
          <w:sz w:val="32"/>
          <w:szCs w:val="32"/>
          <w:highlight w:val="none"/>
        </w:rPr>
        <w:t>元/月，比“</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”期末增长</w:t>
      </w:r>
      <w:r>
        <w:rPr>
          <w:rFonts w:hint="eastAsia"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98</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；城乡居民养老保险基础养老金最低标准提高至每人每月</w:t>
      </w:r>
      <w:r>
        <w:rPr>
          <w:rFonts w:hint="eastAsia" w:eastAsia="仿宋_GB2312" w:cs="仿宋_GB2312"/>
          <w:color w:val="auto"/>
          <w:sz w:val="32"/>
          <w:szCs w:val="32"/>
          <w:highlight w:val="none"/>
          <w:lang w:val="en-US" w:eastAsia="zh-CN"/>
        </w:rPr>
        <w:t>242.5</w:t>
      </w:r>
      <w:r>
        <w:rPr>
          <w:rFonts w:hint="eastAsia" w:ascii="Times New Roman" w:hAnsi="Times New Roman" w:eastAsia="仿宋_GB2312" w:cs="仿宋_GB2312"/>
          <w:color w:val="auto"/>
          <w:sz w:val="32"/>
          <w:szCs w:val="32"/>
          <w:highlight w:val="none"/>
        </w:rPr>
        <w:t>元，比“</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”期末增长</w:t>
      </w:r>
      <w:r>
        <w:rPr>
          <w:rFonts w:hint="eastAsia" w:eastAsia="仿宋_GB2312" w:cs="仿宋_GB2312"/>
          <w:color w:val="auto"/>
          <w:sz w:val="32"/>
          <w:szCs w:val="32"/>
          <w:highlight w:val="none"/>
          <w:lang w:val="en-US" w:eastAsia="zh-CN"/>
        </w:rPr>
        <w:t>34.72</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失业保险金标准提高至1</w:t>
      </w:r>
      <w:r>
        <w:rPr>
          <w:rFonts w:hint="eastAsia" w:eastAsia="仿宋_GB2312" w:cs="仿宋_GB2312"/>
          <w:color w:val="auto"/>
          <w:sz w:val="32"/>
          <w:szCs w:val="32"/>
          <w:highlight w:val="none"/>
          <w:lang w:val="en-US" w:eastAsia="zh-CN"/>
        </w:rPr>
        <w:t>665</w:t>
      </w:r>
      <w:r>
        <w:rPr>
          <w:rFonts w:hint="eastAsia" w:ascii="Times New Roman" w:hAnsi="Times New Roman" w:eastAsia="仿宋_GB2312" w:cs="仿宋_GB2312"/>
          <w:color w:val="auto"/>
          <w:sz w:val="32"/>
          <w:szCs w:val="32"/>
          <w:highlight w:val="none"/>
        </w:rPr>
        <w:t>元/月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比“</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”期末增长</w:t>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36</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rPr>
        <w:t>工伤伤残津贴补助标准月人均</w:t>
      </w:r>
      <w:r>
        <w:rPr>
          <w:rFonts w:hint="eastAsia" w:eastAsia="仿宋_GB2312" w:cs="仿宋_GB2312"/>
          <w:color w:val="auto"/>
          <w:sz w:val="32"/>
          <w:szCs w:val="32"/>
          <w:highlight w:val="none"/>
          <w:lang w:val="en-US" w:eastAsia="zh-CN"/>
        </w:rPr>
        <w:t>5435</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val="en-US" w:eastAsia="zh-CN"/>
        </w:rPr>
        <w:t>28</w:t>
      </w:r>
      <w:r>
        <w:rPr>
          <w:rFonts w:hint="eastAsia" w:eastAsia="仿宋_GB2312" w:cs="仿宋_GB2312"/>
          <w:color w:val="auto"/>
          <w:sz w:val="32"/>
          <w:szCs w:val="32"/>
          <w:highlight w:val="none"/>
        </w:rPr>
        <w:t>元，比“十三五”期末增长</w:t>
      </w:r>
      <w:r>
        <w:rPr>
          <w:rFonts w:hint="eastAsia" w:eastAsia="仿宋_GB2312" w:cs="仿宋_GB2312"/>
          <w:color w:val="auto"/>
          <w:sz w:val="32"/>
          <w:szCs w:val="32"/>
          <w:highlight w:val="none"/>
          <w:lang w:val="en-US" w:eastAsia="zh-CN"/>
        </w:rPr>
        <w:t>42</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val="en-US" w:eastAsia="zh-CN"/>
        </w:rPr>
        <w:t>18</w:t>
      </w:r>
      <w:r>
        <w:rPr>
          <w:rFonts w:hint="eastAsia"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工伤保险一次性工亡补助金提高至</w:t>
      </w:r>
      <w:r>
        <w:rPr>
          <w:rFonts w:hint="eastAsia" w:ascii="Times New Roman" w:hAnsi="Times New Roman" w:eastAsia="仿宋_GB2312" w:cs="仿宋_GB2312"/>
          <w:color w:val="auto"/>
          <w:sz w:val="32"/>
          <w:szCs w:val="32"/>
          <w:highlight w:val="none"/>
          <w:lang w:val="en-US" w:eastAsia="zh-CN"/>
        </w:rPr>
        <w:t>10</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38</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比“</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”期末增长</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7.93</w:t>
      </w:r>
      <w:r>
        <w:rPr>
          <w:rFonts w:hint="eastAsia" w:ascii="Times New Roman" w:hAnsi="Times New Roman" w:eastAsia="仿宋_GB2312" w:cs="仿宋_GB2312"/>
          <w:color w:val="auto"/>
          <w:sz w:val="32"/>
          <w:szCs w:val="32"/>
          <w:highlight w:val="none"/>
        </w:rPr>
        <w:t>%。</w:t>
      </w:r>
    </w:p>
    <w:p w14:paraId="4C425468">
      <w:pPr>
        <w:pStyle w:val="17"/>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rPr>
        <w:t>招才引智工作迈上新台阶。</w:t>
      </w:r>
      <w:r>
        <w:rPr>
          <w:rFonts w:hint="eastAsia" w:ascii="仿宋_GB2312" w:hAnsi="仿宋_GB2312" w:eastAsia="仿宋_GB2312" w:cs="仿宋_GB2312"/>
          <w:color w:val="auto"/>
          <w:kern w:val="2"/>
          <w:sz w:val="32"/>
          <w:szCs w:val="32"/>
          <w:highlight w:val="none"/>
          <w:lang w:val="en-US" w:eastAsia="zh-CN" w:bidi="ar-SA"/>
        </w:rPr>
        <w:t>立足产业发展需求，围绕“引才、育才、用才、留才”全链条，以更实举措、更优环境汇聚各类人才。</w:t>
      </w:r>
      <w:r>
        <w:rPr>
          <w:rFonts w:hint="eastAsia" w:ascii="仿宋_GB2312" w:hAnsi="仿宋_GB2312" w:eastAsia="仿宋_GB2312" w:cs="仿宋_GB2312"/>
          <w:color w:val="auto"/>
          <w:kern w:val="2"/>
          <w:sz w:val="32"/>
          <w:szCs w:val="32"/>
          <w:highlight w:val="none"/>
          <w:u w:val="none"/>
          <w:lang w:val="en-US" w:eastAsia="zh-CN" w:bidi="ar-SA"/>
        </w:rPr>
        <w:t>2021年至2025年</w:t>
      </w:r>
      <w:r>
        <w:rPr>
          <w:rFonts w:hint="default" w:ascii="仿宋_GB2312" w:hAnsi="仿宋_GB2312" w:eastAsia="仿宋_GB2312" w:cs="仿宋_GB2312"/>
          <w:b w:val="0"/>
          <w:bCs w:val="0"/>
          <w:color w:val="auto"/>
          <w:sz w:val="32"/>
          <w:szCs w:val="32"/>
          <w:highlight w:val="none"/>
          <w:u w:val="none"/>
          <w:lang w:val="en-US" w:eastAsia="zh-CN"/>
        </w:rPr>
        <w:t>全市</w:t>
      </w:r>
      <w:r>
        <w:rPr>
          <w:rFonts w:hint="eastAsia" w:ascii="仿宋_GB2312" w:hAnsi="仿宋_GB2312" w:eastAsia="仿宋_GB2312" w:cs="仿宋_GB2312"/>
          <w:b w:val="0"/>
          <w:bCs w:val="0"/>
          <w:color w:val="auto"/>
          <w:sz w:val="32"/>
          <w:szCs w:val="32"/>
          <w:highlight w:val="none"/>
          <w:u w:val="none"/>
          <w:lang w:val="en-US" w:eastAsia="zh-CN"/>
        </w:rPr>
        <w:t>新增</w:t>
      </w:r>
      <w:r>
        <w:rPr>
          <w:rFonts w:hint="default" w:ascii="仿宋_GB2312" w:hAnsi="仿宋_GB2312" w:eastAsia="仿宋_GB2312" w:cs="仿宋_GB2312"/>
          <w:b w:val="0"/>
          <w:bCs w:val="0"/>
          <w:color w:val="auto"/>
          <w:sz w:val="32"/>
          <w:szCs w:val="32"/>
          <w:highlight w:val="none"/>
          <w:u w:val="none"/>
          <w:lang w:val="en-US" w:eastAsia="zh-CN"/>
        </w:rPr>
        <w:t>专业技术人才</w:t>
      </w:r>
      <w:r>
        <w:rPr>
          <w:rFonts w:hint="eastAsia" w:ascii="仿宋_GB2312" w:hAnsi="仿宋_GB2312" w:eastAsia="仿宋_GB2312" w:cs="仿宋_GB2312"/>
          <w:b w:val="0"/>
          <w:bCs w:val="0"/>
          <w:color w:val="auto"/>
          <w:sz w:val="32"/>
          <w:szCs w:val="32"/>
          <w:highlight w:val="none"/>
          <w:u w:val="none"/>
          <w:lang w:val="en-US" w:eastAsia="zh-CN"/>
        </w:rPr>
        <w:t>6194</w:t>
      </w:r>
      <w:r>
        <w:rPr>
          <w:rFonts w:hint="default" w:ascii="仿宋_GB2312" w:hAnsi="仿宋_GB2312" w:eastAsia="仿宋_GB2312" w:cs="仿宋_GB2312"/>
          <w:b w:val="0"/>
          <w:bCs w:val="0"/>
          <w:color w:val="auto"/>
          <w:sz w:val="32"/>
          <w:szCs w:val="32"/>
          <w:highlight w:val="none"/>
          <w:u w:val="none"/>
          <w:lang w:val="en-US" w:eastAsia="zh-CN"/>
        </w:rPr>
        <w:t>人；</w:t>
      </w:r>
      <w:r>
        <w:rPr>
          <w:rFonts w:hint="eastAsia" w:ascii="仿宋_GB2312" w:hAnsi="仿宋_GB2312" w:eastAsia="仿宋_GB2312" w:cs="仿宋_GB2312"/>
          <w:b w:val="0"/>
          <w:bCs w:val="0"/>
          <w:color w:val="auto"/>
          <w:sz w:val="32"/>
          <w:szCs w:val="32"/>
          <w:highlight w:val="none"/>
          <w:u w:val="none"/>
          <w:lang w:val="en-US" w:eastAsia="zh-CN"/>
        </w:rPr>
        <w:t>新增</w:t>
      </w:r>
      <w:r>
        <w:rPr>
          <w:rFonts w:hint="default" w:ascii="仿宋_GB2312" w:hAnsi="仿宋_GB2312" w:eastAsia="仿宋_GB2312" w:cs="仿宋_GB2312"/>
          <w:b w:val="0"/>
          <w:bCs w:val="0"/>
          <w:color w:val="auto"/>
          <w:sz w:val="32"/>
          <w:szCs w:val="32"/>
          <w:highlight w:val="none"/>
          <w:u w:val="none"/>
          <w:lang w:val="en-US" w:eastAsia="zh-CN"/>
        </w:rPr>
        <w:t>博士博士后科研平台</w:t>
      </w:r>
      <w:r>
        <w:rPr>
          <w:rFonts w:hint="eastAsia" w:ascii="仿宋_GB2312" w:hAnsi="仿宋_GB2312" w:eastAsia="仿宋_GB2312" w:cs="仿宋_GB2312"/>
          <w:b w:val="0"/>
          <w:bCs w:val="0"/>
          <w:color w:val="auto"/>
          <w:sz w:val="32"/>
          <w:szCs w:val="32"/>
          <w:highlight w:val="none"/>
          <w:u w:val="none"/>
          <w:lang w:val="en-US" w:eastAsia="zh-CN"/>
        </w:rPr>
        <w:t>11个</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其中</w:t>
      </w:r>
      <w:r>
        <w:rPr>
          <w:rFonts w:hint="eastAsia" w:ascii="仿宋_GB2312" w:hAnsi="仿宋_GB2312" w:eastAsia="仿宋_GB2312" w:cs="仿宋_GB2312"/>
          <w:color w:val="auto"/>
          <w:kern w:val="2"/>
          <w:sz w:val="32"/>
          <w:szCs w:val="32"/>
          <w:highlight w:val="none"/>
          <w:u w:val="none"/>
          <w:lang w:val="en-US" w:eastAsia="zh-CN" w:bidi="ar-SA"/>
        </w:rPr>
        <w:t>新增国家博士后科研工作站1个、广东省博士工作站7个和广东省博士后创新实践基地3个，</w:t>
      </w:r>
      <w:r>
        <w:rPr>
          <w:rFonts w:hint="eastAsia" w:ascii="仿宋_GB2312" w:hAnsi="仿宋_GB2312" w:eastAsia="仿宋_GB2312" w:cs="仿宋_GB2312"/>
          <w:b w:val="0"/>
          <w:bCs w:val="0"/>
          <w:color w:val="auto"/>
          <w:sz w:val="32"/>
          <w:szCs w:val="32"/>
          <w:highlight w:val="none"/>
          <w:u w:val="none"/>
          <w:lang w:val="en-US" w:eastAsia="zh-CN"/>
        </w:rPr>
        <w:t>新增引进急需紧缺博士博士后人才65名</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新增高层次人才认定</w:t>
      </w:r>
      <w:r>
        <w:rPr>
          <w:rFonts w:hint="eastAsia" w:ascii="仿宋_GB2312" w:hAnsi="仿宋_GB2312" w:eastAsia="仿宋_GB2312" w:cs="仿宋_GB2312"/>
          <w:b w:val="0"/>
          <w:bCs w:val="0"/>
          <w:color w:val="auto"/>
          <w:sz w:val="32"/>
          <w:szCs w:val="32"/>
          <w:highlight w:val="none"/>
          <w:u w:val="none"/>
          <w:lang w:val="en-US" w:eastAsia="zh-CN"/>
        </w:rPr>
        <w:t>642</w:t>
      </w:r>
      <w:r>
        <w:rPr>
          <w:rFonts w:hint="default" w:ascii="仿宋_GB2312" w:hAnsi="仿宋_GB2312" w:eastAsia="仿宋_GB2312" w:cs="仿宋_GB2312"/>
          <w:b w:val="0"/>
          <w:bCs w:val="0"/>
          <w:color w:val="auto"/>
          <w:sz w:val="32"/>
          <w:szCs w:val="32"/>
          <w:highlight w:val="none"/>
          <w:u w:val="none"/>
          <w:lang w:val="en-US" w:eastAsia="zh-CN"/>
        </w:rPr>
        <w:t>人。</w:t>
      </w:r>
      <w:r>
        <w:rPr>
          <w:rFonts w:hint="eastAsia" w:ascii="仿宋_GB2312" w:hAnsi="仿宋_GB2312" w:eastAsia="仿宋_GB2312" w:cs="仿宋_GB2312"/>
          <w:color w:val="auto"/>
          <w:kern w:val="2"/>
          <w:sz w:val="32"/>
          <w:szCs w:val="32"/>
          <w:highlight w:val="none"/>
          <w:u w:val="none"/>
          <w:lang w:val="en-US" w:eastAsia="zh-CN" w:bidi="ar-SA"/>
        </w:rPr>
        <w:t>2024年新增梁庆宁成功入选国务院政府特殊津贴专家，实现该项目人才申报的突破。</w:t>
      </w:r>
      <w:r>
        <w:rPr>
          <w:rFonts w:hint="eastAsia" w:ascii="仿宋_GB2312" w:hAnsi="仿宋_GB2312" w:eastAsia="仿宋_GB2312" w:cs="仿宋_GB2312"/>
          <w:b w:val="0"/>
          <w:bCs w:val="0"/>
          <w:color w:val="auto"/>
          <w:sz w:val="32"/>
          <w:szCs w:val="32"/>
          <w:highlight w:val="none"/>
          <w:u w:val="none"/>
          <w:lang w:val="en-US" w:eastAsia="zh-CN"/>
        </w:rPr>
        <w:t>拓展人才输送渠道，</w:t>
      </w:r>
      <w:r>
        <w:rPr>
          <w:rFonts w:hint="default" w:ascii="仿宋_GB2312" w:hAnsi="仿宋_GB2312" w:eastAsia="仿宋_GB2312" w:cs="仿宋_GB2312"/>
          <w:b w:val="0"/>
          <w:bCs w:val="0"/>
          <w:color w:val="auto"/>
          <w:sz w:val="32"/>
          <w:szCs w:val="32"/>
          <w:highlight w:val="none"/>
          <w:u w:val="none"/>
          <w:lang w:val="en-US" w:eastAsia="zh-CN"/>
        </w:rPr>
        <w:t>建立人才供给基地</w:t>
      </w:r>
      <w:r>
        <w:rPr>
          <w:rFonts w:hint="eastAsia" w:ascii="仿宋_GB2312" w:hAnsi="仿宋_GB2312" w:eastAsia="仿宋_GB2312" w:cs="仿宋_GB2312"/>
          <w:b w:val="0"/>
          <w:bCs w:val="0"/>
          <w:color w:val="auto"/>
          <w:sz w:val="32"/>
          <w:szCs w:val="32"/>
          <w:highlight w:val="none"/>
          <w:u w:val="none"/>
          <w:lang w:val="en-US" w:eastAsia="zh-CN"/>
        </w:rPr>
        <w:t>6</w:t>
      </w:r>
      <w:r>
        <w:rPr>
          <w:rFonts w:hint="default" w:ascii="仿宋_GB2312" w:hAnsi="仿宋_GB2312" w:eastAsia="仿宋_GB2312" w:cs="仿宋_GB2312"/>
          <w:b w:val="0"/>
          <w:bCs w:val="0"/>
          <w:color w:val="auto"/>
          <w:sz w:val="32"/>
          <w:szCs w:val="32"/>
          <w:highlight w:val="none"/>
          <w:u w:val="none"/>
          <w:lang w:val="en-US" w:eastAsia="zh-CN"/>
        </w:rPr>
        <w:t>个。</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打造“侨才荟”人才服务品牌，推出“侨才荟”引才驿站，组建“侨才荟”人才服务联盟，累计发动100家商家为人才提供酒店餐饮、文化旅游、医疗健康等多领域服务优惠。建设“一站式”人才服务专区开平分中心，基本打造成集“展示、服务、交流”三大功能于一体的服务平台。</w:t>
      </w:r>
    </w:p>
    <w:p w14:paraId="0C67FD6C">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职业技能培训打开新局面。</w:t>
      </w:r>
      <w:r>
        <w:rPr>
          <w:rFonts w:hint="eastAsia" w:ascii="仿宋_GB2312" w:hAnsi="仿宋_GB2312" w:eastAsia="仿宋_GB2312" w:cs="仿宋_GB2312"/>
          <w:color w:val="auto"/>
          <w:kern w:val="2"/>
          <w:sz w:val="32"/>
          <w:szCs w:val="32"/>
          <w:highlight w:val="none"/>
          <w:lang w:val="en-US" w:eastAsia="zh-CN" w:bidi="ar-SA"/>
        </w:rPr>
        <w:t>紧扣产业升级需求与群众就业诉求，优化培训体系、创新培训模式、强化校企协同。</w:t>
      </w:r>
      <w:r>
        <w:rPr>
          <w:rFonts w:hint="eastAsia" w:ascii="仿宋_GB2312" w:hAnsi="仿宋_GB2312" w:eastAsia="仿宋_GB2312" w:cs="仿宋_GB2312"/>
          <w:b w:val="0"/>
          <w:bCs w:val="0"/>
          <w:color w:val="auto"/>
          <w:sz w:val="32"/>
          <w:szCs w:val="32"/>
          <w:highlight w:val="none"/>
          <w:lang w:val="en-US" w:eastAsia="zh-CN"/>
        </w:rPr>
        <w:t>联合出台《开平市侨都产业技能根基工程实施方案》，夯实产业技能人才培养基础。</w:t>
      </w:r>
      <w:r>
        <w:rPr>
          <w:rFonts w:hint="eastAsia" w:ascii="仿宋_GB2312" w:hAnsi="仿宋_GB2312" w:eastAsia="仿宋_GB2312" w:cs="仿宋_GB2312"/>
          <w:color w:val="auto"/>
          <w:kern w:val="2"/>
          <w:sz w:val="32"/>
          <w:szCs w:val="32"/>
          <w:highlight w:val="none"/>
          <w:lang w:val="en-US" w:eastAsia="zh-CN" w:bidi="ar-SA"/>
        </w:rPr>
        <w:t>深入推动校企共育技能人才，鼓励企业与职业技工院校以新型学徒培养模式储备技能人才，开展新型学徒制培训备案1988人次。</w:t>
      </w:r>
      <w:r>
        <w:rPr>
          <w:rFonts w:hint="eastAsia" w:ascii="仿宋_GB2312" w:hAnsi="仿宋_GB2312" w:eastAsia="仿宋_GB2312" w:cs="仿宋_GB2312"/>
          <w:color w:val="auto"/>
          <w:sz w:val="32"/>
          <w:szCs w:val="32"/>
          <w:highlight w:val="none"/>
          <w:u w:val="none"/>
          <w:lang w:val="en-US" w:eastAsia="zh-CN"/>
        </w:rPr>
        <w:t>探索构建“1+N”技能培训体系，</w:t>
      </w:r>
      <w:r>
        <w:rPr>
          <w:rFonts w:hint="eastAsia" w:ascii="仿宋_GB2312" w:eastAsia="仿宋_GB2312"/>
          <w:color w:val="auto"/>
          <w:sz w:val="32"/>
          <w:szCs w:val="32"/>
          <w:highlight w:val="none"/>
          <w:u w:val="none"/>
          <w:lang w:eastAsia="zh-CN"/>
        </w:rPr>
        <w:t>成功与江门市职业训练指导中心共建</w:t>
      </w:r>
      <w:r>
        <w:rPr>
          <w:rFonts w:hint="eastAsia" w:ascii="仿宋_GB2312" w:eastAsia="仿宋_GB2312"/>
          <w:color w:val="auto"/>
          <w:sz w:val="32"/>
          <w:szCs w:val="32"/>
          <w:highlight w:val="none"/>
          <w:u w:val="none"/>
        </w:rPr>
        <w:t>江门市级高技能人才公共实训基地</w:t>
      </w:r>
      <w:r>
        <w:rPr>
          <w:rFonts w:hint="eastAsia" w:ascii="仿宋_GB2312" w:eastAsia="仿宋_GB2312"/>
          <w:color w:val="auto"/>
          <w:sz w:val="32"/>
          <w:szCs w:val="32"/>
          <w:highlight w:val="none"/>
          <w:u w:val="none"/>
          <w:lang w:eastAsia="zh-CN"/>
        </w:rPr>
        <w:t>开平</w:t>
      </w:r>
      <w:r>
        <w:rPr>
          <w:rFonts w:hint="eastAsia" w:ascii="仿宋_GB2312" w:eastAsia="仿宋_GB2312"/>
          <w:color w:val="auto"/>
          <w:sz w:val="32"/>
          <w:szCs w:val="32"/>
          <w:highlight w:val="none"/>
          <w:u w:val="none"/>
        </w:rPr>
        <w:t>分基地</w:t>
      </w:r>
      <w:r>
        <w:rPr>
          <w:rFonts w:hint="eastAsia" w:ascii="仿宋_GB2312" w:eastAsia="仿宋_GB2312"/>
          <w:color w:val="auto"/>
          <w:sz w:val="32"/>
          <w:szCs w:val="32"/>
          <w:highlight w:val="none"/>
          <w:u w:val="none"/>
          <w:lang w:eastAsia="zh-CN"/>
        </w:rPr>
        <w:t>，成功在</w:t>
      </w:r>
      <w:r>
        <w:rPr>
          <w:rFonts w:hint="eastAsia" w:ascii="仿宋_GB2312" w:eastAsia="仿宋_GB2312"/>
          <w:color w:val="auto"/>
          <w:sz w:val="32"/>
          <w:szCs w:val="32"/>
          <w:highlight w:val="none"/>
          <w:u w:val="none"/>
        </w:rPr>
        <w:t>苍城镇、龙胜镇、大沙镇以及翠山湖管委会</w:t>
      </w:r>
      <w:r>
        <w:rPr>
          <w:rFonts w:hint="eastAsia" w:ascii="仿宋_GB2312" w:eastAsia="仿宋_GB2312"/>
          <w:color w:val="auto"/>
          <w:sz w:val="32"/>
          <w:szCs w:val="32"/>
          <w:highlight w:val="none"/>
          <w:u w:val="none"/>
          <w:lang w:eastAsia="zh-CN"/>
        </w:rPr>
        <w:t>建设</w:t>
      </w:r>
      <w:r>
        <w:rPr>
          <w:rFonts w:hint="eastAsia" w:ascii="仿宋_GB2312" w:eastAsia="仿宋_GB2312"/>
          <w:color w:val="auto"/>
          <w:sz w:val="32"/>
          <w:szCs w:val="32"/>
          <w:highlight w:val="none"/>
          <w:u w:val="none"/>
        </w:rPr>
        <w:t>了四个镇级公共实训点</w:t>
      </w:r>
      <w:r>
        <w:rPr>
          <w:rFonts w:hint="eastAsia" w:ascii="仿宋_GB2312" w:eastAsia="仿宋_GB2312"/>
          <w:color w:val="auto"/>
          <w:sz w:val="32"/>
          <w:szCs w:val="32"/>
          <w:highlight w:val="none"/>
          <w:u w:val="none"/>
          <w:lang w:eastAsia="zh-CN"/>
        </w:rPr>
        <w:t>，全市完成“粤菜师傅”培训</w:t>
      </w:r>
      <w:r>
        <w:rPr>
          <w:rFonts w:hint="eastAsia" w:ascii="仿宋_GB2312" w:eastAsia="仿宋_GB2312"/>
          <w:color w:val="auto"/>
          <w:sz w:val="32"/>
          <w:szCs w:val="32"/>
          <w:highlight w:val="none"/>
          <w:u w:val="none"/>
          <w:lang w:val="en-US" w:eastAsia="zh-CN"/>
        </w:rPr>
        <w:t>1195</w:t>
      </w:r>
      <w:r>
        <w:rPr>
          <w:rFonts w:hint="eastAsia" w:ascii="仿宋_GB2312" w:eastAsia="仿宋_GB2312"/>
          <w:color w:val="auto"/>
          <w:sz w:val="32"/>
          <w:szCs w:val="32"/>
          <w:highlight w:val="none"/>
          <w:u w:val="none"/>
          <w:lang w:eastAsia="zh-CN"/>
        </w:rPr>
        <w:t>人次，完成“南粤家政”培训</w:t>
      </w:r>
      <w:r>
        <w:rPr>
          <w:rFonts w:hint="eastAsia" w:ascii="仿宋_GB2312" w:eastAsia="仿宋_GB2312"/>
          <w:color w:val="auto"/>
          <w:sz w:val="32"/>
          <w:szCs w:val="32"/>
          <w:highlight w:val="none"/>
          <w:u w:val="none"/>
          <w:lang w:val="en-US" w:eastAsia="zh-CN"/>
        </w:rPr>
        <w:t>8003</w:t>
      </w:r>
      <w:r>
        <w:rPr>
          <w:rFonts w:hint="eastAsia" w:ascii="仿宋_GB2312" w:eastAsia="仿宋_GB2312"/>
          <w:color w:val="auto"/>
          <w:sz w:val="32"/>
          <w:szCs w:val="32"/>
          <w:highlight w:val="none"/>
          <w:u w:val="none"/>
          <w:lang w:eastAsia="zh-CN"/>
        </w:rPr>
        <w:t>人次。</w:t>
      </w:r>
      <w:r>
        <w:rPr>
          <w:rFonts w:hint="eastAsia" w:ascii="仿宋_GB2312" w:hAnsi="仿宋_GB2312" w:eastAsia="仿宋_GB2312" w:cs="仿宋_GB2312"/>
          <w:b w:val="0"/>
          <w:bCs w:val="0"/>
          <w:color w:val="auto"/>
          <w:sz w:val="32"/>
          <w:szCs w:val="32"/>
          <w:highlight w:val="none"/>
          <w:u w:val="none"/>
          <w:lang w:val="en-US" w:eastAsia="zh-CN"/>
        </w:rPr>
        <w:t>推进“园区技校”项目实施，</w:t>
      </w:r>
      <w:r>
        <w:rPr>
          <w:rFonts w:hint="eastAsia" w:ascii="仿宋_GB2312" w:eastAsia="仿宋_GB2312"/>
          <w:color w:val="auto"/>
          <w:sz w:val="32"/>
          <w:szCs w:val="32"/>
          <w:highlight w:val="none"/>
          <w:u w:val="none"/>
          <w:lang w:eastAsia="zh-CN"/>
        </w:rPr>
        <w:t>全市新增技能人才</w:t>
      </w:r>
      <w:r>
        <w:rPr>
          <w:rFonts w:hint="eastAsia" w:ascii="仿宋_GB2312" w:eastAsia="仿宋_GB2312"/>
          <w:color w:val="auto"/>
          <w:sz w:val="32"/>
          <w:szCs w:val="32"/>
          <w:highlight w:val="none"/>
          <w:u w:val="none"/>
          <w:lang w:val="en-US" w:eastAsia="zh-CN"/>
        </w:rPr>
        <w:t>19488</w:t>
      </w:r>
      <w:r>
        <w:rPr>
          <w:rFonts w:hint="eastAsia" w:ascii="仿宋_GB2312" w:eastAsia="仿宋_GB2312"/>
          <w:color w:val="auto"/>
          <w:sz w:val="32"/>
          <w:szCs w:val="32"/>
          <w:highlight w:val="none"/>
          <w:u w:val="none"/>
          <w:lang w:eastAsia="zh-CN"/>
        </w:rPr>
        <w:t>人次，其中新增高技能人才</w:t>
      </w:r>
      <w:r>
        <w:rPr>
          <w:rFonts w:hint="eastAsia" w:ascii="仿宋_GB2312" w:eastAsia="仿宋_GB2312"/>
          <w:color w:val="auto"/>
          <w:sz w:val="32"/>
          <w:szCs w:val="32"/>
          <w:highlight w:val="none"/>
          <w:u w:val="none"/>
          <w:lang w:val="en-US" w:eastAsia="zh-CN"/>
        </w:rPr>
        <w:t>5005</w:t>
      </w:r>
      <w:r>
        <w:rPr>
          <w:rFonts w:hint="eastAsia" w:ascii="仿宋_GB2312" w:eastAsia="仿宋_GB2312"/>
          <w:color w:val="auto"/>
          <w:sz w:val="32"/>
          <w:szCs w:val="32"/>
          <w:highlight w:val="none"/>
          <w:u w:val="none"/>
          <w:lang w:eastAsia="zh-CN"/>
        </w:rPr>
        <w:t>人次。</w:t>
      </w:r>
      <w:r>
        <w:rPr>
          <w:rFonts w:hint="eastAsia" w:ascii="仿宋_GB2312" w:eastAsia="仿宋_GB2312"/>
          <w:color w:val="auto"/>
          <w:sz w:val="32"/>
          <w:szCs w:val="32"/>
          <w:highlight w:val="none"/>
          <w:lang w:eastAsia="zh-CN"/>
        </w:rPr>
        <w:t>广东粤师傅调味食品有限公司技术带头人陈杰成功获评广东省2025年度特级技师称号，成为开平市首位特级技师。</w:t>
      </w:r>
      <w:r>
        <w:rPr>
          <w:rFonts w:hint="eastAsia" w:ascii="仿宋_GB2312" w:eastAsia="仿宋_GB2312"/>
          <w:color w:val="auto"/>
          <w:sz w:val="32"/>
          <w:szCs w:val="32"/>
          <w:highlight w:val="none"/>
          <w:u w:val="none"/>
          <w:lang w:val="en-US" w:eastAsia="zh-CN"/>
        </w:rPr>
        <w:t>广东华艺卫浴有限公司首席质量官丁言飞成功获评2025年广东省南粤技术能手，实现该项目零的突破。</w:t>
      </w:r>
      <w:r>
        <w:rPr>
          <w:rFonts w:hint="eastAsia" w:ascii="仿宋_GB2312" w:hAnsi="仿宋_GB2312" w:eastAsia="仿宋_GB2312" w:cs="仿宋_GB2312"/>
          <w:color w:val="auto"/>
          <w:sz w:val="32"/>
          <w:szCs w:val="32"/>
          <w:highlight w:val="none"/>
          <w:lang w:val="en-US" w:eastAsia="zh-CN"/>
        </w:rPr>
        <w:t>积极推选侨都工匠，1人入选江门市“十大工匠”，8人入选“百优工匠”。举办“侨夺天工”职业技能竞赛14场次，涉及电工、焊工、手工木工、茶艺师、物流、快递等20多个职业（工种），近600名生产一线企业技术骨干和职业院校学生参加竞赛。</w:t>
      </w:r>
    </w:p>
    <w:p w14:paraId="6A933558">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和谐劳动关系构建新格局。</w:t>
      </w:r>
      <w:r>
        <w:rPr>
          <w:rFonts w:hint="eastAsia" w:ascii="仿宋_GB2312" w:hAnsi="仿宋_GB2312" w:eastAsia="仿宋_GB2312" w:cs="仿宋_GB2312"/>
          <w:color w:val="auto"/>
          <w:kern w:val="2"/>
          <w:sz w:val="32"/>
          <w:szCs w:val="32"/>
          <w:highlight w:val="none"/>
          <w:lang w:val="en-US" w:eastAsia="zh-CN" w:bidi="ar-SA"/>
        </w:rPr>
        <w:t>聚焦劳动者权益保障与企业健康发展双向需求，成功构建起“政企联动、劳资共赢、社会协同”的和谐劳动关系新格局。印发《开平市源头治理欠薪问题实施方案》，2021年至2025年累计为2.9578万名劳动者追回工资11635.48万元。在江门地区</w:t>
      </w:r>
      <w:r>
        <w:rPr>
          <w:rFonts w:hint="eastAsia" w:ascii="Times New Roman" w:hAnsi="Times New Roman" w:eastAsia="仿宋_GB2312" w:cs="仿宋_GB2312"/>
          <w:color w:val="auto"/>
          <w:sz w:val="32"/>
          <w:szCs w:val="32"/>
          <w:highlight w:val="none"/>
        </w:rPr>
        <w:t>率先设立开平市劳动争议三方联合调解中心，建立“执法+调解+仲裁”三位一体的劳资纠纷调处模式、劳动争议“一站式”全周期服务机制，提升劳动人事争议仲裁办案质效，夯实调解组织服务基础。加强劳动人事争议源头治理，推动建立4家企业、1家行业协会劳动争议调解委员会，实现全市16个镇街、管委会完善基层调解组织</w:t>
      </w:r>
      <w:r>
        <w:rPr>
          <w:rFonts w:hint="eastAsia" w:eastAsia="仿宋_GB2312" w:cs="仿宋_GB2312"/>
          <w:color w:val="auto"/>
          <w:sz w:val="32"/>
          <w:szCs w:val="32"/>
          <w:highlight w:val="none"/>
          <w:lang w:eastAsia="zh-CN"/>
        </w:rPr>
        <w:t>建设</w:t>
      </w:r>
      <w:r>
        <w:rPr>
          <w:rFonts w:hint="eastAsia" w:ascii="Times New Roman" w:hAnsi="Times New Roman" w:eastAsia="仿宋_GB2312" w:cs="仿宋_GB2312"/>
          <w:color w:val="auto"/>
          <w:sz w:val="32"/>
          <w:szCs w:val="32"/>
          <w:highlight w:val="none"/>
        </w:rPr>
        <w:t>，推动开平依利安达劳动争议调解委员会、水口镇劳动人事争议调解中心获认定为江门市金牌劳动人事争议调解组织。联合开平市检察院打出“劳动仲裁+检察监督”组合拳，相关经验入选广东人社调解仲裁典型案例。创新建立劳动人事争议仲裁巡回庭机制，通过邀请企业旁听、以案释法，提高企业用工规范。创建“劳动普法小课堂”活动，擦亮劳动保障普法品牌。</w:t>
      </w:r>
    </w:p>
    <w:p w14:paraId="7553F8D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人社公共服务得到新改善。</w:t>
      </w:r>
      <w:r>
        <w:rPr>
          <w:rFonts w:hint="eastAsia" w:ascii="仿宋_GB2312" w:hAnsi="仿宋_GB2312" w:eastAsia="仿宋_GB2312" w:cs="仿宋_GB2312"/>
          <w:color w:val="auto"/>
          <w:kern w:val="2"/>
          <w:sz w:val="32"/>
          <w:szCs w:val="32"/>
          <w:highlight w:val="none"/>
          <w:lang w:val="en-US" w:eastAsia="zh-CN" w:bidi="ar-SA"/>
        </w:rPr>
        <w:t>聚焦群众办事“急难愁盼”问题，持续推进人社公共服务数字化转型、线下服务标准化建设、特殊群体服务精细化落实。打造“线上+线下”融合服务模式，推动84项社保事项上线广东政务服务网，实现“一网通办”。62项服务实现“全市通办”，</w:t>
      </w:r>
      <w:r>
        <w:rPr>
          <w:rFonts w:hint="eastAsia" w:ascii="仿宋_GB2312" w:hAnsi="仿宋_GB2312" w:eastAsia="仿宋_GB2312" w:cs="仿宋_GB2312"/>
          <w:color w:val="auto"/>
          <w:kern w:val="2"/>
          <w:sz w:val="32"/>
          <w:szCs w:val="32"/>
          <w:highlight w:val="none"/>
          <w:u w:val="none"/>
          <w:lang w:val="en-US" w:eastAsia="zh-CN" w:bidi="ar-SA"/>
        </w:rPr>
        <w:t>其中，关于企业职工养老保险和工伤保险的17项高频业务实现省内窗口通办，配合落实2</w:t>
      </w:r>
      <w:r>
        <w:rPr>
          <w:rFonts w:hint="eastAsia" w:ascii="仿宋_GB2312" w:hAnsi="仿宋_GB2312" w:eastAsia="仿宋_GB2312" w:cs="仿宋_GB2312"/>
          <w:color w:val="auto"/>
          <w:kern w:val="2"/>
          <w:sz w:val="32"/>
          <w:szCs w:val="32"/>
          <w:highlight w:val="none"/>
          <w:lang w:val="en-US" w:eastAsia="zh-CN" w:bidi="ar-SA"/>
        </w:rPr>
        <w:t>2项高频社保服务“跨省通办”，拓展跨区域通办范围。</w:t>
      </w:r>
      <w:r>
        <w:rPr>
          <w:rFonts w:hint="eastAsia" w:ascii="仿宋_GB2312" w:hAnsi="仿宋_GB2312" w:eastAsia="仿宋_GB2312" w:cs="仿宋_GB2312"/>
          <w:color w:val="auto"/>
          <w:sz w:val="32"/>
          <w:szCs w:val="32"/>
          <w:highlight w:val="none"/>
        </w:rPr>
        <w:t>持续推进社保经办服务改革，深化“综合柜员制”，在江门地区率先实现社保业务“一窗通办”，获第五届全国政务服务软实力“模式创新开拓者奖”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深入实施社保“镇村通”工程，</w:t>
      </w:r>
      <w:r>
        <w:rPr>
          <w:rFonts w:hint="eastAsia" w:ascii="仿宋_GB2312" w:eastAsia="仿宋_GB2312"/>
          <w:color w:val="auto"/>
          <w:sz w:val="32"/>
          <w:szCs w:val="32"/>
          <w:highlight w:val="none"/>
          <w:lang w:val="en-US" w:eastAsia="zh-CN"/>
        </w:rPr>
        <w:t>全市</w:t>
      </w:r>
      <w:r>
        <w:rPr>
          <w:rFonts w:hint="eastAsia" w:ascii="仿宋_GB2312" w:hAnsi="仿宋_GB2312" w:eastAsia="仿宋_GB2312" w:cs="仿宋_GB2312"/>
          <w:color w:val="auto"/>
          <w:sz w:val="32"/>
          <w:szCs w:val="32"/>
          <w:highlight w:val="none"/>
        </w:rPr>
        <w:t>建成社保服务网点409个，</w:t>
      </w:r>
      <w:r>
        <w:rPr>
          <w:rFonts w:hint="eastAsia" w:ascii="仿宋_GB2312" w:hAnsi="仿宋_GB2312" w:eastAsia="仿宋_GB2312" w:cs="仿宋_GB2312"/>
          <w:color w:val="auto"/>
          <w:sz w:val="32"/>
          <w:szCs w:val="32"/>
          <w:highlight w:val="none"/>
          <w:lang w:val="en-US" w:eastAsia="zh-CN"/>
        </w:rPr>
        <w:t>实现全覆盖。针对老年人、残疾人等特殊群体养老待遇资格认证难题，开展“一对一”上门认证服务，志愿者入户协助人脸识别、信息校验，确保“足不出户”完成认证。</w:t>
      </w:r>
      <w:r>
        <w:rPr>
          <w:rFonts w:hint="default" w:ascii="仿宋_GB2312" w:hAnsi="仿宋_GB2312" w:eastAsia="仿宋_GB2312" w:cs="仿宋_GB2312"/>
          <w:color w:val="auto"/>
          <w:kern w:val="2"/>
          <w:sz w:val="32"/>
          <w:szCs w:val="32"/>
          <w:highlight w:val="none"/>
          <w:lang w:val="en-US" w:eastAsia="zh-CN" w:bidi="ar-SA"/>
        </w:rPr>
        <w:t>大力推进社会保障卡居民服务</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一卡通</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持续推进行风建设专项行动，推行人社</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走流程</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，实施政务服务</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好差评</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，群众满意度显著提升。</w:t>
      </w:r>
    </w:p>
    <w:p w14:paraId="2F0D65E0">
      <w:pPr>
        <w:pStyle w:val="2"/>
        <w:rPr>
          <w:rFonts w:hint="eastAsia"/>
          <w:color w:val="auto"/>
          <w:highlight w:val="none"/>
          <w:lang w:eastAsia="zh-CN"/>
        </w:rPr>
      </w:pPr>
    </w:p>
    <w:p w14:paraId="763D1298">
      <w:pPr>
        <w:pStyle w:val="3"/>
        <w:rPr>
          <w:rFonts w:hint="eastAsia"/>
          <w:color w:val="auto"/>
          <w:highlight w:val="none"/>
          <w:lang w:eastAsia="zh-CN"/>
        </w:rPr>
      </w:pPr>
    </w:p>
    <w:p w14:paraId="70666698">
      <w:pPr>
        <w:rPr>
          <w:rFonts w:hint="eastAsia"/>
          <w:color w:val="auto"/>
          <w:highlight w:val="none"/>
          <w:lang w:eastAsia="zh-CN"/>
        </w:rPr>
      </w:pPr>
    </w:p>
    <w:p w14:paraId="75CAFA08">
      <w:pPr>
        <w:pStyle w:val="2"/>
        <w:rPr>
          <w:rFonts w:hint="eastAsia"/>
          <w:color w:val="auto"/>
          <w:highlight w:val="none"/>
          <w:lang w:eastAsia="zh-CN"/>
        </w:rPr>
      </w:pPr>
    </w:p>
    <w:p w14:paraId="01E144DA">
      <w:pPr>
        <w:pStyle w:val="3"/>
        <w:rPr>
          <w:rFonts w:hint="eastAsia"/>
          <w:color w:val="auto"/>
          <w:highlight w:val="none"/>
          <w:lang w:eastAsia="zh-CN"/>
        </w:rPr>
      </w:pPr>
    </w:p>
    <w:p w14:paraId="3330A09B">
      <w:pPr>
        <w:rPr>
          <w:rFonts w:hint="eastAsia"/>
          <w:lang w:eastAsia="zh-CN"/>
        </w:rPr>
      </w:pPr>
    </w:p>
    <w:tbl>
      <w:tblPr>
        <w:tblStyle w:val="11"/>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20"/>
        <w:gridCol w:w="960"/>
        <w:gridCol w:w="979"/>
        <w:gridCol w:w="941"/>
        <w:gridCol w:w="1071"/>
        <w:gridCol w:w="1015"/>
      </w:tblGrid>
      <w:tr w14:paraId="6654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9163" w:type="dxa"/>
            <w:gridSpan w:val="7"/>
            <w:shd w:val="clear" w:color="auto" w:fill="FFC000"/>
            <w:vAlign w:val="center"/>
          </w:tcPr>
          <w:p w14:paraId="61910CCF">
            <w:pPr>
              <w:snapToGrid w:val="0"/>
              <w:spacing w:line="560" w:lineRule="exact"/>
              <w:jc w:val="center"/>
              <w:rPr>
                <w:rFonts w:ascii="仿宋_GB2312" w:hAnsi="仿宋_GB2312" w:eastAsia="仿宋_GB2312" w:cs="仿宋_GB2312"/>
                <w:color w:val="auto"/>
                <w:kern w:val="0"/>
                <w:sz w:val="24"/>
                <w:highlight w:val="none"/>
              </w:rPr>
            </w:pPr>
            <w:r>
              <w:rPr>
                <w:rFonts w:ascii="Times New Roman" w:hAnsi="Times New Roman" w:eastAsia="黑体"/>
                <w:bCs/>
                <w:color w:val="auto"/>
                <w:kern w:val="0"/>
                <w:sz w:val="24"/>
                <w:szCs w:val="24"/>
                <w:highlight w:val="none"/>
              </w:rPr>
              <w:t>专栏 开平市人社“十</w:t>
            </w:r>
            <w:r>
              <w:rPr>
                <w:rFonts w:hint="eastAsia" w:ascii="Times New Roman" w:hAnsi="Times New Roman" w:eastAsia="黑体"/>
                <w:bCs/>
                <w:color w:val="auto"/>
                <w:kern w:val="0"/>
                <w:sz w:val="24"/>
                <w:szCs w:val="24"/>
                <w:highlight w:val="none"/>
              </w:rPr>
              <w:t>四</w:t>
            </w:r>
            <w:r>
              <w:rPr>
                <w:rFonts w:ascii="Times New Roman" w:hAnsi="Times New Roman" w:eastAsia="黑体"/>
                <w:bCs/>
                <w:color w:val="auto"/>
                <w:kern w:val="0"/>
                <w:sz w:val="24"/>
                <w:szCs w:val="24"/>
                <w:highlight w:val="none"/>
              </w:rPr>
              <w:t>五”时期主要指标完成情况</w:t>
            </w:r>
          </w:p>
        </w:tc>
      </w:tr>
      <w:tr w14:paraId="131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77" w:type="dxa"/>
            <w:vAlign w:val="center"/>
          </w:tcPr>
          <w:p w14:paraId="665A985C">
            <w:pPr>
              <w:spacing w:line="400" w:lineRule="exact"/>
              <w:jc w:val="center"/>
              <w:rPr>
                <w:rFonts w:hint="eastAsia" w:ascii="Times New Roman" w:hAnsi="Times New Roman" w:eastAsia="黑体"/>
                <w:color w:val="auto"/>
                <w:szCs w:val="21"/>
                <w:highlight w:val="none"/>
                <w:lang w:eastAsia="zh-CN"/>
              </w:rPr>
            </w:pPr>
            <w:r>
              <w:rPr>
                <w:rFonts w:hint="eastAsia" w:ascii="Times New Roman" w:hAnsi="Times New Roman" w:eastAsia="黑体"/>
                <w:color w:val="auto"/>
                <w:szCs w:val="21"/>
                <w:highlight w:val="none"/>
                <w:lang w:val="en-US" w:eastAsia="zh-CN"/>
              </w:rPr>
              <w:t>序号</w:t>
            </w:r>
          </w:p>
        </w:tc>
        <w:tc>
          <w:tcPr>
            <w:tcW w:w="3520" w:type="dxa"/>
            <w:vAlign w:val="center"/>
          </w:tcPr>
          <w:p w14:paraId="074329BF">
            <w:pPr>
              <w:spacing w:line="400" w:lineRule="exact"/>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指   标</w:t>
            </w:r>
          </w:p>
        </w:tc>
        <w:tc>
          <w:tcPr>
            <w:tcW w:w="960" w:type="dxa"/>
            <w:vAlign w:val="center"/>
          </w:tcPr>
          <w:p w14:paraId="0EA7F243">
            <w:pPr>
              <w:spacing w:line="400" w:lineRule="exact"/>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单位</w:t>
            </w:r>
          </w:p>
        </w:tc>
        <w:tc>
          <w:tcPr>
            <w:tcW w:w="979" w:type="dxa"/>
            <w:vAlign w:val="center"/>
          </w:tcPr>
          <w:p w14:paraId="24F27E96">
            <w:pPr>
              <w:spacing w:line="400" w:lineRule="exact"/>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目标值</w:t>
            </w:r>
          </w:p>
        </w:tc>
        <w:tc>
          <w:tcPr>
            <w:tcW w:w="941" w:type="dxa"/>
            <w:vAlign w:val="center"/>
          </w:tcPr>
          <w:p w14:paraId="28F5E99B">
            <w:pPr>
              <w:spacing w:line="400" w:lineRule="exact"/>
              <w:jc w:val="center"/>
              <w:rPr>
                <w:rFonts w:hint="eastAsia" w:ascii="Times New Roman" w:hAnsi="Times New Roman" w:eastAsia="黑体"/>
                <w:color w:val="auto"/>
                <w:szCs w:val="21"/>
                <w:highlight w:val="none"/>
                <w:lang w:eastAsia="zh-CN"/>
              </w:rPr>
            </w:pPr>
            <w:r>
              <w:rPr>
                <w:rFonts w:ascii="Times New Roman" w:hAnsi="Times New Roman" w:eastAsia="黑体"/>
                <w:color w:val="auto"/>
                <w:szCs w:val="21"/>
                <w:highlight w:val="none"/>
              </w:rPr>
              <w:t>完成值</w:t>
            </w:r>
          </w:p>
        </w:tc>
        <w:tc>
          <w:tcPr>
            <w:tcW w:w="1071" w:type="dxa"/>
            <w:vAlign w:val="center"/>
          </w:tcPr>
          <w:p w14:paraId="284F3AEA">
            <w:pPr>
              <w:spacing w:line="400" w:lineRule="exact"/>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完成率</w:t>
            </w:r>
          </w:p>
        </w:tc>
        <w:tc>
          <w:tcPr>
            <w:tcW w:w="1015" w:type="dxa"/>
            <w:vAlign w:val="center"/>
          </w:tcPr>
          <w:p w14:paraId="43643AB5">
            <w:pPr>
              <w:spacing w:line="400" w:lineRule="exact"/>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属性</w:t>
            </w:r>
          </w:p>
        </w:tc>
      </w:tr>
      <w:tr w14:paraId="2A2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9163" w:type="dxa"/>
            <w:gridSpan w:val="7"/>
            <w:vAlign w:val="center"/>
          </w:tcPr>
          <w:p w14:paraId="4D6CC080">
            <w:pPr>
              <w:spacing w:line="400" w:lineRule="exact"/>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一、就业</w:t>
            </w:r>
          </w:p>
        </w:tc>
      </w:tr>
      <w:tr w14:paraId="2D83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77" w:type="dxa"/>
            <w:shd w:val="clear" w:color="auto" w:fill="auto"/>
            <w:vAlign w:val="center"/>
          </w:tcPr>
          <w:p w14:paraId="568B168B">
            <w:pPr>
              <w:spacing w:line="400" w:lineRule="exact"/>
              <w:jc w:val="center"/>
              <w:rPr>
                <w:rFonts w:ascii="Times New Roman" w:hAnsi="Times New Roman" w:eastAsia="宋体" w:cstheme="minorBidi"/>
                <w:color w:val="auto"/>
                <w:kern w:val="2"/>
                <w:sz w:val="21"/>
                <w:szCs w:val="21"/>
                <w:highlight w:val="none"/>
                <w:lang w:val="en-US" w:eastAsia="zh-CN" w:bidi="ar-SA"/>
              </w:rPr>
            </w:pPr>
            <w:r>
              <w:rPr>
                <w:rFonts w:ascii="Times New Roman" w:hAnsi="Times New Roman" w:eastAsia="宋体"/>
                <w:color w:val="auto"/>
                <w:szCs w:val="21"/>
                <w:highlight w:val="none"/>
              </w:rPr>
              <w:t>1</w:t>
            </w:r>
          </w:p>
        </w:tc>
        <w:tc>
          <w:tcPr>
            <w:tcW w:w="3520" w:type="dxa"/>
            <w:shd w:val="clear" w:color="auto" w:fill="auto"/>
            <w:vAlign w:val="center"/>
          </w:tcPr>
          <w:p w14:paraId="65C87C4D">
            <w:pPr>
              <w:spacing w:line="400" w:lineRule="exact"/>
              <w:jc w:val="center"/>
              <w:rPr>
                <w:rFonts w:ascii="Times New Roman" w:hAnsi="Times New Roman" w:eastAsia="宋体" w:cstheme="minorBidi"/>
                <w:color w:val="auto"/>
                <w:kern w:val="2"/>
                <w:sz w:val="21"/>
                <w:szCs w:val="21"/>
                <w:highlight w:val="none"/>
                <w:lang w:val="en-US" w:eastAsia="zh-CN" w:bidi="ar-SA"/>
              </w:rPr>
            </w:pPr>
            <w:r>
              <w:rPr>
                <w:rFonts w:ascii="Times New Roman" w:hAnsi="Times New Roman" w:eastAsia="宋体"/>
                <w:color w:val="auto"/>
                <w:szCs w:val="21"/>
                <w:highlight w:val="none"/>
              </w:rPr>
              <w:t>城镇新增就业人数</w:t>
            </w:r>
          </w:p>
        </w:tc>
        <w:tc>
          <w:tcPr>
            <w:tcW w:w="960" w:type="dxa"/>
            <w:shd w:val="clear" w:color="auto" w:fill="auto"/>
            <w:vAlign w:val="center"/>
          </w:tcPr>
          <w:p w14:paraId="34C221BF">
            <w:pPr>
              <w:spacing w:line="400" w:lineRule="exact"/>
              <w:jc w:val="center"/>
              <w:rPr>
                <w:rFonts w:ascii="Times New Roman" w:hAnsi="Times New Roman" w:eastAsia="宋体" w:cstheme="minorBidi"/>
                <w:color w:val="auto"/>
                <w:kern w:val="2"/>
                <w:sz w:val="21"/>
                <w:szCs w:val="21"/>
                <w:highlight w:val="none"/>
                <w:lang w:val="en-US" w:eastAsia="zh-CN" w:bidi="ar-SA"/>
              </w:rPr>
            </w:pPr>
            <w:r>
              <w:rPr>
                <w:rFonts w:ascii="Times New Roman" w:hAnsi="Times New Roman" w:eastAsia="宋体"/>
                <w:color w:val="auto"/>
                <w:szCs w:val="21"/>
                <w:highlight w:val="none"/>
              </w:rPr>
              <w:t>万人</w:t>
            </w:r>
          </w:p>
        </w:tc>
        <w:tc>
          <w:tcPr>
            <w:tcW w:w="979" w:type="dxa"/>
            <w:shd w:val="clear" w:color="auto" w:fill="auto"/>
            <w:vAlign w:val="center"/>
          </w:tcPr>
          <w:p w14:paraId="70B2C844">
            <w:pPr>
              <w:spacing w:line="400" w:lineRule="exact"/>
              <w:jc w:val="center"/>
              <w:rPr>
                <w:rFonts w:ascii="Times New Roman" w:hAnsi="Times New Roman" w:eastAsia="宋体" w:cstheme="minorBidi"/>
                <w:color w:val="auto"/>
                <w:kern w:val="2"/>
                <w:sz w:val="21"/>
                <w:szCs w:val="21"/>
                <w:highlight w:val="none"/>
                <w:lang w:val="en-US" w:eastAsia="zh-CN" w:bidi="ar-SA"/>
              </w:rPr>
            </w:pPr>
            <w:r>
              <w:rPr>
                <w:rFonts w:ascii="Times New Roman" w:hAnsi="Times New Roman" w:eastAsia="宋体"/>
                <w:color w:val="auto"/>
                <w:szCs w:val="21"/>
                <w:highlight w:val="none"/>
              </w:rPr>
              <w:t>[3.</w:t>
            </w:r>
            <w:r>
              <w:rPr>
                <w:rFonts w:hint="eastAsia" w:ascii="Times New Roman" w:hAnsi="Times New Roman" w:eastAsia="宋体"/>
                <w:color w:val="auto"/>
                <w:szCs w:val="21"/>
                <w:highlight w:val="none"/>
              </w:rPr>
              <w:t>0</w:t>
            </w:r>
            <w:r>
              <w:rPr>
                <w:rFonts w:ascii="Times New Roman" w:hAnsi="Times New Roman" w:eastAsia="宋体"/>
                <w:color w:val="auto"/>
                <w:szCs w:val="21"/>
                <w:highlight w:val="none"/>
              </w:rPr>
              <w:t>]</w:t>
            </w:r>
          </w:p>
        </w:tc>
        <w:tc>
          <w:tcPr>
            <w:tcW w:w="941" w:type="dxa"/>
            <w:shd w:val="clear" w:color="auto" w:fill="auto"/>
            <w:vAlign w:val="center"/>
          </w:tcPr>
          <w:p w14:paraId="28EADB15">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lang w:val="en-US" w:eastAsia="zh-CN"/>
              </w:rPr>
              <w:t>3.63</w:t>
            </w:r>
            <w:r>
              <w:rPr>
                <w:rFonts w:ascii="Times New Roman" w:hAnsi="Times New Roman" w:eastAsia="宋体"/>
                <w:color w:val="auto"/>
                <w:szCs w:val="21"/>
                <w:highlight w:val="none"/>
              </w:rPr>
              <w:t>]</w:t>
            </w:r>
          </w:p>
        </w:tc>
        <w:tc>
          <w:tcPr>
            <w:tcW w:w="1071" w:type="dxa"/>
            <w:shd w:val="clear" w:color="auto" w:fill="auto"/>
            <w:vAlign w:val="center"/>
          </w:tcPr>
          <w:p w14:paraId="1D25FE8D">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121%</w:t>
            </w:r>
          </w:p>
        </w:tc>
        <w:tc>
          <w:tcPr>
            <w:tcW w:w="1015" w:type="dxa"/>
            <w:shd w:val="clear" w:color="auto" w:fill="auto"/>
            <w:vAlign w:val="center"/>
          </w:tcPr>
          <w:p w14:paraId="555378C0">
            <w:pPr>
              <w:spacing w:line="400" w:lineRule="exact"/>
              <w:jc w:val="center"/>
              <w:rPr>
                <w:rFonts w:ascii="Times New Roman" w:hAnsi="Times New Roman" w:eastAsia="宋体" w:cstheme="minorBidi"/>
                <w:color w:val="auto"/>
                <w:kern w:val="2"/>
                <w:sz w:val="21"/>
                <w:szCs w:val="21"/>
                <w:highlight w:val="none"/>
                <w:lang w:val="en-US" w:eastAsia="zh-CN" w:bidi="ar-SA"/>
              </w:rPr>
            </w:pPr>
            <w:r>
              <w:rPr>
                <w:rFonts w:ascii="Times New Roman" w:hAnsi="Times New Roman" w:eastAsia="宋体"/>
                <w:color w:val="auto"/>
                <w:szCs w:val="21"/>
                <w:highlight w:val="none"/>
              </w:rPr>
              <w:t>预期性</w:t>
            </w:r>
          </w:p>
        </w:tc>
      </w:tr>
      <w:tr w14:paraId="40FD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9163" w:type="dxa"/>
            <w:gridSpan w:val="7"/>
            <w:vAlign w:val="center"/>
          </w:tcPr>
          <w:p w14:paraId="00A5AE8E">
            <w:pPr>
              <w:spacing w:line="400" w:lineRule="exact"/>
              <w:jc w:val="left"/>
              <w:rPr>
                <w:rFonts w:ascii="Times New Roman" w:hAnsi="Times New Roman" w:eastAsia="宋体"/>
                <w:color w:val="auto"/>
                <w:szCs w:val="21"/>
                <w:highlight w:val="none"/>
              </w:rPr>
            </w:pPr>
            <w:r>
              <w:rPr>
                <w:rFonts w:ascii="Times New Roman" w:hAnsi="Times New Roman" w:eastAsia="宋体"/>
                <w:color w:val="auto"/>
                <w:szCs w:val="21"/>
                <w:highlight w:val="none"/>
              </w:rPr>
              <w:t>二、社会保障</w:t>
            </w:r>
          </w:p>
        </w:tc>
      </w:tr>
      <w:tr w14:paraId="4835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677" w:type="dxa"/>
            <w:shd w:val="clear" w:color="auto" w:fill="auto"/>
            <w:vAlign w:val="center"/>
          </w:tcPr>
          <w:p w14:paraId="340E0B9A">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2</w:t>
            </w:r>
          </w:p>
        </w:tc>
        <w:tc>
          <w:tcPr>
            <w:tcW w:w="3520" w:type="dxa"/>
            <w:vAlign w:val="center"/>
          </w:tcPr>
          <w:p w14:paraId="6D9B217E">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基本养老保险参保率</w:t>
            </w:r>
          </w:p>
        </w:tc>
        <w:tc>
          <w:tcPr>
            <w:tcW w:w="960" w:type="dxa"/>
            <w:vAlign w:val="center"/>
          </w:tcPr>
          <w:p w14:paraId="0E9CDAE0">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979" w:type="dxa"/>
            <w:vAlign w:val="center"/>
          </w:tcPr>
          <w:p w14:paraId="665FFBB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95</w:t>
            </w:r>
          </w:p>
        </w:tc>
        <w:tc>
          <w:tcPr>
            <w:tcW w:w="941" w:type="dxa"/>
            <w:vAlign w:val="center"/>
          </w:tcPr>
          <w:p w14:paraId="223A61EE">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96.23</w:t>
            </w:r>
          </w:p>
        </w:tc>
        <w:tc>
          <w:tcPr>
            <w:tcW w:w="1071" w:type="dxa"/>
            <w:vAlign w:val="center"/>
          </w:tcPr>
          <w:p w14:paraId="00E19846">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101.29</w:t>
            </w:r>
            <w:r>
              <w:rPr>
                <w:rFonts w:ascii="Times New Roman" w:hAnsi="Times New Roman" w:eastAsia="宋体"/>
                <w:color w:val="auto"/>
                <w:szCs w:val="21"/>
                <w:highlight w:val="none"/>
              </w:rPr>
              <w:t>%</w:t>
            </w:r>
          </w:p>
        </w:tc>
        <w:tc>
          <w:tcPr>
            <w:tcW w:w="1015" w:type="dxa"/>
            <w:vAlign w:val="center"/>
          </w:tcPr>
          <w:p w14:paraId="52BE5345">
            <w:pPr>
              <w:widowControl/>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14:paraId="10D3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77" w:type="dxa"/>
            <w:shd w:val="clear" w:color="auto" w:fill="auto"/>
            <w:vAlign w:val="center"/>
          </w:tcPr>
          <w:p w14:paraId="1E168434">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3</w:t>
            </w:r>
          </w:p>
        </w:tc>
        <w:tc>
          <w:tcPr>
            <w:tcW w:w="3520" w:type="dxa"/>
            <w:vAlign w:val="center"/>
          </w:tcPr>
          <w:p w14:paraId="3AB2609C">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960" w:type="dxa"/>
            <w:vAlign w:val="center"/>
          </w:tcPr>
          <w:p w14:paraId="64CE760B">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979" w:type="dxa"/>
            <w:vAlign w:val="center"/>
          </w:tcPr>
          <w:p w14:paraId="692EF41F">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10.47</w:t>
            </w:r>
          </w:p>
        </w:tc>
        <w:tc>
          <w:tcPr>
            <w:tcW w:w="941" w:type="dxa"/>
            <w:vAlign w:val="center"/>
          </w:tcPr>
          <w:p w14:paraId="12D12D87">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11.93</w:t>
            </w:r>
          </w:p>
        </w:tc>
        <w:tc>
          <w:tcPr>
            <w:tcW w:w="1071" w:type="dxa"/>
            <w:vAlign w:val="center"/>
          </w:tcPr>
          <w:p w14:paraId="081A7BBA">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113.94%</w:t>
            </w:r>
          </w:p>
        </w:tc>
        <w:tc>
          <w:tcPr>
            <w:tcW w:w="1015" w:type="dxa"/>
            <w:vAlign w:val="center"/>
          </w:tcPr>
          <w:p w14:paraId="3CBDE568">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14:paraId="5013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77" w:type="dxa"/>
            <w:vAlign w:val="center"/>
          </w:tcPr>
          <w:p w14:paraId="1773B3DF">
            <w:pPr>
              <w:spacing w:line="400" w:lineRule="exact"/>
              <w:jc w:val="center"/>
              <w:rPr>
                <w:rFonts w:hint="eastAsia"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4</w:t>
            </w:r>
          </w:p>
        </w:tc>
        <w:tc>
          <w:tcPr>
            <w:tcW w:w="3520" w:type="dxa"/>
            <w:vAlign w:val="center"/>
          </w:tcPr>
          <w:p w14:paraId="5ED22F1E">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960" w:type="dxa"/>
            <w:vAlign w:val="center"/>
          </w:tcPr>
          <w:p w14:paraId="3607F587">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979" w:type="dxa"/>
            <w:vAlign w:val="center"/>
          </w:tcPr>
          <w:p w14:paraId="394A855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11.94</w:t>
            </w:r>
          </w:p>
        </w:tc>
        <w:tc>
          <w:tcPr>
            <w:tcW w:w="941" w:type="dxa"/>
            <w:vAlign w:val="center"/>
          </w:tcPr>
          <w:p w14:paraId="02E1AA5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14.68</w:t>
            </w:r>
          </w:p>
        </w:tc>
        <w:tc>
          <w:tcPr>
            <w:tcW w:w="1071" w:type="dxa"/>
            <w:vAlign w:val="center"/>
          </w:tcPr>
          <w:p w14:paraId="641B8AF1">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122.95%</w:t>
            </w:r>
          </w:p>
        </w:tc>
        <w:tc>
          <w:tcPr>
            <w:tcW w:w="1015" w:type="dxa"/>
            <w:vAlign w:val="center"/>
          </w:tcPr>
          <w:p w14:paraId="718567F9">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14:paraId="537B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9163" w:type="dxa"/>
            <w:gridSpan w:val="7"/>
            <w:vAlign w:val="center"/>
          </w:tcPr>
          <w:p w14:paraId="186CE3EB">
            <w:pPr>
              <w:spacing w:line="400" w:lineRule="exact"/>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三、人才队伍建设</w:t>
            </w:r>
          </w:p>
        </w:tc>
      </w:tr>
      <w:tr w14:paraId="2F78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677" w:type="dxa"/>
            <w:shd w:val="clear" w:color="auto" w:fill="auto"/>
            <w:vAlign w:val="center"/>
          </w:tcPr>
          <w:p w14:paraId="2D7BD42B">
            <w:pPr>
              <w:spacing w:line="400" w:lineRule="exact"/>
              <w:jc w:val="center"/>
              <w:rPr>
                <w:rFonts w:hint="eastAsia"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5</w:t>
            </w:r>
          </w:p>
        </w:tc>
        <w:tc>
          <w:tcPr>
            <w:tcW w:w="3520" w:type="dxa"/>
            <w:vAlign w:val="center"/>
          </w:tcPr>
          <w:p w14:paraId="542D518A">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eastAsia="zh-CN"/>
              </w:rPr>
              <w:t>新增产业工程师人数</w:t>
            </w:r>
          </w:p>
        </w:tc>
        <w:tc>
          <w:tcPr>
            <w:tcW w:w="960" w:type="dxa"/>
            <w:vAlign w:val="center"/>
          </w:tcPr>
          <w:p w14:paraId="7F24900A">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eastAsia="zh-CN"/>
              </w:rPr>
              <w:t>人</w:t>
            </w:r>
          </w:p>
        </w:tc>
        <w:tc>
          <w:tcPr>
            <w:tcW w:w="979" w:type="dxa"/>
            <w:vAlign w:val="center"/>
          </w:tcPr>
          <w:p w14:paraId="61577BEE">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rPr>
              <w:t>[</w:t>
            </w:r>
            <w:r>
              <w:rPr>
                <w:rFonts w:hint="eastAsia" w:ascii="Times New Roman" w:hAnsi="Times New Roman" w:eastAsia="宋体"/>
                <w:color w:val="auto"/>
                <w:szCs w:val="21"/>
                <w:highlight w:val="none"/>
                <w:lang w:val="en-US" w:eastAsia="zh-CN"/>
              </w:rPr>
              <w:t>800</w:t>
            </w:r>
            <w:r>
              <w:rPr>
                <w:rFonts w:hint="eastAsia" w:ascii="Times New Roman" w:hAnsi="Times New Roman" w:eastAsia="宋体"/>
                <w:color w:val="auto"/>
                <w:szCs w:val="21"/>
                <w:highlight w:val="none"/>
              </w:rPr>
              <w:t>]</w:t>
            </w:r>
          </w:p>
        </w:tc>
        <w:tc>
          <w:tcPr>
            <w:tcW w:w="941" w:type="dxa"/>
            <w:vAlign w:val="center"/>
          </w:tcPr>
          <w:p w14:paraId="43BD4458">
            <w:pPr>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[1514]</w:t>
            </w:r>
          </w:p>
        </w:tc>
        <w:tc>
          <w:tcPr>
            <w:tcW w:w="1071" w:type="dxa"/>
            <w:vAlign w:val="center"/>
          </w:tcPr>
          <w:p w14:paraId="09267AE9">
            <w:pPr>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189.25%</w:t>
            </w:r>
          </w:p>
        </w:tc>
        <w:tc>
          <w:tcPr>
            <w:tcW w:w="1015" w:type="dxa"/>
            <w:vAlign w:val="center"/>
          </w:tcPr>
          <w:p w14:paraId="5F3FC57C">
            <w:pPr>
              <w:spacing w:line="400" w:lineRule="exact"/>
              <w:jc w:val="center"/>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456D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677" w:type="dxa"/>
            <w:shd w:val="clear" w:color="auto" w:fill="auto"/>
            <w:vAlign w:val="center"/>
          </w:tcPr>
          <w:p w14:paraId="7AFD9DE5">
            <w:pPr>
              <w:spacing w:line="400" w:lineRule="exact"/>
              <w:jc w:val="center"/>
              <w:rPr>
                <w:rFonts w:hint="eastAsia"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6</w:t>
            </w:r>
          </w:p>
        </w:tc>
        <w:tc>
          <w:tcPr>
            <w:tcW w:w="3520" w:type="dxa"/>
            <w:vAlign w:val="center"/>
          </w:tcPr>
          <w:p w14:paraId="37AA2EC6">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eastAsia="zh-CN"/>
              </w:rPr>
              <w:t>新增急需紧缺博士人才人数</w:t>
            </w:r>
          </w:p>
        </w:tc>
        <w:tc>
          <w:tcPr>
            <w:tcW w:w="960" w:type="dxa"/>
            <w:vAlign w:val="center"/>
          </w:tcPr>
          <w:p w14:paraId="7D471C52">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eastAsia="zh-CN"/>
              </w:rPr>
              <w:t>人</w:t>
            </w:r>
          </w:p>
        </w:tc>
        <w:tc>
          <w:tcPr>
            <w:tcW w:w="979" w:type="dxa"/>
            <w:vAlign w:val="center"/>
          </w:tcPr>
          <w:p w14:paraId="3DDB5285">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rPr>
              <w:t>[</w:t>
            </w:r>
            <w:r>
              <w:rPr>
                <w:rFonts w:hint="eastAsia" w:ascii="Times New Roman" w:hAnsi="Times New Roman" w:eastAsia="宋体"/>
                <w:color w:val="auto"/>
                <w:szCs w:val="21"/>
                <w:highlight w:val="none"/>
                <w:lang w:val="en-US" w:eastAsia="zh-CN"/>
              </w:rPr>
              <w:t>41</w:t>
            </w:r>
            <w:r>
              <w:rPr>
                <w:rFonts w:hint="eastAsia" w:ascii="Times New Roman" w:hAnsi="Times New Roman" w:eastAsia="宋体"/>
                <w:color w:val="auto"/>
                <w:szCs w:val="21"/>
                <w:highlight w:val="none"/>
              </w:rPr>
              <w:t>]</w:t>
            </w:r>
          </w:p>
        </w:tc>
        <w:tc>
          <w:tcPr>
            <w:tcW w:w="941" w:type="dxa"/>
            <w:vAlign w:val="center"/>
          </w:tcPr>
          <w:p w14:paraId="74D159A6">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rPr>
              <w:t>[</w:t>
            </w:r>
            <w:r>
              <w:rPr>
                <w:rFonts w:hint="eastAsia" w:ascii="Times New Roman" w:hAnsi="Times New Roman" w:eastAsia="宋体"/>
                <w:color w:val="auto"/>
                <w:szCs w:val="21"/>
                <w:highlight w:val="none"/>
                <w:lang w:val="en-US" w:eastAsia="zh-CN"/>
              </w:rPr>
              <w:t>65</w:t>
            </w:r>
            <w:r>
              <w:rPr>
                <w:rFonts w:hint="eastAsia" w:ascii="Times New Roman" w:hAnsi="Times New Roman" w:eastAsia="宋体"/>
                <w:color w:val="auto"/>
                <w:szCs w:val="21"/>
                <w:highlight w:val="none"/>
              </w:rPr>
              <w:t>]</w:t>
            </w:r>
          </w:p>
        </w:tc>
        <w:tc>
          <w:tcPr>
            <w:tcW w:w="1071" w:type="dxa"/>
            <w:vAlign w:val="center"/>
          </w:tcPr>
          <w:p w14:paraId="1E5EB116">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stheme="minorBidi"/>
                <w:color w:val="auto"/>
                <w:kern w:val="2"/>
                <w:sz w:val="21"/>
                <w:szCs w:val="21"/>
                <w:highlight w:val="none"/>
                <w:lang w:val="en-US" w:eastAsia="zh-CN" w:bidi="ar-SA"/>
              </w:rPr>
              <w:t>158.54%</w:t>
            </w:r>
          </w:p>
        </w:tc>
        <w:tc>
          <w:tcPr>
            <w:tcW w:w="1015" w:type="dxa"/>
            <w:vAlign w:val="center"/>
          </w:tcPr>
          <w:p w14:paraId="3D50938F">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eastAsia="zh-CN"/>
              </w:rPr>
              <w:t>预期性</w:t>
            </w:r>
          </w:p>
        </w:tc>
      </w:tr>
      <w:tr w14:paraId="6250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677" w:type="dxa"/>
            <w:shd w:val="clear" w:color="auto" w:fill="auto"/>
            <w:vAlign w:val="center"/>
          </w:tcPr>
          <w:p w14:paraId="7F712F9D">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7</w:t>
            </w:r>
          </w:p>
        </w:tc>
        <w:tc>
          <w:tcPr>
            <w:tcW w:w="3520" w:type="dxa"/>
            <w:vAlign w:val="center"/>
          </w:tcPr>
          <w:p w14:paraId="50AB39CD">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新增专业技术人才人数</w:t>
            </w:r>
          </w:p>
        </w:tc>
        <w:tc>
          <w:tcPr>
            <w:tcW w:w="960" w:type="dxa"/>
            <w:vAlign w:val="center"/>
          </w:tcPr>
          <w:p w14:paraId="7CC7AEE4">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979" w:type="dxa"/>
            <w:vAlign w:val="center"/>
          </w:tcPr>
          <w:p w14:paraId="5FCB9211">
            <w:pPr>
              <w:spacing w:line="400" w:lineRule="exact"/>
              <w:jc w:val="center"/>
              <w:rPr>
                <w:rFonts w:ascii="Times New Roman" w:hAnsi="Times New Roman" w:eastAsia="宋体"/>
                <w:strike w:val="0"/>
                <w:dstrike w:val="0"/>
                <w:color w:val="auto"/>
                <w:szCs w:val="21"/>
                <w:highlight w:val="none"/>
              </w:rPr>
            </w:pPr>
            <w:r>
              <w:rPr>
                <w:rFonts w:hint="eastAsia" w:ascii="Times New Roman" w:hAnsi="Times New Roman" w:eastAsia="宋体"/>
                <w:strike w:val="0"/>
                <w:dstrike w:val="0"/>
                <w:color w:val="auto"/>
                <w:szCs w:val="21"/>
                <w:highlight w:val="none"/>
              </w:rPr>
              <w:t>[</w:t>
            </w:r>
            <w:r>
              <w:rPr>
                <w:rFonts w:hint="eastAsia" w:ascii="Times New Roman" w:hAnsi="Times New Roman" w:eastAsia="宋体"/>
                <w:strike w:val="0"/>
                <w:dstrike w:val="0"/>
                <w:color w:val="auto"/>
                <w:szCs w:val="21"/>
                <w:highlight w:val="none"/>
                <w:lang w:val="en-US" w:eastAsia="zh-CN"/>
              </w:rPr>
              <w:t>0.61</w:t>
            </w:r>
            <w:r>
              <w:rPr>
                <w:rFonts w:hint="eastAsia" w:ascii="Times New Roman" w:hAnsi="Times New Roman" w:eastAsia="宋体"/>
                <w:strike w:val="0"/>
                <w:dstrike w:val="0"/>
                <w:color w:val="auto"/>
                <w:szCs w:val="21"/>
                <w:highlight w:val="none"/>
              </w:rPr>
              <w:t>]</w:t>
            </w:r>
          </w:p>
        </w:tc>
        <w:tc>
          <w:tcPr>
            <w:tcW w:w="941" w:type="dxa"/>
            <w:vAlign w:val="center"/>
          </w:tcPr>
          <w:p w14:paraId="146C659C">
            <w:pPr>
              <w:spacing w:line="400" w:lineRule="exact"/>
              <w:jc w:val="center"/>
              <w:rPr>
                <w:rFonts w:hint="default" w:ascii="Times New Roman" w:hAnsi="Times New Roman" w:eastAsia="宋体"/>
                <w:strike w:val="0"/>
                <w:dstrike w:val="0"/>
                <w:color w:val="auto"/>
                <w:szCs w:val="21"/>
                <w:highlight w:val="none"/>
                <w:lang w:val="en-US"/>
              </w:rPr>
            </w:pPr>
            <w:r>
              <w:rPr>
                <w:rFonts w:hint="eastAsia" w:ascii="Times New Roman" w:hAnsi="Times New Roman" w:eastAsia="宋体"/>
                <w:strike w:val="0"/>
                <w:dstrike w:val="0"/>
                <w:color w:val="auto"/>
                <w:sz w:val="21"/>
                <w:szCs w:val="21"/>
                <w:highlight w:val="none"/>
                <w:lang w:val="en-US" w:eastAsia="zh-CN"/>
              </w:rPr>
              <w:t>[0.62]</w:t>
            </w:r>
          </w:p>
        </w:tc>
        <w:tc>
          <w:tcPr>
            <w:tcW w:w="1071" w:type="dxa"/>
            <w:vAlign w:val="center"/>
          </w:tcPr>
          <w:p w14:paraId="10A95A47">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shd w:val="clear" w:color="auto" w:fill="auto"/>
                <w:lang w:val="en-US" w:eastAsia="zh-CN"/>
              </w:rPr>
              <w:t>101.54%</w:t>
            </w:r>
          </w:p>
        </w:tc>
        <w:tc>
          <w:tcPr>
            <w:tcW w:w="1015" w:type="dxa"/>
            <w:vAlign w:val="center"/>
          </w:tcPr>
          <w:p w14:paraId="6D8670FB">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4824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677" w:type="dxa"/>
            <w:shd w:val="clear" w:color="auto" w:fill="auto"/>
            <w:vAlign w:val="center"/>
          </w:tcPr>
          <w:p w14:paraId="281628E5">
            <w:pPr>
              <w:spacing w:line="400" w:lineRule="exact"/>
              <w:jc w:val="center"/>
              <w:rPr>
                <w:rFonts w:hint="eastAsia"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8</w:t>
            </w:r>
          </w:p>
        </w:tc>
        <w:tc>
          <w:tcPr>
            <w:tcW w:w="3520" w:type="dxa"/>
            <w:vAlign w:val="center"/>
          </w:tcPr>
          <w:p w14:paraId="5051C1DA">
            <w:pPr>
              <w:spacing w:line="400" w:lineRule="exact"/>
              <w:jc w:val="center"/>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lang w:eastAsia="zh-CN"/>
              </w:rPr>
              <w:t>新增技能人才人数</w:t>
            </w:r>
          </w:p>
        </w:tc>
        <w:tc>
          <w:tcPr>
            <w:tcW w:w="960" w:type="dxa"/>
            <w:vAlign w:val="center"/>
          </w:tcPr>
          <w:p w14:paraId="15683B91">
            <w:pPr>
              <w:spacing w:line="400" w:lineRule="exact"/>
              <w:jc w:val="center"/>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lang w:eastAsia="zh-CN"/>
              </w:rPr>
              <w:t>万人</w:t>
            </w:r>
          </w:p>
        </w:tc>
        <w:tc>
          <w:tcPr>
            <w:tcW w:w="979" w:type="dxa"/>
            <w:vAlign w:val="center"/>
          </w:tcPr>
          <w:p w14:paraId="05F4338B">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r>
              <w:rPr>
                <w:rFonts w:hint="eastAsia" w:ascii="Times New Roman" w:hAnsi="Times New Roman" w:eastAsia="宋体"/>
                <w:color w:val="auto"/>
                <w:szCs w:val="21"/>
                <w:highlight w:val="none"/>
                <w:lang w:val="en-US" w:eastAsia="zh-CN"/>
              </w:rPr>
              <w:t>1.79</w:t>
            </w:r>
            <w:r>
              <w:rPr>
                <w:rFonts w:hint="eastAsia" w:ascii="Times New Roman" w:hAnsi="Times New Roman" w:eastAsia="宋体"/>
                <w:color w:val="auto"/>
                <w:szCs w:val="21"/>
                <w:highlight w:val="none"/>
              </w:rPr>
              <w:t>]</w:t>
            </w:r>
          </w:p>
        </w:tc>
        <w:tc>
          <w:tcPr>
            <w:tcW w:w="941" w:type="dxa"/>
            <w:vAlign w:val="center"/>
          </w:tcPr>
          <w:p w14:paraId="5B0790EA">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r>
              <w:rPr>
                <w:rFonts w:hint="eastAsia" w:ascii="Times New Roman" w:hAnsi="Times New Roman" w:eastAsia="宋体"/>
                <w:color w:val="auto"/>
                <w:szCs w:val="21"/>
                <w:highlight w:val="none"/>
                <w:lang w:val="en-US" w:eastAsia="zh-CN"/>
              </w:rPr>
              <w:t>1.95</w:t>
            </w:r>
            <w:r>
              <w:rPr>
                <w:rFonts w:hint="eastAsia" w:ascii="Times New Roman" w:hAnsi="Times New Roman" w:eastAsia="宋体"/>
                <w:color w:val="auto"/>
                <w:szCs w:val="21"/>
                <w:highlight w:val="none"/>
              </w:rPr>
              <w:t>]</w:t>
            </w:r>
          </w:p>
        </w:tc>
        <w:tc>
          <w:tcPr>
            <w:tcW w:w="1071" w:type="dxa"/>
            <w:vAlign w:val="center"/>
          </w:tcPr>
          <w:p w14:paraId="68AECFBE">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108.93%</w:t>
            </w:r>
          </w:p>
        </w:tc>
        <w:tc>
          <w:tcPr>
            <w:tcW w:w="1015" w:type="dxa"/>
            <w:vAlign w:val="center"/>
          </w:tcPr>
          <w:p w14:paraId="37A6792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56D4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677" w:type="dxa"/>
            <w:shd w:val="clear" w:color="auto" w:fill="auto"/>
            <w:vAlign w:val="center"/>
          </w:tcPr>
          <w:p w14:paraId="019062BF">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9</w:t>
            </w:r>
          </w:p>
        </w:tc>
        <w:tc>
          <w:tcPr>
            <w:tcW w:w="3520" w:type="dxa"/>
            <w:vAlign w:val="center"/>
          </w:tcPr>
          <w:p w14:paraId="2C33BFC4">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新增取得职业资格证书或职业技能等级证书人数</w:t>
            </w:r>
          </w:p>
        </w:tc>
        <w:tc>
          <w:tcPr>
            <w:tcW w:w="960" w:type="dxa"/>
            <w:vAlign w:val="center"/>
          </w:tcPr>
          <w:p w14:paraId="0E1CB604">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979" w:type="dxa"/>
            <w:vAlign w:val="center"/>
          </w:tcPr>
          <w:p w14:paraId="3E40F4B9">
            <w:pPr>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[13000]</w:t>
            </w:r>
          </w:p>
        </w:tc>
        <w:tc>
          <w:tcPr>
            <w:tcW w:w="941" w:type="dxa"/>
            <w:vAlign w:val="center"/>
          </w:tcPr>
          <w:p w14:paraId="6E84FE2D">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[19488]</w:t>
            </w:r>
          </w:p>
        </w:tc>
        <w:tc>
          <w:tcPr>
            <w:tcW w:w="1071" w:type="dxa"/>
            <w:vAlign w:val="center"/>
          </w:tcPr>
          <w:p w14:paraId="2C3440BA">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149.91</w:t>
            </w:r>
            <w:r>
              <w:rPr>
                <w:rFonts w:ascii="Times New Roman" w:hAnsi="Times New Roman" w:eastAsia="宋体"/>
                <w:color w:val="auto"/>
                <w:sz w:val="21"/>
                <w:szCs w:val="21"/>
                <w:highlight w:val="none"/>
              </w:rPr>
              <w:t>%</w:t>
            </w:r>
          </w:p>
        </w:tc>
        <w:tc>
          <w:tcPr>
            <w:tcW w:w="1015" w:type="dxa"/>
            <w:vAlign w:val="center"/>
          </w:tcPr>
          <w:p w14:paraId="30A827AC">
            <w:pPr>
              <w:spacing w:line="400" w:lineRule="exact"/>
              <w:jc w:val="center"/>
              <w:rPr>
                <w:rFonts w:ascii="宋体" w:hAnsi="宋体" w:eastAsia="宋体" w:cs="宋体"/>
                <w:color w:val="auto"/>
                <w:sz w:val="18"/>
                <w:szCs w:val="18"/>
                <w:highlight w:val="none"/>
              </w:rPr>
            </w:pPr>
            <w:r>
              <w:rPr>
                <w:rFonts w:hint="eastAsia" w:ascii="Times New Roman" w:hAnsi="Times New Roman" w:eastAsia="宋体"/>
                <w:color w:val="auto"/>
                <w:szCs w:val="21"/>
                <w:highlight w:val="none"/>
              </w:rPr>
              <w:t>预期性</w:t>
            </w:r>
          </w:p>
        </w:tc>
      </w:tr>
      <w:tr w14:paraId="16E2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trPr>
        <w:tc>
          <w:tcPr>
            <w:tcW w:w="677" w:type="dxa"/>
            <w:shd w:val="clear" w:color="auto" w:fill="auto"/>
            <w:vAlign w:val="center"/>
          </w:tcPr>
          <w:p w14:paraId="2C84D7C6">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10</w:t>
            </w:r>
          </w:p>
        </w:tc>
        <w:tc>
          <w:tcPr>
            <w:tcW w:w="3520" w:type="dxa"/>
            <w:vAlign w:val="center"/>
          </w:tcPr>
          <w:p w14:paraId="6D31A364">
            <w:pPr>
              <w:spacing w:line="400" w:lineRule="exact"/>
              <w:ind w:firstLine="420" w:firstLineChars="200"/>
              <w:jc w:val="both"/>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其中：新增取得高级工以上职业资格证书或职业技能等级证书人数</w:t>
            </w:r>
          </w:p>
        </w:tc>
        <w:tc>
          <w:tcPr>
            <w:tcW w:w="960" w:type="dxa"/>
            <w:vAlign w:val="center"/>
          </w:tcPr>
          <w:p w14:paraId="29F4E717">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979" w:type="dxa"/>
            <w:vAlign w:val="center"/>
          </w:tcPr>
          <w:p w14:paraId="660A5FA0">
            <w:pPr>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[4050]</w:t>
            </w:r>
          </w:p>
        </w:tc>
        <w:tc>
          <w:tcPr>
            <w:tcW w:w="941" w:type="dxa"/>
            <w:vAlign w:val="center"/>
          </w:tcPr>
          <w:p w14:paraId="0C501E28">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[5005]</w:t>
            </w:r>
          </w:p>
        </w:tc>
        <w:tc>
          <w:tcPr>
            <w:tcW w:w="1071" w:type="dxa"/>
            <w:vAlign w:val="center"/>
          </w:tcPr>
          <w:p w14:paraId="3587EE8A">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123.58</w:t>
            </w:r>
            <w:r>
              <w:rPr>
                <w:rFonts w:ascii="Times New Roman" w:hAnsi="Times New Roman" w:eastAsia="宋体"/>
                <w:color w:val="auto"/>
                <w:sz w:val="21"/>
                <w:szCs w:val="21"/>
                <w:highlight w:val="none"/>
              </w:rPr>
              <w:t>%</w:t>
            </w:r>
          </w:p>
        </w:tc>
        <w:tc>
          <w:tcPr>
            <w:tcW w:w="1015" w:type="dxa"/>
            <w:vAlign w:val="center"/>
          </w:tcPr>
          <w:p w14:paraId="4F45F9CD">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6999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677" w:type="dxa"/>
            <w:shd w:val="clear" w:color="auto" w:fill="auto"/>
            <w:vAlign w:val="center"/>
          </w:tcPr>
          <w:p w14:paraId="3CD6DCF5">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11</w:t>
            </w:r>
          </w:p>
        </w:tc>
        <w:tc>
          <w:tcPr>
            <w:tcW w:w="3520" w:type="dxa"/>
            <w:vAlign w:val="center"/>
          </w:tcPr>
          <w:p w14:paraId="68CC991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开展补贴性职业技能培训人次</w:t>
            </w:r>
          </w:p>
        </w:tc>
        <w:tc>
          <w:tcPr>
            <w:tcW w:w="960" w:type="dxa"/>
            <w:vAlign w:val="center"/>
          </w:tcPr>
          <w:p w14:paraId="12B5019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万人次</w:t>
            </w:r>
          </w:p>
        </w:tc>
        <w:tc>
          <w:tcPr>
            <w:tcW w:w="979" w:type="dxa"/>
            <w:vAlign w:val="center"/>
          </w:tcPr>
          <w:p w14:paraId="0D6D680F">
            <w:pPr>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[1.10]</w:t>
            </w:r>
          </w:p>
        </w:tc>
        <w:tc>
          <w:tcPr>
            <w:tcW w:w="941" w:type="dxa"/>
            <w:vAlign w:val="center"/>
          </w:tcPr>
          <w:p w14:paraId="660E5B12">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[3.08]</w:t>
            </w:r>
          </w:p>
        </w:tc>
        <w:tc>
          <w:tcPr>
            <w:tcW w:w="1071" w:type="dxa"/>
            <w:vAlign w:val="center"/>
          </w:tcPr>
          <w:p w14:paraId="5AD83E43">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 w:val="21"/>
                <w:szCs w:val="21"/>
                <w:highlight w:val="none"/>
                <w:lang w:val="en-US" w:eastAsia="zh-CN"/>
              </w:rPr>
              <w:t>279.77%</w:t>
            </w:r>
          </w:p>
        </w:tc>
        <w:tc>
          <w:tcPr>
            <w:tcW w:w="1015" w:type="dxa"/>
            <w:vAlign w:val="center"/>
          </w:tcPr>
          <w:p w14:paraId="55B96B37">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43C8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677" w:type="dxa"/>
            <w:shd w:val="clear" w:color="auto" w:fill="auto"/>
            <w:vAlign w:val="center"/>
          </w:tcPr>
          <w:p w14:paraId="1A8533DC">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Cs w:val="21"/>
                <w:highlight w:val="none"/>
                <w:lang w:val="en-US" w:eastAsia="zh-CN"/>
              </w:rPr>
              <w:t>12</w:t>
            </w:r>
          </w:p>
        </w:tc>
        <w:tc>
          <w:tcPr>
            <w:tcW w:w="3520" w:type="dxa"/>
            <w:vAlign w:val="center"/>
          </w:tcPr>
          <w:p w14:paraId="639842CC">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“粤菜师傅”培训人次</w:t>
            </w:r>
          </w:p>
        </w:tc>
        <w:tc>
          <w:tcPr>
            <w:tcW w:w="960" w:type="dxa"/>
            <w:vAlign w:val="center"/>
          </w:tcPr>
          <w:p w14:paraId="0E973850">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人次</w:t>
            </w:r>
          </w:p>
        </w:tc>
        <w:tc>
          <w:tcPr>
            <w:tcW w:w="979" w:type="dxa"/>
            <w:vAlign w:val="center"/>
          </w:tcPr>
          <w:p w14:paraId="18990A59">
            <w:pPr>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[600]</w:t>
            </w:r>
          </w:p>
        </w:tc>
        <w:tc>
          <w:tcPr>
            <w:tcW w:w="941" w:type="dxa"/>
            <w:vAlign w:val="center"/>
          </w:tcPr>
          <w:p w14:paraId="417A28E8">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[1195]</w:t>
            </w:r>
          </w:p>
        </w:tc>
        <w:tc>
          <w:tcPr>
            <w:tcW w:w="1071" w:type="dxa"/>
            <w:vAlign w:val="center"/>
          </w:tcPr>
          <w:p w14:paraId="624BEB9E">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199.17</w:t>
            </w:r>
            <w:r>
              <w:rPr>
                <w:rFonts w:ascii="Times New Roman" w:hAnsi="Times New Roman" w:eastAsia="宋体"/>
                <w:color w:val="auto"/>
                <w:sz w:val="21"/>
                <w:szCs w:val="21"/>
                <w:highlight w:val="none"/>
              </w:rPr>
              <w:t>%</w:t>
            </w:r>
          </w:p>
        </w:tc>
        <w:tc>
          <w:tcPr>
            <w:tcW w:w="1015" w:type="dxa"/>
            <w:vAlign w:val="center"/>
          </w:tcPr>
          <w:p w14:paraId="1FBB94F6">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2D5B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677" w:type="dxa"/>
            <w:vAlign w:val="center"/>
          </w:tcPr>
          <w:p w14:paraId="64054AB7">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13</w:t>
            </w:r>
          </w:p>
        </w:tc>
        <w:tc>
          <w:tcPr>
            <w:tcW w:w="3520" w:type="dxa"/>
            <w:vAlign w:val="center"/>
          </w:tcPr>
          <w:p w14:paraId="2D392E42">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“南粤家政”培训人次</w:t>
            </w:r>
          </w:p>
        </w:tc>
        <w:tc>
          <w:tcPr>
            <w:tcW w:w="960" w:type="dxa"/>
            <w:vAlign w:val="center"/>
          </w:tcPr>
          <w:p w14:paraId="0E33E2F7">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人次</w:t>
            </w:r>
          </w:p>
        </w:tc>
        <w:tc>
          <w:tcPr>
            <w:tcW w:w="979" w:type="dxa"/>
            <w:vAlign w:val="center"/>
          </w:tcPr>
          <w:p w14:paraId="02FF94E4">
            <w:pPr>
              <w:spacing w:line="400" w:lineRule="exact"/>
              <w:jc w:val="center"/>
              <w:rPr>
                <w:rFonts w:ascii="Times New Roman" w:hAnsi="Times New Roman"/>
                <w:color w:val="auto"/>
                <w:sz w:val="18"/>
                <w:szCs w:val="18"/>
                <w:highlight w:val="none"/>
              </w:rPr>
            </w:pPr>
            <w:r>
              <w:rPr>
                <w:rFonts w:hint="eastAsia" w:ascii="Times New Roman" w:hAnsi="Times New Roman" w:eastAsia="宋体"/>
                <w:color w:val="auto"/>
                <w:sz w:val="21"/>
                <w:szCs w:val="21"/>
                <w:highlight w:val="none"/>
                <w:lang w:val="en-US" w:eastAsia="zh-CN"/>
              </w:rPr>
              <w:t>[4000]</w:t>
            </w:r>
          </w:p>
        </w:tc>
        <w:tc>
          <w:tcPr>
            <w:tcW w:w="941" w:type="dxa"/>
            <w:vAlign w:val="center"/>
          </w:tcPr>
          <w:p w14:paraId="24415CF4">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[8003]</w:t>
            </w:r>
          </w:p>
        </w:tc>
        <w:tc>
          <w:tcPr>
            <w:tcW w:w="1071" w:type="dxa"/>
            <w:vAlign w:val="center"/>
          </w:tcPr>
          <w:p w14:paraId="6B7BCF27">
            <w:pPr>
              <w:spacing w:line="400" w:lineRule="exact"/>
              <w:jc w:val="center"/>
              <w:rPr>
                <w:rFonts w:hint="default" w:ascii="Times New Roman" w:hAnsi="Times New Roman" w:eastAsia="宋体" w:cstheme="minorBidi"/>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200.08</w:t>
            </w:r>
            <w:r>
              <w:rPr>
                <w:rFonts w:ascii="Times New Roman" w:hAnsi="Times New Roman" w:eastAsia="宋体"/>
                <w:color w:val="auto"/>
                <w:sz w:val="21"/>
                <w:szCs w:val="21"/>
                <w:highlight w:val="none"/>
              </w:rPr>
              <w:t>%</w:t>
            </w:r>
          </w:p>
        </w:tc>
        <w:tc>
          <w:tcPr>
            <w:tcW w:w="1015" w:type="dxa"/>
            <w:vAlign w:val="center"/>
          </w:tcPr>
          <w:p w14:paraId="0DB97E2B">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14:paraId="794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9163" w:type="dxa"/>
            <w:gridSpan w:val="7"/>
            <w:vAlign w:val="center"/>
          </w:tcPr>
          <w:p w14:paraId="27F3827D">
            <w:pPr>
              <w:spacing w:line="400" w:lineRule="exact"/>
              <w:jc w:val="left"/>
              <w:rPr>
                <w:rFonts w:ascii="Times New Roman" w:hAnsi="Times New Roman" w:eastAsia="宋体"/>
                <w:color w:val="auto"/>
                <w:szCs w:val="21"/>
                <w:highlight w:val="none"/>
              </w:rPr>
            </w:pPr>
            <w:r>
              <w:rPr>
                <w:rFonts w:ascii="Times New Roman" w:hAnsi="Times New Roman" w:eastAsia="宋体"/>
                <w:color w:val="auto"/>
                <w:szCs w:val="21"/>
                <w:highlight w:val="none"/>
              </w:rPr>
              <w:t>四、劳动关系</w:t>
            </w:r>
          </w:p>
        </w:tc>
      </w:tr>
      <w:tr w14:paraId="6F10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77" w:type="dxa"/>
            <w:vAlign w:val="center"/>
          </w:tcPr>
          <w:p w14:paraId="6D10EB59">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14</w:t>
            </w:r>
          </w:p>
        </w:tc>
        <w:tc>
          <w:tcPr>
            <w:tcW w:w="3520" w:type="dxa"/>
            <w:vAlign w:val="center"/>
          </w:tcPr>
          <w:p w14:paraId="4A3E0C5A">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劳动人事争议调解成功率</w:t>
            </w:r>
          </w:p>
        </w:tc>
        <w:tc>
          <w:tcPr>
            <w:tcW w:w="960" w:type="dxa"/>
            <w:vAlign w:val="center"/>
          </w:tcPr>
          <w:p w14:paraId="4CB2EA7E">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979" w:type="dxa"/>
            <w:vAlign w:val="center"/>
          </w:tcPr>
          <w:p w14:paraId="1FD57D8E">
            <w:pPr>
              <w:spacing w:line="400" w:lineRule="exact"/>
              <w:jc w:val="center"/>
              <w:rPr>
                <w:rFonts w:ascii="Times New Roman" w:hAnsi="Times New Roman" w:eastAsia="宋体"/>
                <w:color w:val="auto"/>
                <w:szCs w:val="21"/>
                <w:highlight w:val="none"/>
              </w:rPr>
            </w:pPr>
            <w:r>
              <w:rPr>
                <w:rFonts w:hint="default" w:ascii="Times New Roman" w:hAnsi="Times New Roman" w:cs="Times New Roman"/>
                <w:color w:val="auto"/>
                <w:szCs w:val="21"/>
                <w:highlight w:val="none"/>
                <w:u w:val="none" w:color="auto"/>
              </w:rPr>
              <w:t>&gt;60</w:t>
            </w:r>
          </w:p>
        </w:tc>
        <w:tc>
          <w:tcPr>
            <w:tcW w:w="941" w:type="dxa"/>
            <w:vAlign w:val="center"/>
          </w:tcPr>
          <w:p w14:paraId="51F6B051">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87.02</w:t>
            </w:r>
          </w:p>
        </w:tc>
        <w:tc>
          <w:tcPr>
            <w:tcW w:w="1071" w:type="dxa"/>
            <w:vAlign w:val="center"/>
          </w:tcPr>
          <w:p w14:paraId="1CFCCF05">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145.03%</w:t>
            </w:r>
          </w:p>
        </w:tc>
        <w:tc>
          <w:tcPr>
            <w:tcW w:w="1015" w:type="dxa"/>
            <w:vAlign w:val="center"/>
          </w:tcPr>
          <w:p w14:paraId="30F06BD8">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14:paraId="5B68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677" w:type="dxa"/>
            <w:vAlign w:val="center"/>
          </w:tcPr>
          <w:p w14:paraId="51DFDF8A">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15</w:t>
            </w:r>
          </w:p>
        </w:tc>
        <w:tc>
          <w:tcPr>
            <w:tcW w:w="3520" w:type="dxa"/>
            <w:vAlign w:val="center"/>
          </w:tcPr>
          <w:p w14:paraId="6BCC98EE">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劳动人事争议仲裁结案率</w:t>
            </w:r>
          </w:p>
        </w:tc>
        <w:tc>
          <w:tcPr>
            <w:tcW w:w="960" w:type="dxa"/>
            <w:vAlign w:val="center"/>
          </w:tcPr>
          <w:p w14:paraId="2B4809B3">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979" w:type="dxa"/>
            <w:vAlign w:val="center"/>
          </w:tcPr>
          <w:p w14:paraId="3B040B8F">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w:t>
            </w:r>
            <w:r>
              <w:rPr>
                <w:rFonts w:hint="eastAsia" w:ascii="Times New Roman" w:hAnsi="Times New Roman" w:eastAsia="宋体"/>
                <w:color w:val="auto"/>
                <w:szCs w:val="21"/>
                <w:highlight w:val="none"/>
                <w:lang w:val="en-US" w:eastAsia="zh-CN"/>
              </w:rPr>
              <w:t>90</w:t>
            </w:r>
          </w:p>
        </w:tc>
        <w:tc>
          <w:tcPr>
            <w:tcW w:w="941" w:type="dxa"/>
            <w:vAlign w:val="center"/>
          </w:tcPr>
          <w:p w14:paraId="03684551">
            <w:pPr>
              <w:widowControl/>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99.19</w:t>
            </w:r>
          </w:p>
        </w:tc>
        <w:tc>
          <w:tcPr>
            <w:tcW w:w="1071" w:type="dxa"/>
            <w:vAlign w:val="center"/>
          </w:tcPr>
          <w:p w14:paraId="34660DFF">
            <w:pPr>
              <w:widowControl/>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110.21%</w:t>
            </w:r>
          </w:p>
        </w:tc>
        <w:tc>
          <w:tcPr>
            <w:tcW w:w="1015" w:type="dxa"/>
            <w:vAlign w:val="center"/>
          </w:tcPr>
          <w:p w14:paraId="430BA147">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14:paraId="366C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677" w:type="dxa"/>
            <w:vAlign w:val="center"/>
          </w:tcPr>
          <w:p w14:paraId="08191C97">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16</w:t>
            </w:r>
          </w:p>
        </w:tc>
        <w:tc>
          <w:tcPr>
            <w:tcW w:w="3520" w:type="dxa"/>
            <w:vAlign w:val="center"/>
          </w:tcPr>
          <w:p w14:paraId="49FEA1AD">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劳动保障监察举报投诉案件结案率</w:t>
            </w:r>
          </w:p>
        </w:tc>
        <w:tc>
          <w:tcPr>
            <w:tcW w:w="960" w:type="dxa"/>
            <w:vAlign w:val="center"/>
          </w:tcPr>
          <w:p w14:paraId="27B101F0">
            <w:pPr>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979" w:type="dxa"/>
            <w:vAlign w:val="center"/>
          </w:tcPr>
          <w:p w14:paraId="0DB8C1BA">
            <w:pPr>
              <w:spacing w:line="400" w:lineRule="exact"/>
              <w:jc w:val="center"/>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&gt;9</w:t>
            </w:r>
            <w:r>
              <w:rPr>
                <w:rFonts w:hint="eastAsia" w:ascii="Times New Roman" w:hAnsi="Times New Roman" w:eastAsia="宋体"/>
                <w:color w:val="auto"/>
                <w:szCs w:val="21"/>
                <w:highlight w:val="none"/>
                <w:lang w:val="en-US" w:eastAsia="zh-CN"/>
              </w:rPr>
              <w:t>6</w:t>
            </w:r>
          </w:p>
        </w:tc>
        <w:tc>
          <w:tcPr>
            <w:tcW w:w="941" w:type="dxa"/>
            <w:vAlign w:val="center"/>
          </w:tcPr>
          <w:p w14:paraId="3469D4F7">
            <w:pPr>
              <w:widowControl/>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100</w:t>
            </w:r>
          </w:p>
        </w:tc>
        <w:tc>
          <w:tcPr>
            <w:tcW w:w="1071" w:type="dxa"/>
            <w:vAlign w:val="center"/>
          </w:tcPr>
          <w:p w14:paraId="3FD602BD">
            <w:pPr>
              <w:widowControl/>
              <w:spacing w:line="40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100%</w:t>
            </w:r>
          </w:p>
        </w:tc>
        <w:tc>
          <w:tcPr>
            <w:tcW w:w="1015" w:type="dxa"/>
            <w:vAlign w:val="center"/>
          </w:tcPr>
          <w:p w14:paraId="00EA9CD6">
            <w:pPr>
              <w:spacing w:line="400" w:lineRule="exac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bl>
    <w:p w14:paraId="1C5C6C64">
      <w:pPr>
        <w:pStyle w:val="2"/>
        <w:rPr>
          <w:rFonts w:hint="eastAsia"/>
          <w:color w:val="auto"/>
          <w:highlight w:val="none"/>
        </w:rPr>
      </w:pPr>
      <w:r>
        <w:rPr>
          <w:rFonts w:hint="default" w:ascii="Times New Roman" w:hAnsi="Times New Roman" w:eastAsia="楷体_GB2312" w:cs="Times New Roman"/>
          <w:color w:val="auto"/>
          <w:sz w:val="20"/>
          <w:szCs w:val="20"/>
          <w:highlight w:val="none"/>
          <w:u w:val="none" w:color="auto"/>
        </w:rPr>
        <w:t>注：[  ]内为累计数</w:t>
      </w:r>
    </w:p>
    <w:p w14:paraId="4377700F">
      <w:pPr>
        <w:rPr>
          <w:rFonts w:ascii="仿宋_GB2312" w:hAnsi="仿宋_GB2312" w:eastAsia="仿宋_GB2312" w:cs="仿宋_GB2312"/>
          <w:color w:val="auto"/>
          <w:sz w:val="32"/>
          <w:szCs w:val="32"/>
          <w:highlight w:val="none"/>
        </w:rPr>
      </w:pPr>
    </w:p>
    <w:p w14:paraId="3C9D64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7" w:name="_Toc13296"/>
      <w:bookmarkStart w:id="8" w:name="_Toc27476"/>
      <w:bookmarkStart w:id="9" w:name="_Toc23597"/>
      <w:r>
        <w:rPr>
          <w:rFonts w:hint="eastAsia" w:ascii="楷体_GB2312" w:hAnsi="楷体_GB2312" w:eastAsia="楷体_GB2312" w:cs="楷体_GB2312"/>
          <w:color w:val="auto"/>
          <w:sz w:val="32"/>
          <w:szCs w:val="32"/>
          <w:highlight w:val="none"/>
        </w:rPr>
        <w:t>第二节 面临形势</w:t>
      </w:r>
      <w:bookmarkEnd w:id="7"/>
      <w:bookmarkEnd w:id="8"/>
      <w:bookmarkEnd w:id="9"/>
    </w:p>
    <w:p w14:paraId="28E84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从</w:t>
      </w:r>
      <w:r>
        <w:rPr>
          <w:rFonts w:hint="eastAsia" w:ascii="仿宋_GB2312" w:hAnsi="仿宋_GB2312" w:eastAsia="仿宋_GB2312" w:cs="仿宋_GB2312"/>
          <w:b w:val="0"/>
          <w:bCs w:val="0"/>
          <w:color w:val="auto"/>
          <w:sz w:val="32"/>
          <w:szCs w:val="32"/>
          <w:highlight w:val="none"/>
        </w:rPr>
        <w:t>发展</w:t>
      </w:r>
      <w:r>
        <w:rPr>
          <w:rFonts w:hint="eastAsia" w:ascii="仿宋_GB2312" w:hAnsi="仿宋_GB2312" w:eastAsia="仿宋_GB2312" w:cs="仿宋_GB2312"/>
          <w:b w:val="0"/>
          <w:bCs w:val="0"/>
          <w:color w:val="auto"/>
          <w:sz w:val="32"/>
          <w:szCs w:val="32"/>
          <w:highlight w:val="none"/>
          <w:lang w:eastAsia="zh-CN"/>
        </w:rPr>
        <w:t>机遇来看，</w:t>
      </w:r>
      <w:r>
        <w:rPr>
          <w:rFonts w:hint="eastAsia" w:ascii="仿宋_GB2312" w:hAnsi="仿宋_GB2312" w:eastAsia="仿宋_GB2312" w:cs="仿宋_GB2312"/>
          <w:color w:val="auto"/>
          <w:sz w:val="32"/>
          <w:szCs w:val="32"/>
          <w:highlight w:val="none"/>
          <w:lang w:eastAsia="zh-CN"/>
        </w:rPr>
        <w:t>党中央、国务院始终践行以人民为中心的发展思想，将不断满足人民日益增长的美好生活需要作为高质量发展的重要内容，将人口高质量发展作为中国式现代化的重要支撑，将全体人民共同富裕取得更为明显的实质性进展作为基本实现社会主义现代化的远景目标，对加快塑造现代化人力资源、发展新质生产力、促进高质量充分就业、推动社会保障事业高质量可持续发展等都作出了明确部署，为新时代人力资源社会保障工作提供了科学指引和行动指南。省委、省政府锚定在推进中国式现代化建设中走在前列的总目标，将粤港澳大湾区建设、现代化产业体系、城乡区域协调发展、建设人才强省、用心用情抓好民生社会事业等战略举措纳入省委“1310”具体部署，为我省人力资源社会保障事业发展拓展了新空间、带来了新机遇。市委、市政府提出要抢抓“大桥经济”“黄金内湾”历史机遇，对推动高质量充分就业、高水平人才高地建设、健全多层次高质量社会保障体系等工作作出了具体要求，明确了我市人力资源保障事业发展路径。</w:t>
      </w:r>
    </w:p>
    <w:p w14:paraId="7A03B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从面临形势看，</w:t>
      </w:r>
      <w:r>
        <w:rPr>
          <w:rFonts w:hint="eastAsia" w:ascii="仿宋_GB2312" w:hAnsi="仿宋_GB2312" w:eastAsia="仿宋_GB2312" w:cs="仿宋_GB2312"/>
          <w:b/>
          <w:bCs/>
          <w:color w:val="auto"/>
          <w:sz w:val="32"/>
          <w:szCs w:val="32"/>
          <w:highlight w:val="none"/>
          <w:lang w:val="en-US" w:eastAsia="zh-CN"/>
        </w:rPr>
        <w:t>经济环境日趋复杂，</w:t>
      </w:r>
      <w:r>
        <w:rPr>
          <w:rFonts w:hint="eastAsia" w:ascii="仿宋_GB2312" w:hAnsi="仿宋_GB2312" w:eastAsia="仿宋_GB2312" w:cs="仿宋_GB2312"/>
          <w:b/>
          <w:bCs/>
          <w:color w:val="auto"/>
          <w:sz w:val="32"/>
          <w:szCs w:val="32"/>
          <w:highlight w:val="none"/>
          <w:lang w:eastAsia="zh-CN"/>
        </w:rPr>
        <w:t>不稳定性不确定性明显增加。</w:t>
      </w:r>
      <w:r>
        <w:rPr>
          <w:rFonts w:hint="eastAsia" w:ascii="仿宋_GB2312" w:hAnsi="仿宋_GB2312" w:eastAsia="仿宋_GB2312" w:cs="仿宋_GB2312"/>
          <w:b w:val="0"/>
          <w:bCs w:val="0"/>
          <w:color w:val="auto"/>
          <w:sz w:val="32"/>
          <w:szCs w:val="32"/>
          <w:highlight w:val="none"/>
          <w:lang w:eastAsia="zh-CN"/>
        </w:rPr>
        <w:t>当今世界正经历百年未有之大变局，中美贸易战影响广泛深远，不稳定性不确定性明显增加，给就业局势稳定、社会保险运行、和谐劳动关系构建带来持续性影响。</w:t>
      </w:r>
      <w:r>
        <w:rPr>
          <w:rFonts w:hint="eastAsia" w:ascii="仿宋_GB2312" w:hAnsi="仿宋_GB2312" w:eastAsia="仿宋_GB2312" w:cs="仿宋_GB2312"/>
          <w:b/>
          <w:bCs/>
          <w:color w:val="auto"/>
          <w:sz w:val="32"/>
          <w:szCs w:val="32"/>
          <w:highlight w:val="none"/>
          <w:lang w:eastAsia="zh-CN"/>
        </w:rPr>
        <w:t>新经济新业态蓬勃发展，</w:t>
      </w:r>
      <w:r>
        <w:rPr>
          <w:rFonts w:hint="eastAsia" w:ascii="仿宋_GB2312" w:hAnsi="仿宋_GB2312" w:eastAsia="仿宋_GB2312" w:cs="仿宋_GB2312"/>
          <w:i w:val="0"/>
          <w:iCs w:val="0"/>
          <w:caps w:val="0"/>
          <w:color w:val="auto"/>
          <w:spacing w:val="0"/>
          <w:sz w:val="32"/>
          <w:szCs w:val="32"/>
          <w:highlight w:val="none"/>
          <w:shd w:val="clear"/>
        </w:rPr>
        <w:t>人社工作面临复杂多变的新情况新问题</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数字经济、共享经济等新业态快速发展，“平台型就业”“自雇型就业”“多重劳动关系”等新型就业形态不断涌现，给劳资关系认定处理以及基于传统劳动关系的社会保险参保和缴费制度带来冲击。</w:t>
      </w:r>
      <w:r>
        <w:rPr>
          <w:rFonts w:hint="eastAsia" w:ascii="仿宋_GB2312" w:hAnsi="仿宋_GB2312" w:eastAsia="仿宋_GB2312" w:cs="仿宋_GB2312"/>
          <w:b/>
          <w:bCs/>
          <w:color w:val="auto"/>
          <w:sz w:val="32"/>
          <w:szCs w:val="32"/>
          <w:highlight w:val="none"/>
          <w:lang w:eastAsia="zh-CN"/>
        </w:rPr>
        <w:t>创新引领特征更加明显，对人力资源供给提出更高要求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新一轮科技革命和产业变革深入发展，产业结构高端化步伐加快，人才作为科技创新的第一资源，是创新活动中最活跃、最积极的因素，将成为“十五五”时期经济社会发展的最重要驱动力。</w:t>
      </w:r>
      <w:r>
        <w:rPr>
          <w:rFonts w:hint="eastAsia" w:ascii="仿宋_GB2312" w:hAnsi="仿宋_GB2312" w:eastAsia="仿宋_GB2312" w:cs="仿宋_GB2312"/>
          <w:b/>
          <w:bCs/>
          <w:color w:val="auto"/>
          <w:sz w:val="32"/>
          <w:szCs w:val="32"/>
          <w:highlight w:val="none"/>
          <w:lang w:eastAsia="zh-CN"/>
        </w:rPr>
        <w:t>人口老龄化进入加速期，社会保障可持续运行迎来重大考验。</w:t>
      </w:r>
      <w:r>
        <w:rPr>
          <w:rFonts w:hint="eastAsia" w:ascii="仿宋_GB2312" w:hAnsi="仿宋_GB2312" w:eastAsia="仿宋_GB2312" w:cs="仿宋_GB2312"/>
          <w:b w:val="0"/>
          <w:bCs w:val="0"/>
          <w:color w:val="auto"/>
          <w:sz w:val="32"/>
          <w:szCs w:val="32"/>
          <w:highlight w:val="none"/>
          <w:lang w:eastAsia="zh-CN"/>
        </w:rPr>
        <w:t>随着人口结构步入深度老龄化，老年人口规模持续扩大，老年社会抚养系数快速上升，社会保障待遇的刚性增长，基本养老保险收支平衡压力进一步增大，养老制度和社会保障可持续性发展将迎来重大考验。</w:t>
      </w:r>
      <w:r>
        <w:rPr>
          <w:rFonts w:hint="eastAsia" w:ascii="仿宋_GB2312" w:hAnsi="仿宋_GB2312" w:eastAsia="仿宋_GB2312" w:cs="仿宋_GB2312"/>
          <w:b/>
          <w:bCs/>
          <w:color w:val="auto"/>
          <w:sz w:val="32"/>
          <w:szCs w:val="32"/>
          <w:highlight w:val="none"/>
          <w:lang w:eastAsia="zh-CN"/>
        </w:rPr>
        <w:t>人民日益增长的美好生活需要，驱使人社服务升级加紧加快。</w:t>
      </w:r>
      <w:r>
        <w:rPr>
          <w:rFonts w:hint="eastAsia" w:ascii="仿宋_GB2312" w:hAnsi="仿宋_GB2312" w:eastAsia="仿宋_GB2312" w:cs="仿宋_GB2312"/>
          <w:b w:val="0"/>
          <w:bCs w:val="0"/>
          <w:color w:val="auto"/>
          <w:sz w:val="32"/>
          <w:szCs w:val="32"/>
          <w:highlight w:val="none"/>
          <w:lang w:eastAsia="zh-CN"/>
        </w:rPr>
        <w:t>“十五五”时期收入分配调整将进入关键窗口期，满足人民群众对更体面的就业、更满意的收入、更完善的社保、更便捷的服务成为人社公共服务的重大课题。</w:t>
      </w:r>
    </w:p>
    <w:p w14:paraId="0D397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主要存在的问题有：</w:t>
      </w:r>
      <w:r>
        <w:rPr>
          <w:rFonts w:hint="eastAsia" w:ascii="仿宋_GB2312" w:hAnsi="仿宋_GB2312" w:eastAsia="仿宋_GB2312" w:cs="仿宋_GB2312"/>
          <w:b/>
          <w:bCs/>
          <w:color w:val="auto"/>
          <w:sz w:val="32"/>
          <w:szCs w:val="32"/>
          <w:highlight w:val="none"/>
          <w:lang w:eastAsia="zh-CN"/>
        </w:rPr>
        <w:t>就业结构性矛盾依然突出</w:t>
      </w:r>
      <w:r>
        <w:rPr>
          <w:rFonts w:hint="eastAsia" w:ascii="仿宋_GB2312" w:hAnsi="仿宋_GB2312" w:eastAsia="仿宋_GB2312" w:cs="仿宋_GB2312"/>
          <w:b w:val="0"/>
          <w:bCs w:val="0"/>
          <w:color w:val="auto"/>
          <w:sz w:val="32"/>
          <w:szCs w:val="32"/>
          <w:highlight w:val="none"/>
          <w:lang w:eastAsia="zh-CN"/>
        </w:rPr>
        <w:t>。一方面，</w:t>
      </w:r>
      <w:r>
        <w:rPr>
          <w:rFonts w:hint="eastAsia" w:ascii="仿宋_GB2312" w:hAnsi="仿宋_GB2312" w:eastAsia="仿宋_GB2312" w:cs="仿宋_GB2312"/>
          <w:b w:val="0"/>
          <w:bCs w:val="0"/>
          <w:color w:val="auto"/>
          <w:sz w:val="32"/>
          <w:szCs w:val="32"/>
          <w:highlight w:val="none"/>
          <w:lang w:val="en-US" w:eastAsia="zh-CN"/>
        </w:rPr>
        <w:t>开平</w:t>
      </w:r>
      <w:r>
        <w:rPr>
          <w:rFonts w:hint="eastAsia" w:ascii="仿宋_GB2312" w:hAnsi="仿宋_GB2312" w:eastAsia="仿宋_GB2312" w:cs="仿宋_GB2312"/>
          <w:b w:val="0"/>
          <w:bCs w:val="0"/>
          <w:color w:val="auto"/>
          <w:sz w:val="32"/>
          <w:szCs w:val="32"/>
          <w:highlight w:val="none"/>
          <w:lang w:eastAsia="zh-CN"/>
        </w:rPr>
        <w:t>市传统支柱产业面临升级阵痛，战略性新兴产业培育尚未形成规模效应，产业链协同与数字化水平仍有进步空间。</w:t>
      </w:r>
      <w:r>
        <w:rPr>
          <w:rFonts w:hint="eastAsia" w:ascii="仿宋_GB2312" w:hAnsi="仿宋_GB2312" w:eastAsia="仿宋_GB2312" w:cs="仿宋_GB2312"/>
          <w:b w:val="0"/>
          <w:bCs w:val="0"/>
          <w:color w:val="auto"/>
          <w:sz w:val="32"/>
          <w:szCs w:val="32"/>
          <w:highlight w:val="none"/>
          <w:lang w:val="en-US" w:eastAsia="zh-CN"/>
        </w:rPr>
        <w:t>目前，开平市产业发展急需的技能人才不足，特别是高技能人才不足，产业转型升级的人才力量支撑不足</w:t>
      </w:r>
      <w:r>
        <w:rPr>
          <w:rFonts w:hint="eastAsia" w:ascii="仿宋_GB2312" w:hAnsi="仿宋_GB2312" w:eastAsia="仿宋_GB2312" w:cs="仿宋_GB2312"/>
          <w:b w:val="0"/>
          <w:bCs w:val="0"/>
          <w:color w:val="auto"/>
          <w:sz w:val="32"/>
          <w:szCs w:val="32"/>
          <w:highlight w:val="none"/>
          <w:lang w:eastAsia="zh-CN"/>
        </w:rPr>
        <w:t>。另一方面，</w:t>
      </w:r>
      <w:r>
        <w:rPr>
          <w:rFonts w:hint="eastAsia" w:ascii="仿宋_GB2312" w:hAnsi="仿宋_GB2312" w:eastAsia="仿宋_GB2312" w:cs="仿宋_GB2312"/>
          <w:b w:val="0"/>
          <w:bCs w:val="0"/>
          <w:color w:val="auto"/>
          <w:sz w:val="32"/>
          <w:szCs w:val="32"/>
          <w:highlight w:val="none"/>
          <w:lang w:val="en-US" w:eastAsia="zh-CN"/>
        </w:rPr>
        <w:t>部分</w:t>
      </w:r>
      <w:r>
        <w:rPr>
          <w:rFonts w:hint="eastAsia" w:ascii="仿宋_GB2312" w:hAnsi="仿宋_GB2312" w:eastAsia="仿宋_GB2312" w:cs="仿宋_GB2312"/>
          <w:b w:val="0"/>
          <w:bCs w:val="0"/>
          <w:color w:val="auto"/>
          <w:sz w:val="32"/>
          <w:szCs w:val="32"/>
          <w:highlight w:val="none"/>
          <w:lang w:eastAsia="zh-CN"/>
        </w:rPr>
        <w:t>年轻人职业规划不</w:t>
      </w:r>
      <w:r>
        <w:rPr>
          <w:rFonts w:hint="eastAsia" w:ascii="仿宋_GB2312" w:hAnsi="仿宋_GB2312" w:eastAsia="仿宋_GB2312" w:cs="仿宋_GB2312"/>
          <w:b w:val="0"/>
          <w:bCs w:val="0"/>
          <w:color w:val="auto"/>
          <w:sz w:val="32"/>
          <w:szCs w:val="32"/>
          <w:highlight w:val="none"/>
          <w:lang w:val="en-US" w:eastAsia="zh-CN"/>
        </w:rPr>
        <w:t>够</w:t>
      </w:r>
      <w:r>
        <w:rPr>
          <w:rFonts w:hint="eastAsia" w:ascii="仿宋_GB2312" w:hAnsi="仿宋_GB2312" w:eastAsia="仿宋_GB2312" w:cs="仿宋_GB2312"/>
          <w:b w:val="0"/>
          <w:bCs w:val="0"/>
          <w:color w:val="auto"/>
          <w:sz w:val="32"/>
          <w:szCs w:val="32"/>
          <w:highlight w:val="none"/>
          <w:lang w:eastAsia="zh-CN"/>
        </w:rPr>
        <w:t>清晰，就业观念存在一定偏差，</w:t>
      </w:r>
      <w:r>
        <w:rPr>
          <w:rFonts w:hint="eastAsia" w:ascii="仿宋_GB2312" w:hAnsi="仿宋_GB2312" w:eastAsia="仿宋_GB2312" w:cs="仿宋_GB2312"/>
          <w:b w:val="0"/>
          <w:bCs w:val="0"/>
          <w:color w:val="auto"/>
          <w:sz w:val="32"/>
          <w:szCs w:val="32"/>
          <w:highlight w:val="none"/>
          <w:lang w:val="en-US" w:eastAsia="zh-CN"/>
        </w:rPr>
        <w:t>高校毕业生“慢就业”现象较为普遍，</w:t>
      </w:r>
      <w:r>
        <w:rPr>
          <w:rFonts w:hint="eastAsia" w:ascii="仿宋_GB2312" w:hAnsi="仿宋_GB2312" w:eastAsia="仿宋_GB2312" w:cs="仿宋_GB2312"/>
          <w:b w:val="0"/>
          <w:bCs w:val="0"/>
          <w:color w:val="auto"/>
          <w:sz w:val="32"/>
          <w:szCs w:val="32"/>
          <w:highlight w:val="none"/>
          <w:lang w:eastAsia="zh-CN"/>
        </w:rPr>
        <w:t>劳动者</w:t>
      </w:r>
      <w:r>
        <w:rPr>
          <w:rFonts w:hint="eastAsia" w:ascii="仿宋_GB2312" w:hAnsi="仿宋_GB2312" w:eastAsia="仿宋_GB2312" w:cs="仿宋_GB2312"/>
          <w:b w:val="0"/>
          <w:bCs w:val="0"/>
          <w:color w:val="auto"/>
          <w:sz w:val="32"/>
          <w:szCs w:val="32"/>
          <w:highlight w:val="none"/>
          <w:lang w:val="en-US" w:eastAsia="zh-CN"/>
        </w:rPr>
        <w:t>职业技能水平</w:t>
      </w:r>
      <w:r>
        <w:rPr>
          <w:rFonts w:hint="eastAsia" w:ascii="仿宋_GB2312" w:hAnsi="仿宋_GB2312" w:eastAsia="仿宋_GB2312" w:cs="仿宋_GB2312"/>
          <w:b w:val="0"/>
          <w:bCs w:val="0"/>
          <w:color w:val="auto"/>
          <w:sz w:val="32"/>
          <w:szCs w:val="32"/>
          <w:highlight w:val="none"/>
          <w:lang w:eastAsia="zh-CN"/>
        </w:rPr>
        <w:t>不足，</w:t>
      </w:r>
      <w:r>
        <w:rPr>
          <w:rFonts w:hint="eastAsia" w:ascii="仿宋_GB2312" w:hAnsi="仿宋_GB2312" w:eastAsia="仿宋_GB2312" w:cs="仿宋_GB2312"/>
          <w:b w:val="0"/>
          <w:bCs w:val="0"/>
          <w:color w:val="auto"/>
          <w:sz w:val="32"/>
          <w:szCs w:val="32"/>
          <w:highlight w:val="none"/>
          <w:lang w:val="en-US" w:eastAsia="zh-CN"/>
        </w:rPr>
        <w:t>技能培训水平未能与市场需求匹配</w:t>
      </w:r>
      <w:r>
        <w:rPr>
          <w:rFonts w:hint="eastAsia" w:ascii="仿宋_GB2312" w:hAnsi="仿宋_GB2312" w:eastAsia="仿宋_GB2312" w:cs="仿宋_GB2312"/>
          <w:b w:val="0"/>
          <w:bCs w:val="0"/>
          <w:color w:val="auto"/>
          <w:sz w:val="32"/>
          <w:szCs w:val="32"/>
          <w:highlight w:val="none"/>
          <w:lang w:eastAsia="zh-CN"/>
        </w:rPr>
        <w:t>，劳动者获取企业用工信息渠道</w:t>
      </w:r>
      <w:r>
        <w:rPr>
          <w:rFonts w:hint="eastAsia" w:ascii="仿宋_GB2312" w:hAnsi="仿宋_GB2312" w:eastAsia="仿宋_GB2312" w:cs="仿宋_GB2312"/>
          <w:b w:val="0"/>
          <w:bCs w:val="0"/>
          <w:color w:val="auto"/>
          <w:sz w:val="32"/>
          <w:szCs w:val="32"/>
          <w:highlight w:val="none"/>
          <w:lang w:val="en-US" w:eastAsia="zh-CN"/>
        </w:rPr>
        <w:t>不多、未够便捷</w:t>
      </w:r>
      <w:r>
        <w:rPr>
          <w:rFonts w:hint="eastAsia" w:ascii="仿宋_GB2312" w:hAnsi="仿宋_GB2312" w:eastAsia="仿宋_GB2312" w:cs="仿宋_GB2312"/>
          <w:b w:val="0"/>
          <w:bCs w:val="0"/>
          <w:color w:val="auto"/>
          <w:sz w:val="32"/>
          <w:szCs w:val="32"/>
          <w:highlight w:val="none"/>
          <w:lang w:eastAsia="zh-CN"/>
        </w:rPr>
        <w:t>。同时，</w:t>
      </w:r>
      <w:r>
        <w:rPr>
          <w:rFonts w:hint="eastAsia" w:ascii="仿宋_GB2312" w:hAnsi="仿宋_GB2312" w:eastAsia="仿宋_GB2312" w:cs="仿宋_GB2312"/>
          <w:b w:val="0"/>
          <w:bCs w:val="0"/>
          <w:color w:val="auto"/>
          <w:sz w:val="32"/>
          <w:szCs w:val="32"/>
          <w:highlight w:val="none"/>
          <w:lang w:val="en-US" w:eastAsia="zh-CN"/>
        </w:rPr>
        <w:t>创业全生命周期服务供给不足，虽然创业的市场比较活跃，但是初创企业存活率还需进一步提高，需要做好对初创企业的政策扶持、成长服务工作，帮助创业项目找好市场定位，以创业带动高质量就业。</w:t>
      </w:r>
      <w:r>
        <w:rPr>
          <w:rFonts w:hint="eastAsia" w:ascii="仿宋_GB2312" w:hAnsi="仿宋_GB2312" w:eastAsia="仿宋_GB2312" w:cs="仿宋_GB2312"/>
          <w:b/>
          <w:bCs/>
          <w:color w:val="auto"/>
          <w:sz w:val="32"/>
          <w:szCs w:val="32"/>
          <w:highlight w:val="none"/>
          <w:lang w:eastAsia="zh-CN"/>
        </w:rPr>
        <w:t>人才发展不充分不平衡</w:t>
      </w:r>
      <w:r>
        <w:rPr>
          <w:rFonts w:hint="eastAsia" w:ascii="仿宋_GB2312" w:hAnsi="仿宋_GB2312" w:eastAsia="仿宋_GB2312" w:cs="仿宋_GB2312"/>
          <w:b w:val="0"/>
          <w:bCs w:val="0"/>
          <w:color w:val="auto"/>
          <w:sz w:val="32"/>
          <w:szCs w:val="32"/>
          <w:highlight w:val="none"/>
          <w:lang w:eastAsia="zh-CN"/>
        </w:rPr>
        <w:t>。制约人才发展的体制机制障碍尚未根除，人才总量质量有待提升，对产业发展支撑不够；受珠三角核心区虹吸效应，“引才难、留才难”突出；高能级人才平台欠缺，新型研发机构、专业化众创空间等载体数量少、层次不高。</w:t>
      </w:r>
      <w:r>
        <w:rPr>
          <w:rFonts w:hint="eastAsia" w:ascii="仿宋_GB2312" w:hAnsi="仿宋_GB2312" w:eastAsia="仿宋_GB2312" w:cs="仿宋_GB2312"/>
          <w:b/>
          <w:bCs/>
          <w:color w:val="auto"/>
          <w:sz w:val="32"/>
          <w:szCs w:val="32"/>
          <w:highlight w:val="none"/>
        </w:rPr>
        <w:t>社会保险基金收支平衡压力增大</w:t>
      </w:r>
      <w:r>
        <w:rPr>
          <w:rFonts w:hint="eastAsia" w:ascii="仿宋_GB2312" w:hAnsi="仿宋_GB2312" w:eastAsia="仿宋_GB2312" w:cs="仿宋_GB2312"/>
          <w:color w:val="auto"/>
          <w:sz w:val="32"/>
          <w:szCs w:val="32"/>
          <w:highlight w:val="none"/>
        </w:rPr>
        <w:t>。人口老龄化程度持续加深推动基金支付刚性增长，加之经济下行压力下社保“低缴、短缴”问题突出影响基金收入，共同导致</w:t>
      </w:r>
      <w:r>
        <w:rPr>
          <w:rFonts w:hint="eastAsia" w:ascii="仿宋_GB2312" w:hAnsi="仿宋_GB2312" w:eastAsia="仿宋_GB2312" w:cs="仿宋_GB2312"/>
          <w:b w:val="0"/>
          <w:bCs w:val="0"/>
          <w:color w:val="auto"/>
          <w:sz w:val="32"/>
          <w:szCs w:val="32"/>
          <w:highlight w:val="none"/>
          <w:lang w:val="en-US" w:eastAsia="zh-CN"/>
        </w:rPr>
        <w:t>开平</w:t>
      </w:r>
      <w:r>
        <w:rPr>
          <w:rFonts w:hint="eastAsia" w:ascii="仿宋_GB2312" w:hAnsi="仿宋_GB2312" w:eastAsia="仿宋_GB2312" w:cs="仿宋_GB2312"/>
          <w:color w:val="auto"/>
          <w:sz w:val="32"/>
          <w:szCs w:val="32"/>
          <w:highlight w:val="none"/>
        </w:rPr>
        <w:t>市抚养比进一步降低，供需矛盾加剧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使得社会保险基金收支平衡面临挑战。</w:t>
      </w:r>
      <w:r>
        <w:rPr>
          <w:rFonts w:hint="eastAsia" w:ascii="仿宋_GB2312" w:hAnsi="仿宋_GB2312" w:eastAsia="仿宋_GB2312" w:cs="仿宋_GB2312"/>
          <w:b/>
          <w:bCs/>
          <w:color w:val="auto"/>
          <w:sz w:val="32"/>
          <w:szCs w:val="32"/>
          <w:highlight w:val="none"/>
          <w:lang w:eastAsia="zh-CN"/>
        </w:rPr>
        <w:t>和谐劳动关系构建任务艰巨</w:t>
      </w:r>
      <w:r>
        <w:rPr>
          <w:rFonts w:hint="eastAsia" w:ascii="仿宋_GB2312" w:hAnsi="仿宋_GB2312" w:eastAsia="仿宋_GB2312" w:cs="仿宋_GB2312"/>
          <w:b w:val="0"/>
          <w:bCs w:val="0"/>
          <w:color w:val="auto"/>
          <w:sz w:val="32"/>
          <w:szCs w:val="32"/>
          <w:highlight w:val="none"/>
          <w:lang w:eastAsia="zh-CN"/>
        </w:rPr>
        <w:t>。受全球经济环境以及就业市场结构性失衡的影响，企业经营压力向劳动关系传导，劳动关系领域不稳定因素增多，用工单位与劳动者之间的摩擦也随之增多。同时，随着经济和社会的发展，用工模式也萌生新形态，劳动者诉求多样化，争议主体多元化趋势凸显，影响社会稳定。</w:t>
      </w:r>
    </w:p>
    <w:p w14:paraId="5EC6F35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rPr>
      </w:pPr>
      <w:bookmarkStart w:id="10" w:name="_Toc9226"/>
      <w:bookmarkStart w:id="11" w:name="_Toc30202"/>
      <w:bookmarkStart w:id="12" w:name="_Toc6154"/>
    </w:p>
    <w:p w14:paraId="3EBE6ED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总体要求</w:t>
      </w:r>
      <w:bookmarkEnd w:id="10"/>
      <w:bookmarkEnd w:id="11"/>
      <w:bookmarkEnd w:id="12"/>
    </w:p>
    <w:p w14:paraId="58245A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13" w:name="_Toc19072"/>
      <w:bookmarkStart w:id="14" w:name="_Toc27333"/>
      <w:bookmarkStart w:id="15" w:name="_Toc11814"/>
      <w:r>
        <w:rPr>
          <w:rFonts w:hint="eastAsia" w:ascii="楷体_GB2312" w:hAnsi="楷体_GB2312" w:eastAsia="楷体_GB2312" w:cs="楷体_GB2312"/>
          <w:color w:val="auto"/>
          <w:sz w:val="32"/>
          <w:szCs w:val="32"/>
          <w:highlight w:val="none"/>
        </w:rPr>
        <w:t>第一节 指导思想</w:t>
      </w:r>
      <w:bookmarkEnd w:id="13"/>
      <w:bookmarkEnd w:id="14"/>
      <w:bookmarkEnd w:id="15"/>
    </w:p>
    <w:p w14:paraId="7951C1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以习近平新时代中国特色社会主义思想</w:t>
      </w:r>
      <w:r>
        <w:rPr>
          <w:rFonts w:hint="eastAsia" w:ascii="仿宋_GB2312" w:hAnsi="仿宋_GB2312" w:eastAsia="仿宋_GB2312" w:cs="仿宋_GB2312"/>
          <w:b w:val="0"/>
          <w:bCs w:val="0"/>
          <w:color w:val="auto"/>
          <w:sz w:val="32"/>
          <w:szCs w:val="32"/>
          <w:highlight w:val="none"/>
          <w:u w:val="none"/>
          <w:lang w:eastAsia="zh-CN"/>
        </w:rPr>
        <w:t>为指导，全面贯彻党的二十大</w:t>
      </w:r>
      <w:r>
        <w:rPr>
          <w:rFonts w:hint="eastAsia" w:ascii="仿宋_GB2312" w:hAnsi="仿宋_GB2312" w:eastAsia="仿宋_GB2312" w:cs="仿宋_GB2312"/>
          <w:b w:val="0"/>
          <w:bCs w:val="0"/>
          <w:color w:val="auto"/>
          <w:sz w:val="32"/>
          <w:szCs w:val="32"/>
          <w:highlight w:val="none"/>
          <w:u w:val="none"/>
          <w:lang w:val="en-US" w:eastAsia="zh-CN"/>
        </w:rPr>
        <w:t>和二十届历次</w:t>
      </w:r>
      <w:r>
        <w:rPr>
          <w:rFonts w:hint="eastAsia" w:ascii="仿宋_GB2312" w:hAnsi="仿宋_GB2312" w:eastAsia="仿宋_GB2312" w:cs="仿宋_GB2312"/>
          <w:b w:val="0"/>
          <w:bCs w:val="0"/>
          <w:color w:val="auto"/>
          <w:sz w:val="32"/>
          <w:szCs w:val="32"/>
          <w:highlight w:val="none"/>
          <w:u w:val="none"/>
          <w:lang w:eastAsia="zh-CN"/>
        </w:rPr>
        <w:t>全会精神，深入贯彻习近平总书记对广东系列重要讲话和重要指示批示精神，统筹推进“五位一体”总体布局，协调推进“四个全面”战略布局，围绕</w:t>
      </w:r>
      <w:r>
        <w:rPr>
          <w:rFonts w:hint="eastAsia" w:ascii="仿宋_GB2312" w:hAnsi="仿宋_GB2312" w:eastAsia="仿宋_GB2312" w:cs="仿宋_GB2312"/>
          <w:b w:val="0"/>
          <w:bCs w:val="0"/>
          <w:color w:val="auto"/>
          <w:sz w:val="32"/>
          <w:szCs w:val="32"/>
          <w:highlight w:val="none"/>
          <w:lang w:eastAsia="zh-CN"/>
        </w:rPr>
        <w:t>落实省委“1310”具体部署和市委“1+6+3”工作安排，完整、准确、全面贯彻新发展理念，坚持稳中求进工作总基调，服务和融入新发展格局，把高质量发展作为首要任务，坚持以人民为中心，深入贯彻落实部省战略合作协议，紧扣人力资源开发利用主题主线，锚定“走在前列”总目标，科学谋划人力资源和社会保障各项事业改革发展，全面促进就业增收，积极稳妥推进社保改革，加强人才引育留用，完善工资收入分配制度，构建和谐稳定的劳动关系，兜住、兜准、兜牢民生底线，不断增强人民群众获得感、幸福感、安全感，全面推进人力资源社会保障事业高质量发展。</w:t>
      </w:r>
    </w:p>
    <w:p w14:paraId="2AD472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16" w:name="_Toc17334"/>
      <w:bookmarkStart w:id="17" w:name="_Toc7661"/>
      <w:bookmarkStart w:id="18" w:name="_Toc17896"/>
      <w:r>
        <w:rPr>
          <w:rFonts w:hint="eastAsia" w:ascii="楷体_GB2312" w:hAnsi="楷体_GB2312" w:eastAsia="楷体_GB2312" w:cs="楷体_GB2312"/>
          <w:color w:val="auto"/>
          <w:sz w:val="32"/>
          <w:szCs w:val="32"/>
          <w:highlight w:val="none"/>
        </w:rPr>
        <w:t>第二节 基本原则</w:t>
      </w:r>
      <w:bookmarkEnd w:id="16"/>
      <w:bookmarkEnd w:id="17"/>
      <w:bookmarkEnd w:id="18"/>
    </w:p>
    <w:p w14:paraId="3422EA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始终把党的全面领导作为根本遵循，与以习近平同志为核心的党中央保持高度一致，持续提升践行新发展理念、融入新发展格局的能力素养，为人力资源社会保障事业高质量发展筑牢根本支撑。具体遵循以下原则：</w:t>
      </w:r>
    </w:p>
    <w:p w14:paraId="031D75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坚持围绕中心、服务大局。</w:t>
      </w:r>
      <w:r>
        <w:rPr>
          <w:rFonts w:hint="eastAsia" w:ascii="仿宋_GB2312" w:hAnsi="仿宋_GB2312" w:eastAsia="仿宋_GB2312" w:cs="仿宋_GB2312"/>
          <w:b w:val="0"/>
          <w:bCs w:val="0"/>
          <w:color w:val="auto"/>
          <w:sz w:val="32"/>
          <w:szCs w:val="32"/>
          <w:highlight w:val="none"/>
          <w:lang w:eastAsia="zh-CN"/>
        </w:rPr>
        <w:t>立足全局视野谋划局部工作，以局部突破助力全局发展，从战略高度精准定位工作切入点与发力点，靶向破解制约现代化建设进程、阻碍发展潜能释放、影响民生福祉改善的关键问题。紧扣粤港澳大湾区建设、“百县千镇万村高质量发展工程”等重大部署，充分发挥人社职能优势，为区域协调发展战略落地见效提供有力保障。</w:t>
      </w:r>
    </w:p>
    <w:p w14:paraId="466F40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坚持人民至上、增进福祉。</w:t>
      </w:r>
      <w:r>
        <w:rPr>
          <w:rFonts w:hint="eastAsia" w:ascii="仿宋_GB2312" w:hAnsi="仿宋_GB2312" w:eastAsia="仿宋_GB2312" w:cs="仿宋_GB2312"/>
          <w:b w:val="0"/>
          <w:bCs w:val="0"/>
          <w:color w:val="auto"/>
          <w:sz w:val="32"/>
          <w:szCs w:val="32"/>
          <w:highlight w:val="none"/>
          <w:lang w:eastAsia="zh-CN"/>
        </w:rPr>
        <w:t>将以人民为中心的发展思想贯穿人社事业改革发展各领域、全过程，以人的现代化需求为导向，构建全生命周期服务体系。聚焦群众对稳定就业、满意收入、可靠保障的期盼，持续办好民生实事，加快补齐民生领域短板弱项，推动人社公共服务向优质化、均衡化方向迈进，让发展成果更多更公平惠及全体人民。</w:t>
      </w:r>
    </w:p>
    <w:p w14:paraId="75FBE3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坚持深化改革、创新赋能</w:t>
      </w:r>
      <w:r>
        <w:rPr>
          <w:rFonts w:hint="eastAsia" w:ascii="仿宋_GB2312" w:hAnsi="仿宋_GB2312" w:eastAsia="仿宋_GB2312" w:cs="仿宋_GB2312"/>
          <w:b w:val="0"/>
          <w:bCs w:val="0"/>
          <w:color w:val="auto"/>
          <w:sz w:val="32"/>
          <w:szCs w:val="32"/>
          <w:highlight w:val="none"/>
          <w:lang w:eastAsia="zh-CN"/>
        </w:rPr>
        <w:t>。以思想破冰引领改革突围，以观念更新推动实践突破，坚定市场化改革方向，在就业创业扶持、人才发展体制、工资收入分配、劳动关系协调等领域加大制度创新力度。通过固根基、扬优势、补短板、强弱项，破除束缚高质量发展、高品质生活的体制机制壁垒，为人社事业发展注入源源不断的动力与活力。</w:t>
      </w:r>
    </w:p>
    <w:p w14:paraId="427555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坚持底线思维、防控风险。</w:t>
      </w:r>
      <w:r>
        <w:rPr>
          <w:rFonts w:hint="eastAsia" w:ascii="仿宋_GB2312" w:hAnsi="仿宋_GB2312" w:eastAsia="仿宋_GB2312" w:cs="仿宋_GB2312"/>
          <w:b w:val="0"/>
          <w:bCs w:val="0"/>
          <w:color w:val="auto"/>
          <w:sz w:val="32"/>
          <w:szCs w:val="32"/>
          <w:highlight w:val="none"/>
          <w:lang w:eastAsia="zh-CN"/>
        </w:rPr>
        <w:t>准确把握经济社会发展态势，密切关注国际国内环境变化，始终保持忧患意识，健全风险预警机制，完善应急处置预案，全面提升风险应对能力与承压韧性。重点防范化解规模性失业、群体性劳动关系纠纷、社保基金运行风险等重大隐患，坚决守住不发生系统性、区域性风险的安全防线。</w:t>
      </w:r>
    </w:p>
    <w:p w14:paraId="7B0382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19" w:name="_Toc18719"/>
      <w:bookmarkStart w:id="20" w:name="_Toc3201"/>
      <w:bookmarkStart w:id="21" w:name="_Toc13691"/>
      <w:r>
        <w:rPr>
          <w:rFonts w:hint="eastAsia" w:ascii="楷体_GB2312" w:hAnsi="楷体_GB2312" w:eastAsia="楷体_GB2312" w:cs="楷体_GB2312"/>
          <w:color w:val="auto"/>
          <w:sz w:val="32"/>
          <w:szCs w:val="32"/>
          <w:highlight w:val="none"/>
        </w:rPr>
        <w:t>第三节 主要目标</w:t>
      </w:r>
      <w:bookmarkEnd w:id="19"/>
      <w:bookmarkEnd w:id="20"/>
      <w:bookmarkEnd w:id="21"/>
    </w:p>
    <w:p w14:paraId="6BFAD1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实现更加充分更高质量就业。</w:t>
      </w:r>
      <w:r>
        <w:rPr>
          <w:rFonts w:hint="eastAsia" w:ascii="仿宋_GB2312" w:hAnsi="仿宋_GB2312" w:eastAsia="仿宋_GB2312" w:cs="仿宋_GB2312"/>
          <w:color w:val="auto"/>
          <w:sz w:val="32"/>
          <w:szCs w:val="32"/>
          <w:highlight w:val="none"/>
        </w:rPr>
        <w:t>全面强化就业优先政策，促使就业政策与开平市经济社会发展宏观政策联动更加紧密；健全多元化促进就业渠道，确保就业规模稳定扩大</w:t>
      </w:r>
      <w:r>
        <w:rPr>
          <w:rFonts w:hint="eastAsia" w:ascii="仿宋_GB2312" w:hAnsi="仿宋_GB2312" w:eastAsia="仿宋_GB2312" w:cs="仿宋_GB2312"/>
          <w:color w:val="auto"/>
          <w:sz w:val="32"/>
          <w:szCs w:val="32"/>
          <w:highlight w:val="none"/>
          <w:lang w:val="en-US" w:eastAsia="zh-CN"/>
        </w:rPr>
        <w:t>，做好高校毕业生、农民工、退役军人等重点人群就业服务，</w:t>
      </w:r>
      <w:r>
        <w:rPr>
          <w:rFonts w:hint="eastAsia" w:ascii="仿宋_GB2312" w:hAnsi="仿宋_GB2312" w:eastAsia="仿宋_GB2312" w:cs="仿宋_GB2312"/>
          <w:color w:val="auto"/>
          <w:sz w:val="32"/>
          <w:szCs w:val="32"/>
          <w:highlight w:val="none"/>
        </w:rPr>
        <w:t>就业结构更加合理；持续推动</w:t>
      </w:r>
      <w:r>
        <w:rPr>
          <w:rFonts w:hint="eastAsia" w:ascii="仿宋_GB2312" w:hAnsi="仿宋_GB2312" w:eastAsia="仿宋_GB2312" w:cs="仿宋_GB2312"/>
          <w:color w:val="auto"/>
          <w:sz w:val="32"/>
          <w:szCs w:val="32"/>
          <w:highlight w:val="none"/>
          <w:lang w:val="en-US" w:eastAsia="zh-CN"/>
        </w:rPr>
        <w:t>各项人才培养政策</w:t>
      </w:r>
      <w:r>
        <w:rPr>
          <w:rFonts w:hint="eastAsia"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促进劳动者素质明显提高，就业创业能力明显提升，</w:t>
      </w:r>
      <w:r>
        <w:rPr>
          <w:rFonts w:hint="eastAsia" w:ascii="仿宋_GB2312" w:hAnsi="仿宋_GB2312" w:eastAsia="仿宋_GB2312" w:cs="仿宋_GB2312"/>
          <w:color w:val="auto"/>
          <w:sz w:val="32"/>
          <w:szCs w:val="32"/>
          <w:highlight w:val="none"/>
          <w:lang w:val="en-US" w:eastAsia="zh-CN"/>
        </w:rPr>
        <w:t>放大创业带动就业倍增效应</w:t>
      </w:r>
      <w:r>
        <w:rPr>
          <w:rFonts w:hint="eastAsia" w:ascii="仿宋_GB2312" w:hAnsi="仿宋_GB2312" w:eastAsia="仿宋_GB2312" w:cs="仿宋_GB2312"/>
          <w:color w:val="auto"/>
          <w:sz w:val="32"/>
          <w:szCs w:val="32"/>
          <w:highlight w:val="none"/>
        </w:rPr>
        <w:t>；就业公共服务体系更加完备，就业环境更加公平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就业局势总体更加平稳。“十五五”期间，实现城镇新增就业3万人以上。</w:t>
      </w:r>
    </w:p>
    <w:p w14:paraId="7BB4E9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b/>
          <w:bCs/>
          <w:color w:val="auto"/>
          <w:sz w:val="32"/>
          <w:szCs w:val="32"/>
          <w:highlight w:val="none"/>
        </w:rPr>
        <w:t>多层次社保体系日趋完善</w:t>
      </w:r>
      <w:r>
        <w:rPr>
          <w:rFonts w:hint="eastAsia" w:ascii="仿宋_GB2312" w:hAnsi="仿宋_GB2312" w:eastAsia="仿宋_GB2312" w:cs="仿宋_GB2312"/>
          <w:color w:val="auto"/>
          <w:sz w:val="32"/>
          <w:szCs w:val="32"/>
          <w:highlight w:val="none"/>
        </w:rPr>
        <w:t>。体系覆盖范围显著扩大，统筹层次持续提高，在公平性、统一性和安全性上均迈上新台阶。各险种基金运行稳健，经办服务持续优化，待遇水平全面稳步提升，切实托牢了民生保障底线，提升了人民群众</w:t>
      </w:r>
      <w:r>
        <w:rPr>
          <w:rFonts w:hint="eastAsia" w:ascii="仿宋_GB2312" w:hAnsi="仿宋_GB2312" w:eastAsia="仿宋_GB2312" w:cs="仿宋_GB2312"/>
          <w:color w:val="auto"/>
          <w:sz w:val="32"/>
          <w:szCs w:val="32"/>
          <w:highlight w:val="none"/>
          <w:u w:val="none"/>
        </w:rPr>
        <w:t>的获得感与安全感。到“十五五”期末，养老保险、失业保险、工伤保险参保人数分别达到33.22万人、12.13万人、15.43万人</w:t>
      </w:r>
      <w:r>
        <w:rPr>
          <w:rFonts w:hint="eastAsia" w:ascii="仿宋_GB2312" w:hAnsi="仿宋_GB2312" w:eastAsia="仿宋_GB2312" w:cs="仿宋_GB2312"/>
          <w:color w:val="auto"/>
          <w:sz w:val="32"/>
          <w:szCs w:val="32"/>
          <w:highlight w:val="none"/>
          <w:u w:val="none"/>
          <w:lang w:eastAsia="zh-CN"/>
        </w:rPr>
        <w:t>。</w:t>
      </w:r>
    </w:p>
    <w:p w14:paraId="1FA5CD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highlight w:val="none"/>
        </w:rPr>
      </w:pPr>
      <w:r>
        <w:rPr>
          <w:rFonts w:hint="eastAsia" w:ascii="仿宋_GB2312" w:hAnsi="仿宋_GB2312" w:eastAsia="仿宋_GB2312" w:cs="仿宋_GB2312"/>
          <w:b/>
          <w:bCs/>
          <w:color w:val="auto"/>
          <w:sz w:val="32"/>
          <w:szCs w:val="32"/>
          <w:highlight w:val="none"/>
        </w:rPr>
        <w:t>健全高质量人才发展保障体系。</w:t>
      </w:r>
      <w:r>
        <w:rPr>
          <w:rFonts w:hint="eastAsia" w:ascii="仿宋_GB2312" w:hAnsi="仿宋_GB2312" w:eastAsia="仿宋_GB2312" w:cs="仿宋_GB2312"/>
          <w:color w:val="auto"/>
          <w:sz w:val="32"/>
          <w:szCs w:val="32"/>
          <w:highlight w:val="none"/>
        </w:rPr>
        <w:t>适应新时代经济社会发展要求，进一步深化人才体制机制改革，健全终身职业技能培训体系，大力弘扬劳模精神、劳动精神、工匠精神，坚持以用为本、人才优先原则，做大做强专业技术人才队伍和技能人才队伍，实现人才发展体制机制不断健全，劳动力和人才社会性流动渠道更加畅通，优化人才结构，努力造就一支数量充足、结构合理、技艺精湛的高素质人才队伍</w:t>
      </w:r>
      <w:r>
        <w:rPr>
          <w:rFonts w:hint="eastAsia" w:ascii="仿宋_GB2312" w:hAnsi="仿宋_GB2312" w:eastAsia="仿宋_GB2312" w:cs="仿宋_GB2312"/>
          <w:color w:val="auto"/>
          <w:sz w:val="32"/>
          <w:szCs w:val="32"/>
          <w:highlight w:val="none"/>
          <w:lang w:eastAsia="zh-CN"/>
        </w:rPr>
        <w:t>，持续擦亮</w:t>
      </w:r>
      <w:r>
        <w:rPr>
          <w:rFonts w:hint="eastAsia" w:ascii="仿宋_GB2312" w:hAnsi="仿宋_GB2312" w:eastAsia="仿宋_GB2312" w:cs="仿宋_GB2312"/>
          <w:color w:val="auto"/>
          <w:sz w:val="32"/>
          <w:szCs w:val="32"/>
          <w:highlight w:val="none"/>
          <w:lang w:val="en-US" w:eastAsia="zh-CN"/>
        </w:rPr>
        <w:t>“侨才荟”</w:t>
      </w:r>
      <w:r>
        <w:rPr>
          <w:rFonts w:hint="eastAsia" w:ascii="仿宋_GB2312" w:hAnsi="仿宋_GB2312" w:eastAsia="仿宋_GB2312" w:cs="仿宋_GB2312"/>
          <w:color w:val="auto"/>
          <w:sz w:val="32"/>
          <w:szCs w:val="32"/>
          <w:highlight w:val="none"/>
          <w:lang w:eastAsia="zh-CN"/>
        </w:rPr>
        <w:t>人才服务品牌，</w:t>
      </w:r>
      <w:r>
        <w:rPr>
          <w:rFonts w:hint="eastAsia" w:ascii="仿宋_GB2312" w:hAnsi="仿宋_GB2312" w:eastAsia="仿宋_GB2312" w:cs="仿宋_GB2312"/>
          <w:color w:val="auto"/>
          <w:sz w:val="32"/>
          <w:szCs w:val="32"/>
          <w:highlight w:val="none"/>
        </w:rPr>
        <w:t>创新创业引领作用更加凸显。</w:t>
      </w:r>
      <w:r>
        <w:rPr>
          <w:rFonts w:hint="eastAsia" w:ascii="Times New Roman" w:hAnsi="Times New Roman" w:eastAsia="仿宋_GB2312" w:cs="仿宋_GB2312"/>
          <w:color w:val="auto"/>
          <w:sz w:val="32"/>
          <w:szCs w:val="32"/>
          <w:highlight w:val="none"/>
          <w:u w:val="none"/>
          <w:shd w:val="clear" w:color="auto" w:fill="FFFFFF"/>
        </w:rPr>
        <w:t>到“十五五”期末，新增产业工程师人才800人，新增急需紧缺博士人才</w:t>
      </w:r>
      <w:r>
        <w:rPr>
          <w:rFonts w:hint="eastAsia" w:ascii="Times New Roman" w:hAnsi="Times New Roman" w:eastAsia="仿宋_GB2312" w:cs="仿宋_GB2312"/>
          <w:color w:val="auto"/>
          <w:sz w:val="32"/>
          <w:szCs w:val="32"/>
          <w:highlight w:val="none"/>
          <w:u w:val="none"/>
          <w:shd w:val="clear" w:color="auto" w:fill="FFFFFF"/>
          <w:lang w:val="en-US" w:eastAsia="zh-CN"/>
        </w:rPr>
        <w:t>45</w:t>
      </w:r>
      <w:r>
        <w:rPr>
          <w:rFonts w:hint="eastAsia" w:ascii="Times New Roman" w:hAnsi="Times New Roman" w:eastAsia="仿宋_GB2312" w:cs="仿宋_GB2312"/>
          <w:color w:val="auto"/>
          <w:sz w:val="32"/>
          <w:szCs w:val="32"/>
          <w:highlight w:val="none"/>
          <w:u w:val="none"/>
          <w:shd w:val="clear" w:color="auto" w:fill="FFFFFF"/>
        </w:rPr>
        <w:t>人，新增专业技术人才</w:t>
      </w:r>
      <w:r>
        <w:rPr>
          <w:rFonts w:hint="eastAsia" w:ascii="Times New Roman" w:hAnsi="Times New Roman" w:eastAsia="仿宋_GB2312" w:cs="仿宋_GB2312"/>
          <w:color w:val="auto"/>
          <w:sz w:val="32"/>
          <w:szCs w:val="32"/>
          <w:highlight w:val="none"/>
          <w:u w:val="none"/>
          <w:shd w:val="clear" w:color="auto" w:fill="FFFFFF"/>
          <w:lang w:val="en-US" w:eastAsia="zh-CN"/>
        </w:rPr>
        <w:t>50</w:t>
      </w:r>
      <w:r>
        <w:rPr>
          <w:rFonts w:hint="eastAsia" w:ascii="Times New Roman" w:hAnsi="Times New Roman" w:eastAsia="仿宋_GB2312" w:cs="仿宋_GB2312"/>
          <w:color w:val="auto"/>
          <w:sz w:val="32"/>
          <w:szCs w:val="32"/>
          <w:highlight w:val="none"/>
          <w:u w:val="none"/>
          <w:shd w:val="clear" w:color="auto" w:fill="FFFFFF"/>
        </w:rPr>
        <w:t>00人，新增技能人才2100人，开展补贴性培训2500人次以上。</w:t>
      </w:r>
    </w:p>
    <w:p w14:paraId="066C164F">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仿宋_GB2312"/>
          <w:color w:val="auto"/>
          <w:kern w:val="2"/>
          <w:sz w:val="32"/>
          <w:szCs w:val="32"/>
          <w:highlight w:val="none"/>
          <w:shd w:val="clear" w:color="auto" w:fill="FFFFFF"/>
          <w:lang w:val="en-US" w:eastAsia="zh-CN" w:bidi="ar-SA"/>
        </w:rPr>
      </w:pPr>
      <w:r>
        <w:rPr>
          <w:rFonts w:hint="eastAsia" w:ascii="Times New Roman" w:hAnsi="Times New Roman" w:eastAsia="仿宋_GB2312" w:cs="仿宋_GB2312"/>
          <w:b/>
          <w:bCs/>
          <w:color w:val="auto"/>
          <w:sz w:val="32"/>
          <w:szCs w:val="32"/>
          <w:highlight w:val="none"/>
          <w:shd w:val="clear" w:color="auto" w:fill="FFFFFF"/>
        </w:rPr>
        <w:t>工资收入分配格局持续向更公平合理方向优化。</w:t>
      </w:r>
      <w:r>
        <w:rPr>
          <w:rFonts w:hint="eastAsia" w:ascii="Times New Roman" w:hAnsi="Times New Roman" w:eastAsia="仿宋_GB2312" w:cs="仿宋_GB2312"/>
          <w:color w:val="auto"/>
          <w:sz w:val="32"/>
          <w:szCs w:val="32"/>
          <w:highlight w:val="none"/>
          <w:shd w:val="clear" w:color="auto" w:fill="FFFFFF"/>
        </w:rPr>
        <w:t>推动工资决定和正常增长机制不断健全，劳动报酬在初次分配中的比重逐步提升，工资收入分配结构明显改善。</w:t>
      </w:r>
    </w:p>
    <w:p w14:paraId="46ED1F46">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构建更加和谐稳定的劳动关系。</w:t>
      </w:r>
      <w:r>
        <w:rPr>
          <w:rFonts w:hint="eastAsia" w:ascii="仿宋_GB2312" w:hAnsi="仿宋_GB2312" w:eastAsia="仿宋_GB2312" w:cs="仿宋_GB2312"/>
          <w:color w:val="auto"/>
          <w:sz w:val="32"/>
          <w:szCs w:val="32"/>
          <w:highlight w:val="none"/>
        </w:rPr>
        <w:t>劳动关系协调机制和矛盾调处机制更加健全，劳动人事争议调解仲裁体制机制更加完善，推进基层劳动人事争议调解工作，劳资纠纷风险得到有效控制，全面保障劳动者权益。</w:t>
      </w:r>
      <w:r>
        <w:rPr>
          <w:rFonts w:hint="eastAsia" w:ascii="Times New Roman" w:hAnsi="Times New Roman" w:eastAsia="仿宋_GB2312" w:cs="仿宋_GB2312"/>
          <w:color w:val="auto"/>
          <w:sz w:val="32"/>
          <w:szCs w:val="32"/>
          <w:highlight w:val="none"/>
          <w:shd w:val="clear" w:color="auto" w:fill="FFFFFF"/>
        </w:rPr>
        <w:t>到“十五五”期末，劳动人事争议调解成功率达到</w:t>
      </w:r>
      <w:r>
        <w:rPr>
          <w:rFonts w:hint="eastAsia" w:eastAsia="仿宋_GB2312" w:cs="仿宋_GB2312"/>
          <w:color w:val="auto"/>
          <w:sz w:val="32"/>
          <w:szCs w:val="32"/>
          <w:highlight w:val="none"/>
          <w:shd w:val="clear" w:color="auto" w:fill="FFFFFF"/>
          <w:lang w:val="en-US" w:eastAsia="zh-CN"/>
        </w:rPr>
        <w:t>7</w:t>
      </w:r>
      <w:r>
        <w:rPr>
          <w:rFonts w:hint="eastAsia" w:ascii="Times New Roman" w:hAnsi="Times New Roman" w:eastAsia="仿宋_GB2312" w:cs="仿宋_GB2312"/>
          <w:color w:val="auto"/>
          <w:sz w:val="32"/>
          <w:szCs w:val="32"/>
          <w:highlight w:val="none"/>
          <w:shd w:val="clear" w:color="auto" w:fill="FFFFFF"/>
        </w:rPr>
        <w:t>5%以上，劳动人事争议仲裁结案率达到</w:t>
      </w:r>
      <w:r>
        <w:rPr>
          <w:rFonts w:hint="eastAsia" w:eastAsia="仿宋_GB2312" w:cs="仿宋_GB2312"/>
          <w:color w:val="auto"/>
          <w:sz w:val="32"/>
          <w:szCs w:val="32"/>
          <w:highlight w:val="none"/>
          <w:shd w:val="clear" w:color="auto" w:fill="FFFFFF"/>
          <w:lang w:val="en-US" w:eastAsia="zh-CN"/>
        </w:rPr>
        <w:t>9</w:t>
      </w:r>
      <w:r>
        <w:rPr>
          <w:rFonts w:hint="eastAsia" w:ascii="Times New Roman" w:hAnsi="Times New Roman" w:eastAsia="仿宋_GB2312" w:cs="仿宋_GB2312"/>
          <w:color w:val="auto"/>
          <w:sz w:val="32"/>
          <w:szCs w:val="32"/>
          <w:highlight w:val="none"/>
          <w:shd w:val="clear" w:color="auto" w:fill="FFFFFF"/>
        </w:rPr>
        <w:t>5%以上，劳动保障监察举报投诉案件结案率</w:t>
      </w:r>
      <w:r>
        <w:rPr>
          <w:rFonts w:hint="eastAsia" w:ascii="Times New Roman" w:hAnsi="Times New Roman" w:eastAsia="仿宋_GB2312" w:cs="仿宋_GB2312"/>
          <w:color w:val="auto"/>
          <w:sz w:val="32"/>
          <w:szCs w:val="32"/>
          <w:highlight w:val="none"/>
          <w:shd w:val="clear" w:color="auto" w:fill="FFFFFF"/>
          <w:lang w:val="en-US" w:eastAsia="zh-CN"/>
        </w:rPr>
        <w:t>98%</w:t>
      </w:r>
      <w:r>
        <w:rPr>
          <w:rFonts w:hint="eastAsia" w:ascii="Times New Roman" w:hAnsi="Times New Roman" w:eastAsia="仿宋_GB2312" w:cs="仿宋_GB2312"/>
          <w:color w:val="auto"/>
          <w:sz w:val="32"/>
          <w:szCs w:val="32"/>
          <w:highlight w:val="none"/>
          <w:shd w:val="clear" w:color="auto" w:fill="FFFFFF"/>
        </w:rPr>
        <w:t>。</w:t>
      </w:r>
    </w:p>
    <w:p w14:paraId="117A09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shd w:val="clear" w:color="auto" w:fill="FFFFFF"/>
        </w:rPr>
        <w:t>人力资源社会保障基本公共服务能力明显提升。</w:t>
      </w:r>
      <w:r>
        <w:rPr>
          <w:rFonts w:hint="eastAsia" w:ascii="仿宋_GB2312" w:hAnsi="仿宋_GB2312" w:eastAsia="仿宋_GB2312" w:cs="仿宋_GB2312"/>
          <w:color w:val="auto"/>
          <w:sz w:val="32"/>
          <w:szCs w:val="32"/>
          <w:highlight w:val="none"/>
        </w:rPr>
        <w:t>人力资源社会保障基本公共服务标准化、信息化、便利化取得重要进展，群众满意度不断提升。统一规范的人力资源市场更加健全，人力资源服务业快速发展。社会保障卡“一卡通”广泛应用。“十五五”期末，申领电子社会保障卡人口覆盖率68.3%。</w:t>
      </w:r>
    </w:p>
    <w:p w14:paraId="799439B5"/>
    <w:p w14:paraId="1E309513">
      <w:pPr>
        <w:pStyle w:val="2"/>
      </w:pPr>
    </w:p>
    <w:p w14:paraId="3DAE4728">
      <w:pPr>
        <w:pStyle w:val="3"/>
      </w:pPr>
    </w:p>
    <w:tbl>
      <w:tblPr>
        <w:tblStyle w:val="1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2932"/>
        <w:gridCol w:w="737"/>
        <w:gridCol w:w="850"/>
        <w:gridCol w:w="897"/>
        <w:gridCol w:w="912"/>
        <w:gridCol w:w="989"/>
        <w:gridCol w:w="984"/>
        <w:gridCol w:w="811"/>
      </w:tblGrid>
      <w:tr w14:paraId="013B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531" w:type="dxa"/>
            <w:gridSpan w:val="9"/>
            <w:shd w:val="clear" w:color="auto" w:fill="FFC000"/>
            <w:vAlign w:val="center"/>
          </w:tcPr>
          <w:p w14:paraId="744075DC">
            <w:pPr>
              <w:spacing w:line="400" w:lineRule="exact"/>
              <w:jc w:val="center"/>
              <w:rPr>
                <w:rFonts w:ascii="Times New Roman" w:hAnsi="Times New Roman" w:eastAsia="黑体"/>
                <w:color w:val="auto"/>
                <w:kern w:val="0"/>
                <w:szCs w:val="28"/>
                <w:highlight w:val="none"/>
              </w:rPr>
            </w:pPr>
            <w:r>
              <w:rPr>
                <w:rFonts w:ascii="Times New Roman" w:hAnsi="Times New Roman" w:eastAsia="黑体"/>
                <w:bCs/>
                <w:color w:val="auto"/>
                <w:kern w:val="0"/>
                <w:szCs w:val="28"/>
                <w:highlight w:val="none"/>
              </w:rPr>
              <w:t xml:space="preserve">  专栏 </w:t>
            </w:r>
            <w:r>
              <w:rPr>
                <w:rFonts w:hint="eastAsia" w:ascii="Times New Roman" w:hAnsi="Times New Roman" w:eastAsia="黑体"/>
                <w:bCs/>
                <w:color w:val="auto"/>
                <w:kern w:val="0"/>
                <w:szCs w:val="28"/>
                <w:highlight w:val="none"/>
              </w:rPr>
              <w:t>开平</w:t>
            </w:r>
            <w:r>
              <w:rPr>
                <w:rFonts w:ascii="Times New Roman" w:hAnsi="Times New Roman" w:eastAsia="黑体"/>
                <w:bCs/>
                <w:color w:val="auto"/>
                <w:kern w:val="0"/>
                <w:szCs w:val="28"/>
                <w:highlight w:val="none"/>
              </w:rPr>
              <w:t>市人社“十</w:t>
            </w:r>
            <w:r>
              <w:rPr>
                <w:rFonts w:hint="eastAsia" w:ascii="Times New Roman" w:hAnsi="Times New Roman" w:eastAsia="黑体"/>
                <w:bCs/>
                <w:color w:val="auto"/>
                <w:kern w:val="0"/>
                <w:szCs w:val="28"/>
                <w:highlight w:val="none"/>
              </w:rPr>
              <w:t>五</w:t>
            </w:r>
            <w:r>
              <w:rPr>
                <w:rFonts w:ascii="Times New Roman" w:hAnsi="Times New Roman" w:eastAsia="黑体"/>
                <w:bCs/>
                <w:color w:val="auto"/>
                <w:kern w:val="0"/>
                <w:szCs w:val="28"/>
                <w:highlight w:val="none"/>
              </w:rPr>
              <w:t>五”时期主要指标</w:t>
            </w:r>
          </w:p>
        </w:tc>
      </w:tr>
      <w:tr w14:paraId="30F9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419" w:type="dxa"/>
            <w:vAlign w:val="center"/>
          </w:tcPr>
          <w:p w14:paraId="0867AA77">
            <w:pPr>
              <w:spacing w:line="34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序号</w:t>
            </w:r>
          </w:p>
        </w:tc>
        <w:tc>
          <w:tcPr>
            <w:tcW w:w="2932" w:type="dxa"/>
            <w:vAlign w:val="center"/>
          </w:tcPr>
          <w:p w14:paraId="26016A48">
            <w:pPr>
              <w:spacing w:line="40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指   标</w:t>
            </w:r>
          </w:p>
        </w:tc>
        <w:tc>
          <w:tcPr>
            <w:tcW w:w="737" w:type="dxa"/>
            <w:vAlign w:val="center"/>
          </w:tcPr>
          <w:p w14:paraId="0417E63B">
            <w:pPr>
              <w:spacing w:line="300" w:lineRule="exact"/>
              <w:jc w:val="center"/>
              <w:rPr>
                <w:rFonts w:ascii="Times New Roman" w:hAnsi="Times New Roman" w:eastAsia="黑体"/>
                <w:color w:val="auto"/>
                <w:sz w:val="20"/>
                <w:szCs w:val="20"/>
                <w:highlight w:val="none"/>
              </w:rPr>
            </w:pPr>
            <w:r>
              <w:rPr>
                <w:rFonts w:ascii="Times New Roman" w:hAnsi="Times New Roman" w:eastAsia="黑体"/>
                <w:color w:val="auto"/>
                <w:sz w:val="18"/>
                <w:szCs w:val="18"/>
                <w:highlight w:val="none"/>
              </w:rPr>
              <w:t>单位</w:t>
            </w:r>
          </w:p>
        </w:tc>
        <w:tc>
          <w:tcPr>
            <w:tcW w:w="850" w:type="dxa"/>
            <w:vAlign w:val="center"/>
          </w:tcPr>
          <w:p w14:paraId="4B886DF9">
            <w:pPr>
              <w:spacing w:line="30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202</w:t>
            </w:r>
            <w:r>
              <w:rPr>
                <w:rFonts w:hint="eastAsia" w:ascii="Times New Roman" w:hAnsi="Times New Roman" w:eastAsia="黑体"/>
                <w:color w:val="auto"/>
                <w:sz w:val="20"/>
                <w:szCs w:val="20"/>
                <w:highlight w:val="none"/>
              </w:rPr>
              <w:t>6</w:t>
            </w:r>
            <w:r>
              <w:rPr>
                <w:rFonts w:ascii="Times New Roman" w:hAnsi="Times New Roman" w:eastAsia="黑体"/>
                <w:color w:val="auto"/>
                <w:sz w:val="20"/>
                <w:szCs w:val="20"/>
                <w:highlight w:val="none"/>
              </w:rPr>
              <w:t>年</w:t>
            </w:r>
          </w:p>
        </w:tc>
        <w:tc>
          <w:tcPr>
            <w:tcW w:w="897" w:type="dxa"/>
            <w:vAlign w:val="center"/>
          </w:tcPr>
          <w:p w14:paraId="0A9C23D4">
            <w:pPr>
              <w:spacing w:line="300" w:lineRule="exact"/>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202</w:t>
            </w:r>
            <w:r>
              <w:rPr>
                <w:rFonts w:hint="eastAsia" w:ascii="Times New Roman" w:hAnsi="Times New Roman" w:eastAsia="黑体"/>
                <w:color w:val="auto"/>
                <w:sz w:val="20"/>
                <w:szCs w:val="20"/>
                <w:highlight w:val="none"/>
              </w:rPr>
              <w:t>7</w:t>
            </w:r>
            <w:r>
              <w:rPr>
                <w:rFonts w:ascii="Times New Roman" w:hAnsi="Times New Roman" w:eastAsia="黑体"/>
                <w:color w:val="auto"/>
                <w:sz w:val="20"/>
                <w:szCs w:val="20"/>
                <w:highlight w:val="none"/>
              </w:rPr>
              <w:t>年</w:t>
            </w:r>
          </w:p>
        </w:tc>
        <w:tc>
          <w:tcPr>
            <w:tcW w:w="912" w:type="dxa"/>
            <w:vAlign w:val="center"/>
          </w:tcPr>
          <w:p w14:paraId="329C34FD">
            <w:pPr>
              <w:spacing w:line="30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202</w:t>
            </w:r>
            <w:r>
              <w:rPr>
                <w:rFonts w:hint="eastAsia" w:ascii="Times New Roman" w:hAnsi="Times New Roman" w:eastAsia="黑体"/>
                <w:color w:val="auto"/>
                <w:sz w:val="20"/>
                <w:szCs w:val="20"/>
                <w:highlight w:val="none"/>
              </w:rPr>
              <w:t>8</w:t>
            </w:r>
            <w:r>
              <w:rPr>
                <w:rFonts w:ascii="Times New Roman" w:hAnsi="Times New Roman" w:eastAsia="黑体"/>
                <w:color w:val="auto"/>
                <w:sz w:val="20"/>
                <w:szCs w:val="20"/>
                <w:highlight w:val="none"/>
              </w:rPr>
              <w:t>年</w:t>
            </w:r>
          </w:p>
        </w:tc>
        <w:tc>
          <w:tcPr>
            <w:tcW w:w="989" w:type="dxa"/>
            <w:vAlign w:val="center"/>
          </w:tcPr>
          <w:p w14:paraId="0ACAE367">
            <w:pPr>
              <w:spacing w:line="30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202</w:t>
            </w:r>
            <w:r>
              <w:rPr>
                <w:rFonts w:hint="eastAsia" w:ascii="Times New Roman" w:hAnsi="Times New Roman" w:eastAsia="黑体"/>
                <w:color w:val="auto"/>
                <w:sz w:val="20"/>
                <w:szCs w:val="20"/>
                <w:highlight w:val="none"/>
              </w:rPr>
              <w:t>9</w:t>
            </w:r>
            <w:r>
              <w:rPr>
                <w:rFonts w:ascii="Times New Roman" w:hAnsi="Times New Roman" w:eastAsia="黑体"/>
                <w:color w:val="auto"/>
                <w:sz w:val="20"/>
                <w:szCs w:val="20"/>
                <w:highlight w:val="none"/>
              </w:rPr>
              <w:t>年</w:t>
            </w:r>
          </w:p>
        </w:tc>
        <w:tc>
          <w:tcPr>
            <w:tcW w:w="984" w:type="dxa"/>
            <w:vAlign w:val="center"/>
          </w:tcPr>
          <w:p w14:paraId="6BFB3D82">
            <w:pPr>
              <w:spacing w:line="300" w:lineRule="exact"/>
              <w:jc w:val="center"/>
              <w:rPr>
                <w:rFonts w:ascii="Times New Roman" w:hAnsi="Times New Roman" w:eastAsia="黑体"/>
                <w:color w:val="auto"/>
                <w:sz w:val="20"/>
                <w:szCs w:val="20"/>
                <w:highlight w:val="none"/>
              </w:rPr>
            </w:pPr>
            <w:r>
              <w:rPr>
                <w:rFonts w:hint="eastAsia" w:ascii="Times New Roman" w:hAnsi="Times New Roman" w:eastAsia="黑体"/>
                <w:color w:val="auto"/>
                <w:sz w:val="20"/>
                <w:szCs w:val="20"/>
                <w:highlight w:val="none"/>
                <w:lang w:val="en-US" w:eastAsia="zh-CN"/>
              </w:rPr>
              <w:t>2030</w:t>
            </w:r>
            <w:r>
              <w:rPr>
                <w:rFonts w:ascii="Times New Roman" w:hAnsi="Times New Roman" w:eastAsia="黑体"/>
                <w:color w:val="auto"/>
                <w:sz w:val="20"/>
                <w:szCs w:val="20"/>
                <w:highlight w:val="none"/>
              </w:rPr>
              <w:t>年</w:t>
            </w:r>
          </w:p>
        </w:tc>
        <w:tc>
          <w:tcPr>
            <w:tcW w:w="811" w:type="dxa"/>
            <w:vAlign w:val="center"/>
          </w:tcPr>
          <w:p w14:paraId="341E2E07">
            <w:pPr>
              <w:spacing w:line="300" w:lineRule="exact"/>
              <w:jc w:val="center"/>
              <w:rPr>
                <w:rFonts w:ascii="Times New Roman" w:hAnsi="Times New Roman" w:eastAsia="黑体"/>
                <w:color w:val="auto"/>
                <w:sz w:val="20"/>
                <w:szCs w:val="20"/>
                <w:highlight w:val="none"/>
              </w:rPr>
            </w:pPr>
            <w:r>
              <w:rPr>
                <w:rFonts w:ascii="Times New Roman" w:hAnsi="Times New Roman" w:eastAsia="黑体"/>
                <w:color w:val="auto"/>
                <w:sz w:val="20"/>
                <w:szCs w:val="20"/>
                <w:highlight w:val="none"/>
              </w:rPr>
              <w:t>属性</w:t>
            </w:r>
          </w:p>
        </w:tc>
      </w:tr>
      <w:tr w14:paraId="1F61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31" w:type="dxa"/>
            <w:gridSpan w:val="9"/>
          </w:tcPr>
          <w:p w14:paraId="6B175886">
            <w:pPr>
              <w:spacing w:line="400" w:lineRule="exact"/>
              <w:jc w:val="left"/>
              <w:rPr>
                <w:rFonts w:ascii="Times New Roman" w:hAnsi="Times New Roman" w:eastAsia="华文中宋"/>
                <w:color w:val="auto"/>
                <w:sz w:val="18"/>
                <w:szCs w:val="18"/>
                <w:highlight w:val="none"/>
              </w:rPr>
            </w:pPr>
            <w:r>
              <w:rPr>
                <w:rFonts w:hint="eastAsia" w:ascii="宋体" w:hAnsi="宋体" w:eastAsia="宋体" w:cs="宋体"/>
                <w:color w:val="auto"/>
                <w:sz w:val="18"/>
                <w:szCs w:val="18"/>
                <w:highlight w:val="none"/>
              </w:rPr>
              <w:t>一、就业</w:t>
            </w:r>
          </w:p>
        </w:tc>
      </w:tr>
      <w:tr w14:paraId="4B81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19" w:type="dxa"/>
            <w:vAlign w:val="center"/>
          </w:tcPr>
          <w:p w14:paraId="02F00263">
            <w:pPr>
              <w:spacing w:line="40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1</w:t>
            </w:r>
          </w:p>
        </w:tc>
        <w:tc>
          <w:tcPr>
            <w:tcW w:w="2932" w:type="dxa"/>
            <w:vAlign w:val="center"/>
          </w:tcPr>
          <w:p w14:paraId="5E0BF2C3">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城镇新增就业人数</w:t>
            </w:r>
          </w:p>
        </w:tc>
        <w:tc>
          <w:tcPr>
            <w:tcW w:w="737" w:type="dxa"/>
            <w:vAlign w:val="center"/>
          </w:tcPr>
          <w:p w14:paraId="6ACBFC7F">
            <w:pPr>
              <w:spacing w:line="400" w:lineRule="exact"/>
              <w:jc w:val="center"/>
              <w:rPr>
                <w:rFonts w:ascii="Times New Roman" w:hAnsi="Times New Roman"/>
                <w:color w:val="auto"/>
                <w:sz w:val="18"/>
                <w:szCs w:val="18"/>
                <w:highlight w:val="none"/>
              </w:rPr>
            </w:pPr>
            <w:r>
              <w:rPr>
                <w:rFonts w:hint="eastAsia" w:ascii="宋体" w:hAnsi="宋体" w:eastAsia="宋体" w:cs="宋体"/>
                <w:color w:val="auto"/>
                <w:sz w:val="18"/>
                <w:szCs w:val="18"/>
                <w:highlight w:val="none"/>
              </w:rPr>
              <w:t>万人</w:t>
            </w:r>
          </w:p>
        </w:tc>
        <w:tc>
          <w:tcPr>
            <w:tcW w:w="850" w:type="dxa"/>
            <w:vAlign w:val="center"/>
          </w:tcPr>
          <w:p w14:paraId="04BE80C5">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0.6</w:t>
            </w:r>
          </w:p>
        </w:tc>
        <w:tc>
          <w:tcPr>
            <w:tcW w:w="897" w:type="dxa"/>
            <w:vAlign w:val="center"/>
          </w:tcPr>
          <w:p w14:paraId="398B505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[1.2]</w:t>
            </w:r>
          </w:p>
        </w:tc>
        <w:tc>
          <w:tcPr>
            <w:tcW w:w="912" w:type="dxa"/>
            <w:vAlign w:val="center"/>
          </w:tcPr>
          <w:p w14:paraId="119BE6C6">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[1.8]</w:t>
            </w:r>
          </w:p>
        </w:tc>
        <w:tc>
          <w:tcPr>
            <w:tcW w:w="989" w:type="dxa"/>
            <w:vAlign w:val="center"/>
          </w:tcPr>
          <w:p w14:paraId="3513BC0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[2.4]</w:t>
            </w:r>
          </w:p>
        </w:tc>
        <w:tc>
          <w:tcPr>
            <w:tcW w:w="984" w:type="dxa"/>
            <w:vAlign w:val="center"/>
          </w:tcPr>
          <w:p w14:paraId="113CF201">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[3.0]</w:t>
            </w:r>
          </w:p>
        </w:tc>
        <w:tc>
          <w:tcPr>
            <w:tcW w:w="811" w:type="dxa"/>
            <w:vAlign w:val="center"/>
          </w:tcPr>
          <w:p w14:paraId="7DAA415E">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1DFF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31" w:type="dxa"/>
            <w:gridSpan w:val="9"/>
            <w:vAlign w:val="center"/>
          </w:tcPr>
          <w:p w14:paraId="4605E84F">
            <w:pPr>
              <w:spacing w:line="400" w:lineRule="exact"/>
              <w:jc w:val="left"/>
              <w:rPr>
                <w:rFonts w:ascii="Times New Roman" w:hAnsi="Times New Roman" w:eastAsia="华文中宋"/>
                <w:color w:val="auto"/>
                <w:sz w:val="18"/>
                <w:szCs w:val="18"/>
                <w:highlight w:val="none"/>
              </w:rPr>
            </w:pPr>
            <w:r>
              <w:rPr>
                <w:rFonts w:hint="eastAsia" w:ascii="宋体" w:hAnsi="宋体" w:eastAsia="宋体" w:cs="宋体"/>
                <w:color w:val="auto"/>
                <w:sz w:val="18"/>
                <w:szCs w:val="18"/>
                <w:highlight w:val="none"/>
              </w:rPr>
              <w:t>二、社会保障</w:t>
            </w:r>
          </w:p>
        </w:tc>
      </w:tr>
      <w:tr w14:paraId="43CB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19" w:type="dxa"/>
            <w:vAlign w:val="center"/>
          </w:tcPr>
          <w:p w14:paraId="1876B05C">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2932" w:type="dxa"/>
            <w:vAlign w:val="top"/>
          </w:tcPr>
          <w:p w14:paraId="14A92F0F">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养老</w:t>
            </w:r>
            <w:r>
              <w:rPr>
                <w:rFonts w:hint="eastAsia" w:ascii="宋体" w:hAnsi="宋体" w:eastAsia="宋体" w:cs="宋体"/>
                <w:color w:val="auto"/>
                <w:sz w:val="18"/>
                <w:szCs w:val="18"/>
                <w:highlight w:val="none"/>
              </w:rPr>
              <w:t>保险参保人数</w:t>
            </w:r>
          </w:p>
        </w:tc>
        <w:tc>
          <w:tcPr>
            <w:tcW w:w="737" w:type="dxa"/>
            <w:vAlign w:val="center"/>
          </w:tcPr>
          <w:p w14:paraId="42964761">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万人</w:t>
            </w:r>
          </w:p>
        </w:tc>
        <w:tc>
          <w:tcPr>
            <w:tcW w:w="850" w:type="dxa"/>
            <w:vAlign w:val="center"/>
          </w:tcPr>
          <w:p w14:paraId="2127923D">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32.42</w:t>
            </w:r>
          </w:p>
        </w:tc>
        <w:tc>
          <w:tcPr>
            <w:tcW w:w="897" w:type="dxa"/>
            <w:vAlign w:val="center"/>
          </w:tcPr>
          <w:p w14:paraId="35AFC1D8">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32.62</w:t>
            </w:r>
          </w:p>
        </w:tc>
        <w:tc>
          <w:tcPr>
            <w:tcW w:w="912" w:type="dxa"/>
            <w:vAlign w:val="center"/>
          </w:tcPr>
          <w:p w14:paraId="718B058B">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32.82</w:t>
            </w:r>
          </w:p>
        </w:tc>
        <w:tc>
          <w:tcPr>
            <w:tcW w:w="989" w:type="dxa"/>
            <w:vAlign w:val="center"/>
          </w:tcPr>
          <w:p w14:paraId="41B621BA">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33.02</w:t>
            </w:r>
          </w:p>
        </w:tc>
        <w:tc>
          <w:tcPr>
            <w:tcW w:w="984" w:type="dxa"/>
            <w:vAlign w:val="center"/>
          </w:tcPr>
          <w:p w14:paraId="1C460EBD">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33.22</w:t>
            </w:r>
          </w:p>
        </w:tc>
        <w:tc>
          <w:tcPr>
            <w:tcW w:w="811" w:type="dxa"/>
            <w:vAlign w:val="center"/>
          </w:tcPr>
          <w:p w14:paraId="13B487EE">
            <w:pPr>
              <w:widowControl/>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461D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19" w:type="dxa"/>
            <w:vAlign w:val="center"/>
          </w:tcPr>
          <w:p w14:paraId="7F429E67">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2932" w:type="dxa"/>
            <w:vAlign w:val="top"/>
          </w:tcPr>
          <w:p w14:paraId="1BCDB72D">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失业保险参保人数</w:t>
            </w:r>
          </w:p>
        </w:tc>
        <w:tc>
          <w:tcPr>
            <w:tcW w:w="737" w:type="dxa"/>
            <w:vAlign w:val="center"/>
          </w:tcPr>
          <w:p w14:paraId="4B47AB7F">
            <w:pPr>
              <w:spacing w:line="400" w:lineRule="exact"/>
              <w:jc w:val="center"/>
              <w:rPr>
                <w:rFonts w:ascii="Times New Roman" w:hAnsi="Times New Roman"/>
                <w:color w:val="auto"/>
                <w:sz w:val="18"/>
                <w:szCs w:val="18"/>
                <w:highlight w:val="none"/>
              </w:rPr>
            </w:pPr>
            <w:r>
              <w:rPr>
                <w:rFonts w:hint="eastAsia" w:ascii="宋体" w:hAnsi="宋体" w:eastAsia="宋体" w:cs="宋体"/>
                <w:color w:val="auto"/>
                <w:sz w:val="18"/>
                <w:szCs w:val="18"/>
                <w:highlight w:val="none"/>
              </w:rPr>
              <w:t>万人</w:t>
            </w:r>
          </w:p>
        </w:tc>
        <w:tc>
          <w:tcPr>
            <w:tcW w:w="850" w:type="dxa"/>
            <w:vAlign w:val="center"/>
          </w:tcPr>
          <w:p w14:paraId="4D73F44C">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11.97</w:t>
            </w:r>
          </w:p>
        </w:tc>
        <w:tc>
          <w:tcPr>
            <w:tcW w:w="897" w:type="dxa"/>
            <w:vAlign w:val="center"/>
          </w:tcPr>
          <w:p w14:paraId="1BEE3AF9">
            <w:pPr>
              <w:spacing w:line="400" w:lineRule="exact"/>
              <w:jc w:val="center"/>
              <w:rPr>
                <w:rFonts w:hint="eastAsia" w:ascii="Times New Roman" w:hAnsi="Times New Roman" w:eastAsiaTheme="minorEastAsia"/>
                <w:color w:val="auto"/>
                <w:sz w:val="18"/>
                <w:szCs w:val="18"/>
                <w:highlight w:val="none"/>
                <w:lang w:eastAsia="zh-CN"/>
              </w:rPr>
            </w:pPr>
            <w:r>
              <w:rPr>
                <w:rFonts w:hint="default" w:ascii="Times New Roman" w:hAnsi="Times New Roman"/>
                <w:color w:val="auto"/>
                <w:sz w:val="18"/>
                <w:szCs w:val="18"/>
                <w:highlight w:val="none"/>
                <w:lang w:val="en-US" w:eastAsia="zh-CN"/>
              </w:rPr>
              <w:t>12.01</w:t>
            </w:r>
          </w:p>
        </w:tc>
        <w:tc>
          <w:tcPr>
            <w:tcW w:w="912" w:type="dxa"/>
            <w:vAlign w:val="center"/>
          </w:tcPr>
          <w:p w14:paraId="4C1B5B40">
            <w:pPr>
              <w:spacing w:line="400" w:lineRule="exact"/>
              <w:jc w:val="center"/>
              <w:rPr>
                <w:rFonts w:hint="eastAsia" w:ascii="Times New Roman" w:hAnsi="Times New Roman" w:eastAsiaTheme="minorEastAsia"/>
                <w:color w:val="auto"/>
                <w:sz w:val="18"/>
                <w:szCs w:val="18"/>
                <w:highlight w:val="none"/>
                <w:lang w:eastAsia="zh-CN"/>
              </w:rPr>
            </w:pPr>
            <w:r>
              <w:rPr>
                <w:rFonts w:hint="default" w:ascii="Times New Roman" w:hAnsi="Times New Roman"/>
                <w:color w:val="auto"/>
                <w:sz w:val="18"/>
                <w:szCs w:val="18"/>
                <w:highlight w:val="none"/>
                <w:lang w:val="en-US" w:eastAsia="zh-CN"/>
              </w:rPr>
              <w:t>12.05</w:t>
            </w:r>
          </w:p>
        </w:tc>
        <w:tc>
          <w:tcPr>
            <w:tcW w:w="989" w:type="dxa"/>
            <w:vAlign w:val="center"/>
          </w:tcPr>
          <w:p w14:paraId="32C5441B">
            <w:pPr>
              <w:spacing w:line="400" w:lineRule="exact"/>
              <w:jc w:val="center"/>
              <w:rPr>
                <w:rFonts w:hint="eastAsia" w:ascii="Times New Roman" w:hAnsi="Times New Roman" w:eastAsiaTheme="minorEastAsia"/>
                <w:color w:val="auto"/>
                <w:sz w:val="18"/>
                <w:szCs w:val="18"/>
                <w:highlight w:val="none"/>
                <w:lang w:eastAsia="zh-CN"/>
              </w:rPr>
            </w:pPr>
            <w:r>
              <w:rPr>
                <w:rFonts w:hint="default" w:ascii="Times New Roman" w:hAnsi="Times New Roman"/>
                <w:color w:val="auto"/>
                <w:sz w:val="18"/>
                <w:szCs w:val="18"/>
                <w:highlight w:val="none"/>
                <w:lang w:val="en-US" w:eastAsia="zh-CN"/>
              </w:rPr>
              <w:t>12.09</w:t>
            </w:r>
          </w:p>
        </w:tc>
        <w:tc>
          <w:tcPr>
            <w:tcW w:w="984" w:type="dxa"/>
            <w:vAlign w:val="center"/>
          </w:tcPr>
          <w:p w14:paraId="5E6F1D7E">
            <w:pPr>
              <w:spacing w:line="400" w:lineRule="exact"/>
              <w:jc w:val="center"/>
              <w:rPr>
                <w:rFonts w:hint="eastAsia" w:ascii="Times New Roman" w:hAnsi="Times New Roman" w:eastAsiaTheme="minorEastAsia"/>
                <w:color w:val="auto"/>
                <w:sz w:val="18"/>
                <w:szCs w:val="18"/>
                <w:highlight w:val="none"/>
                <w:lang w:eastAsia="zh-CN"/>
              </w:rPr>
            </w:pPr>
            <w:r>
              <w:rPr>
                <w:rFonts w:hint="default" w:ascii="Times New Roman" w:hAnsi="Times New Roman"/>
                <w:color w:val="auto"/>
                <w:sz w:val="18"/>
                <w:szCs w:val="18"/>
                <w:highlight w:val="none"/>
                <w:lang w:val="en-US" w:eastAsia="zh-CN"/>
              </w:rPr>
              <w:t>12.13</w:t>
            </w:r>
          </w:p>
        </w:tc>
        <w:tc>
          <w:tcPr>
            <w:tcW w:w="811" w:type="dxa"/>
            <w:vAlign w:val="center"/>
          </w:tcPr>
          <w:p w14:paraId="1D8362F6">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0F17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19" w:type="dxa"/>
            <w:vAlign w:val="center"/>
          </w:tcPr>
          <w:p w14:paraId="5B2B75A4">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w:t>
            </w:r>
          </w:p>
        </w:tc>
        <w:tc>
          <w:tcPr>
            <w:tcW w:w="2932" w:type="dxa"/>
            <w:vAlign w:val="top"/>
          </w:tcPr>
          <w:p w14:paraId="05E3F4D6">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工伤保险参保人数</w:t>
            </w:r>
          </w:p>
        </w:tc>
        <w:tc>
          <w:tcPr>
            <w:tcW w:w="737" w:type="dxa"/>
            <w:vAlign w:val="center"/>
          </w:tcPr>
          <w:p w14:paraId="09F0195D">
            <w:pPr>
              <w:spacing w:line="400" w:lineRule="exact"/>
              <w:jc w:val="center"/>
              <w:rPr>
                <w:rFonts w:ascii="Times New Roman" w:hAnsi="Times New Roman"/>
                <w:color w:val="auto"/>
                <w:sz w:val="18"/>
                <w:szCs w:val="18"/>
                <w:highlight w:val="none"/>
              </w:rPr>
            </w:pPr>
            <w:r>
              <w:rPr>
                <w:rFonts w:hint="eastAsia" w:ascii="宋体" w:hAnsi="宋体" w:eastAsia="宋体" w:cs="宋体"/>
                <w:color w:val="auto"/>
                <w:sz w:val="18"/>
                <w:szCs w:val="18"/>
                <w:highlight w:val="none"/>
              </w:rPr>
              <w:t>万人</w:t>
            </w:r>
          </w:p>
        </w:tc>
        <w:tc>
          <w:tcPr>
            <w:tcW w:w="850" w:type="dxa"/>
            <w:vAlign w:val="center"/>
          </w:tcPr>
          <w:p w14:paraId="6B3662E3">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14.83</w:t>
            </w:r>
          </w:p>
        </w:tc>
        <w:tc>
          <w:tcPr>
            <w:tcW w:w="897" w:type="dxa"/>
            <w:vAlign w:val="center"/>
          </w:tcPr>
          <w:p w14:paraId="262413F2">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14.98</w:t>
            </w:r>
          </w:p>
        </w:tc>
        <w:tc>
          <w:tcPr>
            <w:tcW w:w="912" w:type="dxa"/>
            <w:vAlign w:val="center"/>
          </w:tcPr>
          <w:p w14:paraId="69525163">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15.13</w:t>
            </w:r>
          </w:p>
        </w:tc>
        <w:tc>
          <w:tcPr>
            <w:tcW w:w="989" w:type="dxa"/>
            <w:vAlign w:val="center"/>
          </w:tcPr>
          <w:p w14:paraId="6BE4DE0B">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15.28</w:t>
            </w:r>
          </w:p>
        </w:tc>
        <w:tc>
          <w:tcPr>
            <w:tcW w:w="984" w:type="dxa"/>
            <w:vAlign w:val="center"/>
          </w:tcPr>
          <w:p w14:paraId="5CE37A8D">
            <w:pPr>
              <w:spacing w:line="400" w:lineRule="exact"/>
              <w:jc w:val="center"/>
              <w:rPr>
                <w:rFonts w:ascii="Times New Roman" w:hAnsi="Times New Roman"/>
                <w:color w:val="auto"/>
                <w:sz w:val="18"/>
                <w:szCs w:val="18"/>
                <w:highlight w:val="none"/>
              </w:rPr>
            </w:pPr>
            <w:r>
              <w:rPr>
                <w:rFonts w:hint="default" w:ascii="Times New Roman" w:hAnsi="Times New Roman"/>
                <w:color w:val="auto"/>
                <w:sz w:val="18"/>
                <w:szCs w:val="18"/>
                <w:highlight w:val="none"/>
                <w:lang w:val="en-US" w:eastAsia="zh-CN"/>
              </w:rPr>
              <w:t>15.43</w:t>
            </w:r>
          </w:p>
        </w:tc>
        <w:tc>
          <w:tcPr>
            <w:tcW w:w="811" w:type="dxa"/>
            <w:vAlign w:val="center"/>
          </w:tcPr>
          <w:p w14:paraId="0BF675A9">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042D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531" w:type="dxa"/>
            <w:gridSpan w:val="9"/>
            <w:vAlign w:val="center"/>
          </w:tcPr>
          <w:p w14:paraId="0E7B8102">
            <w:pPr>
              <w:spacing w:line="400" w:lineRule="exact"/>
              <w:jc w:val="left"/>
              <w:rPr>
                <w:rFonts w:ascii="Times New Roman" w:hAnsi="Times New Roman" w:eastAsia="华文中宋"/>
                <w:color w:val="auto"/>
                <w:sz w:val="18"/>
                <w:szCs w:val="18"/>
                <w:highlight w:val="none"/>
              </w:rPr>
            </w:pPr>
            <w:r>
              <w:rPr>
                <w:rFonts w:hint="eastAsia" w:ascii="宋体" w:hAnsi="宋体" w:eastAsia="宋体" w:cs="宋体"/>
                <w:color w:val="auto"/>
                <w:sz w:val="18"/>
                <w:szCs w:val="18"/>
                <w:highlight w:val="none"/>
              </w:rPr>
              <w:t>三、人才队伍建设</w:t>
            </w:r>
          </w:p>
        </w:tc>
      </w:tr>
      <w:tr w14:paraId="2034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419" w:type="dxa"/>
            <w:vAlign w:val="center"/>
          </w:tcPr>
          <w:p w14:paraId="11D567D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5</w:t>
            </w:r>
          </w:p>
        </w:tc>
        <w:tc>
          <w:tcPr>
            <w:tcW w:w="2932" w:type="dxa"/>
            <w:vAlign w:val="center"/>
          </w:tcPr>
          <w:p w14:paraId="3CAD23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新增</w:t>
            </w:r>
            <w:r>
              <w:rPr>
                <w:rFonts w:hint="eastAsia" w:ascii="宋体" w:hAnsi="宋体" w:eastAsia="宋体" w:cs="宋体"/>
                <w:color w:val="auto"/>
                <w:sz w:val="18"/>
                <w:szCs w:val="18"/>
                <w:highlight w:val="none"/>
                <w:lang w:eastAsia="zh-CN"/>
              </w:rPr>
              <w:t>取得</w:t>
            </w:r>
            <w:r>
              <w:rPr>
                <w:rFonts w:hint="eastAsia" w:ascii="宋体" w:hAnsi="宋体" w:eastAsia="宋体" w:cs="宋体"/>
                <w:color w:val="auto"/>
                <w:sz w:val="18"/>
                <w:szCs w:val="18"/>
                <w:highlight w:val="none"/>
              </w:rPr>
              <w:t>专业技术</w:t>
            </w:r>
            <w:r>
              <w:rPr>
                <w:rFonts w:hint="eastAsia" w:ascii="宋体" w:hAnsi="宋体" w:eastAsia="宋体" w:cs="宋体"/>
                <w:color w:val="auto"/>
                <w:sz w:val="18"/>
                <w:szCs w:val="18"/>
                <w:highlight w:val="none"/>
                <w:lang w:eastAsia="zh-CN"/>
              </w:rPr>
              <w:t>人员职业资格证书人数</w:t>
            </w:r>
          </w:p>
        </w:tc>
        <w:tc>
          <w:tcPr>
            <w:tcW w:w="737" w:type="dxa"/>
            <w:vAlign w:val="center"/>
          </w:tcPr>
          <w:p w14:paraId="6863F9FC">
            <w:pPr>
              <w:spacing w:line="400" w:lineRule="exact"/>
              <w:jc w:val="center"/>
              <w:rPr>
                <w:rFonts w:hint="eastAsia" w:ascii="Times New Roman" w:hAnsi="Times New Roman" w:eastAsia="宋体"/>
                <w:color w:val="auto"/>
                <w:sz w:val="10"/>
                <w:szCs w:val="10"/>
                <w:highlight w:val="none"/>
                <w:lang w:val="en-US" w:eastAsia="zh-CN"/>
              </w:rPr>
            </w:pPr>
            <w:r>
              <w:rPr>
                <w:rFonts w:hint="eastAsia" w:ascii="宋体" w:hAnsi="宋体" w:eastAsia="宋体" w:cs="宋体"/>
                <w:color w:val="auto"/>
                <w:sz w:val="18"/>
                <w:szCs w:val="18"/>
                <w:highlight w:val="none"/>
              </w:rPr>
              <w:t>人</w:t>
            </w:r>
            <w:r>
              <w:rPr>
                <w:rFonts w:hint="eastAsia" w:ascii="宋体" w:hAnsi="宋体" w:eastAsia="宋体" w:cs="宋体"/>
                <w:color w:val="auto"/>
                <w:sz w:val="18"/>
                <w:szCs w:val="18"/>
                <w:highlight w:val="none"/>
                <w:lang w:val="en-US" w:eastAsia="zh-CN"/>
              </w:rPr>
              <w:t>次</w:t>
            </w:r>
          </w:p>
        </w:tc>
        <w:tc>
          <w:tcPr>
            <w:tcW w:w="850" w:type="dxa"/>
            <w:vAlign w:val="center"/>
          </w:tcPr>
          <w:p w14:paraId="3A7D4CEC">
            <w:pPr>
              <w:spacing w:line="400" w:lineRule="exact"/>
              <w:jc w:val="center"/>
              <w:rPr>
                <w:rFonts w:hint="default"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eastAsia="zh-CN"/>
              </w:rPr>
              <w:t>1000</w:t>
            </w:r>
          </w:p>
        </w:tc>
        <w:tc>
          <w:tcPr>
            <w:tcW w:w="897" w:type="dxa"/>
            <w:vAlign w:val="center"/>
          </w:tcPr>
          <w:p w14:paraId="5123B6ED">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2000</w:t>
            </w:r>
            <w:r>
              <w:rPr>
                <w:rFonts w:hint="eastAsia" w:ascii="Times New Roman" w:hAnsi="Times New Roman"/>
                <w:color w:val="auto"/>
                <w:sz w:val="18"/>
                <w:szCs w:val="18"/>
                <w:highlight w:val="none"/>
              </w:rPr>
              <w:t>]</w:t>
            </w:r>
          </w:p>
        </w:tc>
        <w:tc>
          <w:tcPr>
            <w:tcW w:w="912" w:type="dxa"/>
            <w:vAlign w:val="center"/>
          </w:tcPr>
          <w:p w14:paraId="1B2AAD2D">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3000</w:t>
            </w:r>
            <w:r>
              <w:rPr>
                <w:rFonts w:hint="eastAsia" w:ascii="Times New Roman" w:hAnsi="Times New Roman"/>
                <w:color w:val="auto"/>
                <w:sz w:val="18"/>
                <w:szCs w:val="18"/>
                <w:highlight w:val="none"/>
              </w:rPr>
              <w:t>]</w:t>
            </w:r>
          </w:p>
        </w:tc>
        <w:tc>
          <w:tcPr>
            <w:tcW w:w="989" w:type="dxa"/>
            <w:vAlign w:val="center"/>
          </w:tcPr>
          <w:p w14:paraId="5A5A58AE">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4000</w:t>
            </w:r>
            <w:r>
              <w:rPr>
                <w:rFonts w:hint="eastAsia" w:ascii="Times New Roman" w:hAnsi="Times New Roman"/>
                <w:color w:val="auto"/>
                <w:sz w:val="18"/>
                <w:szCs w:val="18"/>
                <w:highlight w:val="none"/>
              </w:rPr>
              <w:t>]</w:t>
            </w:r>
          </w:p>
        </w:tc>
        <w:tc>
          <w:tcPr>
            <w:tcW w:w="984" w:type="dxa"/>
            <w:vAlign w:val="center"/>
          </w:tcPr>
          <w:p w14:paraId="5D6B794F">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5000</w:t>
            </w:r>
            <w:r>
              <w:rPr>
                <w:rFonts w:hint="eastAsia" w:ascii="Times New Roman" w:hAnsi="Times New Roman"/>
                <w:color w:val="auto"/>
                <w:sz w:val="18"/>
                <w:szCs w:val="18"/>
                <w:highlight w:val="none"/>
              </w:rPr>
              <w:t>]</w:t>
            </w:r>
          </w:p>
        </w:tc>
        <w:tc>
          <w:tcPr>
            <w:tcW w:w="811" w:type="dxa"/>
            <w:vAlign w:val="center"/>
          </w:tcPr>
          <w:p w14:paraId="4D1C2892">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7DDE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419" w:type="dxa"/>
            <w:shd w:val="clear" w:color="auto" w:fill="auto"/>
            <w:vAlign w:val="center"/>
          </w:tcPr>
          <w:p w14:paraId="039FA6F8">
            <w:pPr>
              <w:spacing w:line="400" w:lineRule="exact"/>
              <w:jc w:val="center"/>
              <w:rPr>
                <w:rFonts w:hint="eastAsia"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rPr>
              <w:t>6</w:t>
            </w:r>
          </w:p>
        </w:tc>
        <w:tc>
          <w:tcPr>
            <w:tcW w:w="2932" w:type="dxa"/>
            <w:vAlign w:val="center"/>
          </w:tcPr>
          <w:p w14:paraId="1E8063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val="en-US" w:eastAsia="zh-CN"/>
              </w:rPr>
              <w:t>新增急需紧缺博士人才人数</w:t>
            </w:r>
          </w:p>
        </w:tc>
        <w:tc>
          <w:tcPr>
            <w:tcW w:w="737" w:type="dxa"/>
            <w:vAlign w:val="center"/>
          </w:tcPr>
          <w:p w14:paraId="0C86224C">
            <w:pPr>
              <w:spacing w:line="400" w:lineRule="exact"/>
              <w:jc w:val="center"/>
              <w:rPr>
                <w:rFonts w:hint="default" w:ascii="Times New Roman" w:hAnsi="Times New Roman"/>
                <w:color w:val="auto"/>
                <w:sz w:val="18"/>
                <w:szCs w:val="18"/>
                <w:highlight w:val="none"/>
                <w:lang w:val="en-US" w:eastAsia="zh-CN"/>
              </w:rPr>
            </w:pPr>
            <w:r>
              <w:rPr>
                <w:rFonts w:hint="eastAsia" w:ascii="宋体" w:hAnsi="宋体" w:eastAsia="宋体" w:cs="宋体"/>
                <w:color w:val="auto"/>
                <w:sz w:val="18"/>
                <w:szCs w:val="18"/>
                <w:highlight w:val="none"/>
                <w:lang w:eastAsia="zh-CN"/>
              </w:rPr>
              <w:t>人</w:t>
            </w:r>
            <w:r>
              <w:rPr>
                <w:rFonts w:hint="eastAsia" w:ascii="宋体" w:hAnsi="宋体" w:eastAsia="宋体" w:cs="宋体"/>
                <w:color w:val="auto"/>
                <w:sz w:val="18"/>
                <w:szCs w:val="18"/>
                <w:highlight w:val="none"/>
                <w:lang w:val="en-US" w:eastAsia="zh-CN"/>
              </w:rPr>
              <w:t>次</w:t>
            </w:r>
          </w:p>
        </w:tc>
        <w:tc>
          <w:tcPr>
            <w:tcW w:w="850" w:type="dxa"/>
            <w:vAlign w:val="center"/>
          </w:tcPr>
          <w:p w14:paraId="17585968">
            <w:pPr>
              <w:spacing w:line="400" w:lineRule="exact"/>
              <w:jc w:val="center"/>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9</w:t>
            </w:r>
          </w:p>
        </w:tc>
        <w:tc>
          <w:tcPr>
            <w:tcW w:w="897" w:type="dxa"/>
            <w:vAlign w:val="center"/>
          </w:tcPr>
          <w:p w14:paraId="1F3EA98A">
            <w:pPr>
              <w:spacing w:line="400" w:lineRule="exact"/>
              <w:jc w:val="center"/>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[18]</w:t>
            </w:r>
          </w:p>
        </w:tc>
        <w:tc>
          <w:tcPr>
            <w:tcW w:w="912" w:type="dxa"/>
            <w:vAlign w:val="center"/>
          </w:tcPr>
          <w:p w14:paraId="366C3125">
            <w:pPr>
              <w:spacing w:line="400" w:lineRule="exact"/>
              <w:jc w:val="center"/>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[27]</w:t>
            </w:r>
          </w:p>
        </w:tc>
        <w:tc>
          <w:tcPr>
            <w:tcW w:w="989" w:type="dxa"/>
            <w:vAlign w:val="center"/>
          </w:tcPr>
          <w:p w14:paraId="323FD322">
            <w:pPr>
              <w:spacing w:line="400" w:lineRule="exact"/>
              <w:jc w:val="center"/>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[36]</w:t>
            </w:r>
          </w:p>
        </w:tc>
        <w:tc>
          <w:tcPr>
            <w:tcW w:w="984" w:type="dxa"/>
            <w:vAlign w:val="center"/>
          </w:tcPr>
          <w:p w14:paraId="2C94E152">
            <w:pPr>
              <w:spacing w:line="400" w:lineRule="exact"/>
              <w:jc w:val="center"/>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[45]</w:t>
            </w:r>
          </w:p>
        </w:tc>
        <w:tc>
          <w:tcPr>
            <w:tcW w:w="811" w:type="dxa"/>
            <w:shd w:val="clear" w:color="auto" w:fill="auto"/>
            <w:vAlign w:val="center"/>
          </w:tcPr>
          <w:p w14:paraId="0C6C884F">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预期性</w:t>
            </w:r>
          </w:p>
        </w:tc>
      </w:tr>
      <w:tr w14:paraId="32C7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419" w:type="dxa"/>
            <w:shd w:val="clear" w:color="auto" w:fill="auto"/>
            <w:vAlign w:val="center"/>
          </w:tcPr>
          <w:p w14:paraId="5E4AF77F">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rPr>
              <w:t>7</w:t>
            </w:r>
          </w:p>
        </w:tc>
        <w:tc>
          <w:tcPr>
            <w:tcW w:w="2932" w:type="dxa"/>
            <w:vAlign w:val="center"/>
          </w:tcPr>
          <w:p w14:paraId="7ACE9F10">
            <w:pPr>
              <w:spacing w:line="240" w:lineRule="exact"/>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新增取得职业资格证书或职业技能等级证书人</w:t>
            </w:r>
            <w:r>
              <w:rPr>
                <w:rFonts w:hint="eastAsia" w:ascii="宋体" w:hAnsi="宋体" w:eastAsia="宋体" w:cs="宋体"/>
                <w:color w:val="auto"/>
                <w:sz w:val="18"/>
                <w:szCs w:val="18"/>
                <w:highlight w:val="none"/>
                <w:lang w:eastAsia="zh-CN"/>
              </w:rPr>
              <w:t>次</w:t>
            </w:r>
            <w:r>
              <w:rPr>
                <w:rFonts w:hint="eastAsia" w:ascii="宋体" w:hAnsi="宋体" w:eastAsia="宋体" w:cs="宋体"/>
                <w:color w:val="auto"/>
                <w:sz w:val="18"/>
                <w:szCs w:val="18"/>
                <w:highlight w:val="none"/>
              </w:rPr>
              <w:t>数</w:t>
            </w:r>
          </w:p>
        </w:tc>
        <w:tc>
          <w:tcPr>
            <w:tcW w:w="737" w:type="dxa"/>
            <w:vAlign w:val="center"/>
          </w:tcPr>
          <w:p w14:paraId="0BEFFDDA">
            <w:pPr>
              <w:spacing w:line="400" w:lineRule="exact"/>
              <w:jc w:val="center"/>
              <w:rPr>
                <w:rFonts w:hint="default" w:ascii="Times New Roman" w:hAnsi="Times New Roman" w:eastAsiaTheme="minorEastAsia" w:cstheme="minorBidi"/>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人次</w:t>
            </w:r>
          </w:p>
        </w:tc>
        <w:tc>
          <w:tcPr>
            <w:tcW w:w="850" w:type="dxa"/>
            <w:vAlign w:val="center"/>
          </w:tcPr>
          <w:p w14:paraId="1C8341CC">
            <w:pPr>
              <w:spacing w:line="400" w:lineRule="exact"/>
              <w:jc w:val="center"/>
              <w:rPr>
                <w:rFonts w:hint="default"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500</w:t>
            </w:r>
          </w:p>
        </w:tc>
        <w:tc>
          <w:tcPr>
            <w:tcW w:w="897" w:type="dxa"/>
            <w:vAlign w:val="center"/>
          </w:tcPr>
          <w:p w14:paraId="2092401A">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[900]</w:t>
            </w:r>
          </w:p>
        </w:tc>
        <w:tc>
          <w:tcPr>
            <w:tcW w:w="912" w:type="dxa"/>
            <w:vAlign w:val="center"/>
          </w:tcPr>
          <w:p w14:paraId="756F6A41">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[1300]</w:t>
            </w:r>
          </w:p>
        </w:tc>
        <w:tc>
          <w:tcPr>
            <w:tcW w:w="989" w:type="dxa"/>
            <w:vAlign w:val="center"/>
          </w:tcPr>
          <w:p w14:paraId="62DC75DD">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[1700]</w:t>
            </w:r>
          </w:p>
        </w:tc>
        <w:tc>
          <w:tcPr>
            <w:tcW w:w="984" w:type="dxa"/>
            <w:vAlign w:val="center"/>
          </w:tcPr>
          <w:p w14:paraId="2059BE8E">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[2100]</w:t>
            </w:r>
          </w:p>
        </w:tc>
        <w:tc>
          <w:tcPr>
            <w:tcW w:w="811" w:type="dxa"/>
            <w:vAlign w:val="center"/>
          </w:tcPr>
          <w:p w14:paraId="62287E70">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6285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419" w:type="dxa"/>
            <w:shd w:val="clear" w:color="auto" w:fill="auto"/>
            <w:vAlign w:val="center"/>
          </w:tcPr>
          <w:p w14:paraId="53947E2A">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rPr>
              <w:t>8</w:t>
            </w:r>
          </w:p>
        </w:tc>
        <w:tc>
          <w:tcPr>
            <w:tcW w:w="2932" w:type="dxa"/>
            <w:vAlign w:val="center"/>
          </w:tcPr>
          <w:p w14:paraId="69596A27">
            <w:pPr>
              <w:spacing w:line="260" w:lineRule="exact"/>
              <w:ind w:firstLine="360" w:firstLineChars="20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其中：新增取得高级工以上职业资格证书或职业技能等级证书人</w:t>
            </w:r>
            <w:r>
              <w:rPr>
                <w:rFonts w:hint="eastAsia" w:ascii="宋体" w:hAnsi="宋体" w:eastAsia="宋体" w:cs="宋体"/>
                <w:color w:val="auto"/>
                <w:sz w:val="18"/>
                <w:szCs w:val="18"/>
                <w:highlight w:val="none"/>
                <w:lang w:eastAsia="zh-CN"/>
              </w:rPr>
              <w:t>次</w:t>
            </w:r>
            <w:r>
              <w:rPr>
                <w:rFonts w:hint="eastAsia" w:ascii="宋体" w:hAnsi="宋体" w:eastAsia="宋体" w:cs="宋体"/>
                <w:color w:val="auto"/>
                <w:sz w:val="18"/>
                <w:szCs w:val="18"/>
                <w:highlight w:val="none"/>
              </w:rPr>
              <w:t>数</w:t>
            </w:r>
          </w:p>
        </w:tc>
        <w:tc>
          <w:tcPr>
            <w:tcW w:w="737" w:type="dxa"/>
            <w:vAlign w:val="center"/>
          </w:tcPr>
          <w:p w14:paraId="166FC814">
            <w:pPr>
              <w:spacing w:line="400" w:lineRule="exact"/>
              <w:jc w:val="center"/>
              <w:rPr>
                <w:rFonts w:hint="default" w:ascii="Times New Roman" w:hAnsi="Times New Roman" w:eastAsiaTheme="minorEastAsia" w:cstheme="minorBidi"/>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人次</w:t>
            </w:r>
          </w:p>
        </w:tc>
        <w:tc>
          <w:tcPr>
            <w:tcW w:w="850" w:type="dxa"/>
            <w:vAlign w:val="center"/>
          </w:tcPr>
          <w:p w14:paraId="60A536F9">
            <w:pPr>
              <w:spacing w:line="400" w:lineRule="exact"/>
              <w:jc w:val="center"/>
              <w:rPr>
                <w:rFonts w:hint="default"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56</w:t>
            </w:r>
          </w:p>
        </w:tc>
        <w:tc>
          <w:tcPr>
            <w:tcW w:w="897" w:type="dxa"/>
            <w:vAlign w:val="center"/>
          </w:tcPr>
          <w:p w14:paraId="632BB223">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[112]</w:t>
            </w:r>
          </w:p>
        </w:tc>
        <w:tc>
          <w:tcPr>
            <w:tcW w:w="912" w:type="dxa"/>
            <w:vAlign w:val="center"/>
          </w:tcPr>
          <w:p w14:paraId="3D0EC8B5">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[168]</w:t>
            </w:r>
          </w:p>
        </w:tc>
        <w:tc>
          <w:tcPr>
            <w:tcW w:w="989" w:type="dxa"/>
            <w:vAlign w:val="center"/>
          </w:tcPr>
          <w:p w14:paraId="5911C806">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[224]</w:t>
            </w:r>
          </w:p>
        </w:tc>
        <w:tc>
          <w:tcPr>
            <w:tcW w:w="984" w:type="dxa"/>
            <w:vAlign w:val="center"/>
          </w:tcPr>
          <w:p w14:paraId="3B253E6E">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[280]</w:t>
            </w:r>
          </w:p>
        </w:tc>
        <w:tc>
          <w:tcPr>
            <w:tcW w:w="811" w:type="dxa"/>
            <w:vAlign w:val="center"/>
          </w:tcPr>
          <w:p w14:paraId="613B525E">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38F0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419" w:type="dxa"/>
            <w:shd w:val="clear" w:color="auto" w:fill="auto"/>
            <w:vAlign w:val="center"/>
          </w:tcPr>
          <w:p w14:paraId="672848CF">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rPr>
              <w:t>9</w:t>
            </w:r>
          </w:p>
        </w:tc>
        <w:tc>
          <w:tcPr>
            <w:tcW w:w="2932" w:type="dxa"/>
            <w:vAlign w:val="center"/>
          </w:tcPr>
          <w:p w14:paraId="571AF8CB">
            <w:pPr>
              <w:spacing w:line="260" w:lineRule="exact"/>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开展补贴性职业技能培训人次</w:t>
            </w:r>
          </w:p>
        </w:tc>
        <w:tc>
          <w:tcPr>
            <w:tcW w:w="737" w:type="dxa"/>
            <w:vAlign w:val="center"/>
          </w:tcPr>
          <w:p w14:paraId="0AF0113B">
            <w:pPr>
              <w:spacing w:line="400" w:lineRule="exact"/>
              <w:jc w:val="center"/>
              <w:rPr>
                <w:rFonts w:ascii="Times New Roman" w:hAnsi="Times New Roman"/>
                <w:color w:val="auto"/>
                <w:sz w:val="18"/>
                <w:szCs w:val="18"/>
                <w:highlight w:val="none"/>
              </w:rPr>
            </w:pPr>
            <w:r>
              <w:rPr>
                <w:rFonts w:hint="eastAsia" w:ascii="宋体" w:hAnsi="宋体" w:eastAsia="宋体" w:cs="宋体"/>
                <w:color w:val="auto"/>
                <w:sz w:val="18"/>
                <w:szCs w:val="18"/>
                <w:highlight w:val="none"/>
              </w:rPr>
              <w:t>人次</w:t>
            </w:r>
          </w:p>
        </w:tc>
        <w:tc>
          <w:tcPr>
            <w:tcW w:w="850" w:type="dxa"/>
            <w:vAlign w:val="center"/>
          </w:tcPr>
          <w:p w14:paraId="74F839D4">
            <w:pPr>
              <w:spacing w:line="400" w:lineRule="exact"/>
              <w:jc w:val="center"/>
              <w:rPr>
                <w:rFonts w:hint="default"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eastAsia="zh-CN"/>
              </w:rPr>
              <w:t>500</w:t>
            </w:r>
          </w:p>
        </w:tc>
        <w:tc>
          <w:tcPr>
            <w:tcW w:w="897" w:type="dxa"/>
            <w:vAlign w:val="center"/>
          </w:tcPr>
          <w:p w14:paraId="25B2CA04">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1000</w:t>
            </w:r>
            <w:r>
              <w:rPr>
                <w:rFonts w:hint="eastAsia" w:ascii="Times New Roman" w:hAnsi="Times New Roman"/>
                <w:color w:val="auto"/>
                <w:sz w:val="18"/>
                <w:szCs w:val="18"/>
                <w:highlight w:val="none"/>
              </w:rPr>
              <w:t>]</w:t>
            </w:r>
          </w:p>
        </w:tc>
        <w:tc>
          <w:tcPr>
            <w:tcW w:w="912" w:type="dxa"/>
            <w:vAlign w:val="center"/>
          </w:tcPr>
          <w:p w14:paraId="536ABF93">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1500</w:t>
            </w:r>
            <w:r>
              <w:rPr>
                <w:rFonts w:hint="eastAsia" w:ascii="Times New Roman" w:hAnsi="Times New Roman"/>
                <w:color w:val="auto"/>
                <w:sz w:val="18"/>
                <w:szCs w:val="18"/>
                <w:highlight w:val="none"/>
              </w:rPr>
              <w:t>]</w:t>
            </w:r>
          </w:p>
        </w:tc>
        <w:tc>
          <w:tcPr>
            <w:tcW w:w="989" w:type="dxa"/>
            <w:vAlign w:val="center"/>
          </w:tcPr>
          <w:p w14:paraId="2D553C36">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2000</w:t>
            </w:r>
            <w:r>
              <w:rPr>
                <w:rFonts w:hint="eastAsia" w:ascii="Times New Roman" w:hAnsi="Times New Roman"/>
                <w:color w:val="auto"/>
                <w:sz w:val="18"/>
                <w:szCs w:val="18"/>
                <w:highlight w:val="none"/>
              </w:rPr>
              <w:t>]</w:t>
            </w:r>
          </w:p>
        </w:tc>
        <w:tc>
          <w:tcPr>
            <w:tcW w:w="984" w:type="dxa"/>
            <w:vAlign w:val="center"/>
          </w:tcPr>
          <w:p w14:paraId="6857953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2500</w:t>
            </w:r>
            <w:r>
              <w:rPr>
                <w:rFonts w:hint="eastAsia" w:ascii="Times New Roman" w:hAnsi="Times New Roman"/>
                <w:color w:val="auto"/>
                <w:sz w:val="18"/>
                <w:szCs w:val="18"/>
                <w:highlight w:val="none"/>
              </w:rPr>
              <w:t>]</w:t>
            </w:r>
          </w:p>
        </w:tc>
        <w:tc>
          <w:tcPr>
            <w:tcW w:w="811" w:type="dxa"/>
            <w:vAlign w:val="center"/>
          </w:tcPr>
          <w:p w14:paraId="03D1C166">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37F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419" w:type="dxa"/>
            <w:vAlign w:val="center"/>
          </w:tcPr>
          <w:p w14:paraId="57D4B645">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10</w:t>
            </w:r>
          </w:p>
        </w:tc>
        <w:tc>
          <w:tcPr>
            <w:tcW w:w="2932" w:type="dxa"/>
            <w:vAlign w:val="center"/>
          </w:tcPr>
          <w:p w14:paraId="0128CBA1">
            <w:pPr>
              <w:spacing w:line="400" w:lineRule="exact"/>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“南粤家政”补贴性职业技能培训人次数</w:t>
            </w:r>
          </w:p>
        </w:tc>
        <w:tc>
          <w:tcPr>
            <w:tcW w:w="737" w:type="dxa"/>
            <w:vAlign w:val="center"/>
          </w:tcPr>
          <w:p w14:paraId="182AEB27">
            <w:pPr>
              <w:spacing w:line="400" w:lineRule="exact"/>
              <w:jc w:val="center"/>
              <w:rPr>
                <w:rFonts w:hint="default" w:ascii="Times New Roman" w:hAnsi="Times New Roman" w:eastAsiaTheme="minorEastAsia" w:cstheme="minorBidi"/>
                <w:color w:val="auto"/>
                <w:kern w:val="2"/>
                <w:sz w:val="18"/>
                <w:szCs w:val="18"/>
                <w:highlight w:val="none"/>
                <w:lang w:val="en-US" w:eastAsia="zh-CN" w:bidi="ar-SA"/>
              </w:rPr>
            </w:pPr>
            <w:r>
              <w:rPr>
                <w:rFonts w:hint="eastAsia" w:ascii="宋体" w:hAnsi="宋体" w:eastAsia="宋体" w:cs="宋体"/>
                <w:color w:val="auto"/>
                <w:sz w:val="18"/>
                <w:szCs w:val="18"/>
                <w:highlight w:val="none"/>
              </w:rPr>
              <w:t>人次</w:t>
            </w:r>
          </w:p>
        </w:tc>
        <w:tc>
          <w:tcPr>
            <w:tcW w:w="850" w:type="dxa"/>
            <w:vAlign w:val="center"/>
          </w:tcPr>
          <w:p w14:paraId="79C87C97">
            <w:pPr>
              <w:spacing w:line="400" w:lineRule="exact"/>
              <w:jc w:val="center"/>
              <w:rPr>
                <w:rFonts w:hint="default"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260</w:t>
            </w:r>
          </w:p>
        </w:tc>
        <w:tc>
          <w:tcPr>
            <w:tcW w:w="897" w:type="dxa"/>
            <w:vAlign w:val="center"/>
          </w:tcPr>
          <w:p w14:paraId="6AB5C29B">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[520]</w:t>
            </w:r>
          </w:p>
        </w:tc>
        <w:tc>
          <w:tcPr>
            <w:tcW w:w="912" w:type="dxa"/>
            <w:vAlign w:val="center"/>
          </w:tcPr>
          <w:p w14:paraId="341C4A0E">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[780]</w:t>
            </w:r>
          </w:p>
        </w:tc>
        <w:tc>
          <w:tcPr>
            <w:tcW w:w="989" w:type="dxa"/>
            <w:vAlign w:val="center"/>
          </w:tcPr>
          <w:p w14:paraId="2B2E6AE8">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[1040]</w:t>
            </w:r>
          </w:p>
        </w:tc>
        <w:tc>
          <w:tcPr>
            <w:tcW w:w="984" w:type="dxa"/>
            <w:vAlign w:val="center"/>
          </w:tcPr>
          <w:p w14:paraId="4CF46AE6">
            <w:pPr>
              <w:spacing w:line="400" w:lineRule="exact"/>
              <w:jc w:val="center"/>
              <w:rPr>
                <w:rFonts w:ascii="Times New Roman" w:hAnsi="Times New Roman" w:eastAsiaTheme="minorEastAsia" w:cstheme="minorBidi"/>
                <w:color w:val="auto"/>
                <w:kern w:val="2"/>
                <w:sz w:val="18"/>
                <w:szCs w:val="18"/>
                <w:highlight w:val="none"/>
                <w:lang w:val="en-US" w:eastAsia="zh-CN" w:bidi="ar-SA"/>
              </w:rPr>
            </w:pPr>
            <w:r>
              <w:rPr>
                <w:rFonts w:hint="eastAsia" w:ascii="Times New Roman" w:hAnsi="Times New Roman"/>
                <w:color w:val="auto"/>
                <w:sz w:val="18"/>
                <w:szCs w:val="18"/>
                <w:highlight w:val="none"/>
                <w:lang w:val="en-US" w:eastAsia="zh-CN"/>
              </w:rPr>
              <w:t>[1300]</w:t>
            </w:r>
          </w:p>
        </w:tc>
        <w:tc>
          <w:tcPr>
            <w:tcW w:w="811" w:type="dxa"/>
            <w:vAlign w:val="center"/>
          </w:tcPr>
          <w:p w14:paraId="2C099EC7">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6AC5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31" w:type="dxa"/>
            <w:gridSpan w:val="9"/>
            <w:vAlign w:val="center"/>
          </w:tcPr>
          <w:p w14:paraId="5F47CA20">
            <w:pPr>
              <w:spacing w:line="400" w:lineRule="exact"/>
              <w:jc w:val="left"/>
              <w:rPr>
                <w:rFonts w:ascii="Times New Roman" w:hAnsi="Times New Roman" w:eastAsia="华文中宋"/>
                <w:color w:val="auto"/>
                <w:sz w:val="18"/>
                <w:szCs w:val="18"/>
                <w:highlight w:val="none"/>
              </w:rPr>
            </w:pPr>
            <w:r>
              <w:rPr>
                <w:rFonts w:hint="eastAsia" w:ascii="宋体" w:hAnsi="宋体" w:eastAsia="宋体" w:cs="宋体"/>
                <w:color w:val="auto"/>
                <w:sz w:val="18"/>
                <w:szCs w:val="18"/>
                <w:highlight w:val="none"/>
              </w:rPr>
              <w:t>四、劳动关系</w:t>
            </w:r>
          </w:p>
        </w:tc>
      </w:tr>
      <w:tr w14:paraId="318B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19" w:type="dxa"/>
            <w:shd w:val="clear" w:color="auto" w:fill="auto"/>
            <w:vAlign w:val="center"/>
          </w:tcPr>
          <w:p w14:paraId="5CD0E135">
            <w:pPr>
              <w:spacing w:line="400" w:lineRule="exact"/>
              <w:jc w:val="center"/>
              <w:rPr>
                <w:rFonts w:hint="eastAsia" w:ascii="Times New Roman" w:hAnsi="Times New Roman" w:eastAsiaTheme="minorEastAsia" w:cstheme="minorBidi"/>
                <w:color w:val="auto"/>
                <w:kern w:val="2"/>
                <w:sz w:val="18"/>
                <w:szCs w:val="18"/>
                <w:highlight w:val="none"/>
                <w:lang w:val="en-US" w:eastAsia="zh-CN" w:bidi="ar-SA"/>
              </w:rPr>
            </w:pPr>
            <w:r>
              <w:rPr>
                <w:rFonts w:ascii="Times New Roman" w:hAnsi="Times New Roman"/>
                <w:color w:val="auto"/>
                <w:sz w:val="18"/>
                <w:szCs w:val="18"/>
                <w:highlight w:val="none"/>
              </w:rPr>
              <w:t>1</w:t>
            </w:r>
            <w:r>
              <w:rPr>
                <w:rFonts w:hint="eastAsia" w:ascii="Times New Roman" w:hAnsi="Times New Roman"/>
                <w:color w:val="auto"/>
                <w:sz w:val="18"/>
                <w:szCs w:val="18"/>
                <w:highlight w:val="none"/>
                <w:lang w:val="en-US" w:eastAsia="zh-CN"/>
              </w:rPr>
              <w:t>1</w:t>
            </w:r>
          </w:p>
        </w:tc>
        <w:tc>
          <w:tcPr>
            <w:tcW w:w="2932" w:type="dxa"/>
            <w:vAlign w:val="center"/>
          </w:tcPr>
          <w:p w14:paraId="4D2B1A70">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劳动人事争议调解成功率</w:t>
            </w:r>
          </w:p>
        </w:tc>
        <w:tc>
          <w:tcPr>
            <w:tcW w:w="737" w:type="dxa"/>
            <w:vAlign w:val="center"/>
          </w:tcPr>
          <w:p w14:paraId="5D00C6D5">
            <w:pPr>
              <w:spacing w:line="400" w:lineRule="exact"/>
              <w:jc w:val="center"/>
              <w:rPr>
                <w:rFonts w:ascii="Times New Roman" w:hAnsi="Times New Roman"/>
                <w:color w:val="auto"/>
                <w:sz w:val="18"/>
                <w:szCs w:val="18"/>
                <w:highlight w:val="none"/>
              </w:rPr>
            </w:pPr>
            <w:r>
              <w:rPr>
                <w:rFonts w:hint="eastAsia" w:ascii="宋体" w:hAnsi="宋体" w:eastAsia="宋体" w:cs="宋体"/>
                <w:color w:val="auto"/>
                <w:sz w:val="18"/>
                <w:szCs w:val="18"/>
                <w:highlight w:val="none"/>
              </w:rPr>
              <w:t>%</w:t>
            </w:r>
          </w:p>
        </w:tc>
        <w:tc>
          <w:tcPr>
            <w:tcW w:w="850" w:type="dxa"/>
            <w:vAlign w:val="center"/>
          </w:tcPr>
          <w:p w14:paraId="4FB6570F">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75</w:t>
            </w:r>
          </w:p>
        </w:tc>
        <w:tc>
          <w:tcPr>
            <w:tcW w:w="897" w:type="dxa"/>
            <w:vAlign w:val="center"/>
          </w:tcPr>
          <w:p w14:paraId="6DB43539">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75</w:t>
            </w:r>
          </w:p>
        </w:tc>
        <w:tc>
          <w:tcPr>
            <w:tcW w:w="912" w:type="dxa"/>
            <w:vAlign w:val="center"/>
          </w:tcPr>
          <w:p w14:paraId="1B53940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75</w:t>
            </w:r>
          </w:p>
        </w:tc>
        <w:tc>
          <w:tcPr>
            <w:tcW w:w="989" w:type="dxa"/>
            <w:vAlign w:val="center"/>
          </w:tcPr>
          <w:p w14:paraId="4EB18475">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75</w:t>
            </w:r>
          </w:p>
        </w:tc>
        <w:tc>
          <w:tcPr>
            <w:tcW w:w="984" w:type="dxa"/>
            <w:vAlign w:val="center"/>
          </w:tcPr>
          <w:p w14:paraId="6E0047E0">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75</w:t>
            </w:r>
          </w:p>
        </w:tc>
        <w:tc>
          <w:tcPr>
            <w:tcW w:w="811" w:type="dxa"/>
            <w:vAlign w:val="center"/>
          </w:tcPr>
          <w:p w14:paraId="2506BDC9">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255D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419" w:type="dxa"/>
            <w:shd w:val="clear" w:color="auto" w:fill="auto"/>
            <w:vAlign w:val="center"/>
          </w:tcPr>
          <w:p w14:paraId="01FC4F0C">
            <w:pPr>
              <w:spacing w:line="400" w:lineRule="exact"/>
              <w:jc w:val="center"/>
              <w:rPr>
                <w:rFonts w:hint="eastAsia" w:ascii="Times New Roman" w:hAnsi="Times New Roman" w:eastAsiaTheme="minorEastAsia" w:cstheme="minorBidi"/>
                <w:color w:val="auto"/>
                <w:kern w:val="2"/>
                <w:sz w:val="18"/>
                <w:szCs w:val="18"/>
                <w:highlight w:val="none"/>
                <w:lang w:val="en-US" w:eastAsia="zh-CN" w:bidi="ar-SA"/>
              </w:rPr>
            </w:pPr>
            <w:r>
              <w:rPr>
                <w:rFonts w:ascii="Times New Roman" w:hAnsi="Times New Roman"/>
                <w:color w:val="auto"/>
                <w:sz w:val="18"/>
                <w:szCs w:val="18"/>
                <w:highlight w:val="none"/>
              </w:rPr>
              <w:t>1</w:t>
            </w:r>
            <w:r>
              <w:rPr>
                <w:rFonts w:hint="eastAsia" w:ascii="Times New Roman" w:hAnsi="Times New Roman"/>
                <w:color w:val="auto"/>
                <w:sz w:val="18"/>
                <w:szCs w:val="18"/>
                <w:highlight w:val="none"/>
                <w:lang w:val="en-US" w:eastAsia="zh-CN"/>
              </w:rPr>
              <w:t>2</w:t>
            </w:r>
          </w:p>
        </w:tc>
        <w:tc>
          <w:tcPr>
            <w:tcW w:w="2932" w:type="dxa"/>
            <w:vAlign w:val="center"/>
          </w:tcPr>
          <w:p w14:paraId="5184A218">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劳动人事争议仲裁结案率</w:t>
            </w:r>
          </w:p>
        </w:tc>
        <w:tc>
          <w:tcPr>
            <w:tcW w:w="737" w:type="dxa"/>
            <w:vAlign w:val="center"/>
          </w:tcPr>
          <w:p w14:paraId="176ACCC6">
            <w:pPr>
              <w:spacing w:line="400" w:lineRule="exact"/>
              <w:jc w:val="center"/>
              <w:rPr>
                <w:rFonts w:hint="eastAsia" w:ascii="Times New Roman" w:hAnsi="Times New Roman"/>
                <w:color w:val="auto"/>
                <w:sz w:val="18"/>
                <w:szCs w:val="18"/>
                <w:highlight w:val="none"/>
              </w:rPr>
            </w:pPr>
            <w:r>
              <w:rPr>
                <w:rFonts w:hint="eastAsia" w:ascii="宋体" w:hAnsi="宋体" w:eastAsia="宋体" w:cs="宋体"/>
                <w:color w:val="auto"/>
                <w:sz w:val="18"/>
                <w:szCs w:val="18"/>
                <w:highlight w:val="none"/>
              </w:rPr>
              <w:t>%</w:t>
            </w:r>
          </w:p>
        </w:tc>
        <w:tc>
          <w:tcPr>
            <w:tcW w:w="850" w:type="dxa"/>
            <w:vAlign w:val="center"/>
          </w:tcPr>
          <w:p w14:paraId="7EB319A6">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w:t>
            </w:r>
            <w:r>
              <w:rPr>
                <w:rFonts w:hint="eastAsia" w:ascii="Times New Roman" w:hAnsi="Times New Roman"/>
                <w:color w:val="auto"/>
                <w:sz w:val="18"/>
                <w:szCs w:val="18"/>
                <w:highlight w:val="none"/>
              </w:rPr>
              <w:t>5</w:t>
            </w:r>
          </w:p>
        </w:tc>
        <w:tc>
          <w:tcPr>
            <w:tcW w:w="897" w:type="dxa"/>
            <w:vAlign w:val="center"/>
          </w:tcPr>
          <w:p w14:paraId="2B981353">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w:t>
            </w:r>
            <w:r>
              <w:rPr>
                <w:rFonts w:hint="eastAsia" w:ascii="Times New Roman" w:hAnsi="Times New Roman"/>
                <w:color w:val="auto"/>
                <w:sz w:val="18"/>
                <w:szCs w:val="18"/>
                <w:highlight w:val="none"/>
              </w:rPr>
              <w:t>5</w:t>
            </w:r>
          </w:p>
        </w:tc>
        <w:tc>
          <w:tcPr>
            <w:tcW w:w="912" w:type="dxa"/>
            <w:vAlign w:val="center"/>
          </w:tcPr>
          <w:p w14:paraId="3279559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w:t>
            </w:r>
            <w:r>
              <w:rPr>
                <w:rFonts w:hint="eastAsia" w:ascii="Times New Roman" w:hAnsi="Times New Roman"/>
                <w:color w:val="auto"/>
                <w:sz w:val="18"/>
                <w:szCs w:val="18"/>
                <w:highlight w:val="none"/>
              </w:rPr>
              <w:t>5</w:t>
            </w:r>
          </w:p>
        </w:tc>
        <w:tc>
          <w:tcPr>
            <w:tcW w:w="989" w:type="dxa"/>
            <w:vAlign w:val="center"/>
          </w:tcPr>
          <w:p w14:paraId="31F0EB72">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w:t>
            </w:r>
            <w:r>
              <w:rPr>
                <w:rFonts w:hint="eastAsia" w:ascii="Times New Roman" w:hAnsi="Times New Roman"/>
                <w:color w:val="auto"/>
                <w:sz w:val="18"/>
                <w:szCs w:val="18"/>
                <w:highlight w:val="none"/>
              </w:rPr>
              <w:t>5</w:t>
            </w:r>
          </w:p>
        </w:tc>
        <w:tc>
          <w:tcPr>
            <w:tcW w:w="984" w:type="dxa"/>
            <w:vAlign w:val="center"/>
          </w:tcPr>
          <w:p w14:paraId="3BC65703">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95</w:t>
            </w:r>
          </w:p>
        </w:tc>
        <w:tc>
          <w:tcPr>
            <w:tcW w:w="811" w:type="dxa"/>
            <w:vAlign w:val="center"/>
          </w:tcPr>
          <w:p w14:paraId="68E2DAF0">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41CB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419" w:type="dxa"/>
            <w:vAlign w:val="center"/>
          </w:tcPr>
          <w:p w14:paraId="3D36E7D0">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13</w:t>
            </w:r>
          </w:p>
        </w:tc>
        <w:tc>
          <w:tcPr>
            <w:tcW w:w="2932" w:type="dxa"/>
            <w:vAlign w:val="center"/>
          </w:tcPr>
          <w:p w14:paraId="41A4CDD6">
            <w:pPr>
              <w:spacing w:line="40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劳动保障监察举报投诉案件结案率</w:t>
            </w:r>
          </w:p>
        </w:tc>
        <w:tc>
          <w:tcPr>
            <w:tcW w:w="737" w:type="dxa"/>
            <w:vAlign w:val="center"/>
          </w:tcPr>
          <w:p w14:paraId="5F604CC0">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宋体" w:hAnsi="宋体" w:eastAsia="宋体" w:cs="宋体"/>
                <w:color w:val="auto"/>
                <w:sz w:val="18"/>
                <w:szCs w:val="18"/>
                <w:highlight w:val="none"/>
              </w:rPr>
              <w:t>%</w:t>
            </w:r>
          </w:p>
        </w:tc>
        <w:tc>
          <w:tcPr>
            <w:tcW w:w="850" w:type="dxa"/>
            <w:vAlign w:val="center"/>
          </w:tcPr>
          <w:p w14:paraId="0C2798AB">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98</w:t>
            </w:r>
          </w:p>
        </w:tc>
        <w:tc>
          <w:tcPr>
            <w:tcW w:w="897" w:type="dxa"/>
            <w:vAlign w:val="center"/>
          </w:tcPr>
          <w:p w14:paraId="4FF1684F">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98</w:t>
            </w:r>
          </w:p>
        </w:tc>
        <w:tc>
          <w:tcPr>
            <w:tcW w:w="912" w:type="dxa"/>
            <w:vAlign w:val="center"/>
          </w:tcPr>
          <w:p w14:paraId="76836090">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98</w:t>
            </w:r>
          </w:p>
        </w:tc>
        <w:tc>
          <w:tcPr>
            <w:tcW w:w="989" w:type="dxa"/>
            <w:vAlign w:val="center"/>
          </w:tcPr>
          <w:p w14:paraId="4883FD28">
            <w:pPr>
              <w:spacing w:line="40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98</w:t>
            </w:r>
          </w:p>
        </w:tc>
        <w:tc>
          <w:tcPr>
            <w:tcW w:w="984" w:type="dxa"/>
            <w:vAlign w:val="center"/>
          </w:tcPr>
          <w:p w14:paraId="0B5488DC">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98</w:t>
            </w:r>
          </w:p>
        </w:tc>
        <w:tc>
          <w:tcPr>
            <w:tcW w:w="811" w:type="dxa"/>
            <w:vAlign w:val="center"/>
          </w:tcPr>
          <w:p w14:paraId="44249E99">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r w14:paraId="0CA7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531" w:type="dxa"/>
            <w:gridSpan w:val="9"/>
            <w:vAlign w:val="center"/>
          </w:tcPr>
          <w:p w14:paraId="75874DF7">
            <w:pPr>
              <w:spacing w:line="400" w:lineRule="exact"/>
              <w:jc w:val="left"/>
              <w:rPr>
                <w:rFonts w:ascii="Times New Roman" w:hAnsi="Times New Roman" w:eastAsia="华文中宋"/>
                <w:color w:val="auto"/>
                <w:sz w:val="18"/>
                <w:szCs w:val="18"/>
                <w:highlight w:val="none"/>
              </w:rPr>
            </w:pPr>
            <w:r>
              <w:rPr>
                <w:rFonts w:ascii="Times New Roman" w:hAnsi="Times New Roman" w:eastAsia="华文中宋"/>
                <w:color w:val="auto"/>
                <w:sz w:val="20"/>
                <w:szCs w:val="20"/>
                <w:highlight w:val="none"/>
              </w:rPr>
              <w:t>五、公共服务</w:t>
            </w:r>
          </w:p>
        </w:tc>
      </w:tr>
      <w:tr w14:paraId="6FA5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419" w:type="dxa"/>
            <w:vAlign w:val="center"/>
          </w:tcPr>
          <w:p w14:paraId="4A21C054">
            <w:pPr>
              <w:spacing w:line="400" w:lineRule="exact"/>
              <w:jc w:val="center"/>
              <w:rPr>
                <w:rFonts w:hint="eastAsia" w:ascii="Times New Roman" w:hAnsi="Times New Roman" w:eastAsiaTheme="minorEastAsia"/>
                <w:color w:val="auto"/>
                <w:sz w:val="18"/>
                <w:szCs w:val="18"/>
                <w:highlight w:val="none"/>
                <w:lang w:val="en-US" w:eastAsia="zh-CN"/>
              </w:rPr>
            </w:pPr>
            <w:r>
              <w:rPr>
                <w:rFonts w:ascii="Times New Roman" w:hAnsi="Times New Roman"/>
                <w:color w:val="auto"/>
                <w:sz w:val="18"/>
                <w:szCs w:val="18"/>
                <w:highlight w:val="none"/>
              </w:rPr>
              <w:t>1</w:t>
            </w:r>
            <w:r>
              <w:rPr>
                <w:rFonts w:hint="eastAsia" w:ascii="Times New Roman" w:hAnsi="Times New Roman"/>
                <w:color w:val="auto"/>
                <w:sz w:val="18"/>
                <w:szCs w:val="18"/>
                <w:highlight w:val="none"/>
                <w:lang w:val="en-US" w:eastAsia="zh-CN"/>
              </w:rPr>
              <w:t>4</w:t>
            </w:r>
          </w:p>
        </w:tc>
        <w:tc>
          <w:tcPr>
            <w:tcW w:w="2932" w:type="dxa"/>
            <w:vAlign w:val="center"/>
          </w:tcPr>
          <w:p w14:paraId="1E7FE060">
            <w:pPr>
              <w:spacing w:line="400" w:lineRule="exact"/>
              <w:jc w:val="left"/>
              <w:rPr>
                <w:rFonts w:ascii="Times New Roman" w:hAnsi="Times New Roman"/>
                <w:color w:val="auto"/>
                <w:sz w:val="18"/>
                <w:szCs w:val="18"/>
                <w:highlight w:val="none"/>
              </w:rPr>
            </w:pPr>
            <w:r>
              <w:rPr>
                <w:rFonts w:hint="eastAsia" w:ascii="宋体" w:hAnsi="宋体" w:eastAsia="宋体" w:cs="宋体"/>
                <w:color w:val="auto"/>
                <w:sz w:val="18"/>
                <w:szCs w:val="18"/>
                <w:highlight w:val="none"/>
                <w:lang w:eastAsia="zh-CN"/>
              </w:rPr>
              <w:t>申领电子社会保障</w:t>
            </w:r>
            <w:r>
              <w:rPr>
                <w:rFonts w:hint="eastAsia" w:ascii="宋体" w:hAnsi="宋体" w:eastAsia="宋体" w:cs="宋体"/>
                <w:color w:val="auto"/>
                <w:sz w:val="18"/>
                <w:szCs w:val="18"/>
                <w:highlight w:val="none"/>
              </w:rPr>
              <w:t>卡</w:t>
            </w:r>
            <w:r>
              <w:rPr>
                <w:rFonts w:hint="eastAsia" w:ascii="宋体" w:hAnsi="宋体" w:eastAsia="宋体" w:cs="宋体"/>
                <w:color w:val="auto"/>
                <w:sz w:val="18"/>
                <w:szCs w:val="18"/>
                <w:highlight w:val="none"/>
                <w:lang w:eastAsia="zh-CN"/>
              </w:rPr>
              <w:t>人口覆盖率</w:t>
            </w:r>
          </w:p>
        </w:tc>
        <w:tc>
          <w:tcPr>
            <w:tcW w:w="737" w:type="dxa"/>
            <w:vAlign w:val="center"/>
          </w:tcPr>
          <w:p w14:paraId="16F09C7C">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宋体" w:hAnsi="宋体" w:eastAsia="宋体" w:cs="宋体"/>
                <w:color w:val="auto"/>
                <w:sz w:val="18"/>
                <w:szCs w:val="18"/>
                <w:highlight w:val="none"/>
              </w:rPr>
              <w:t>%</w:t>
            </w:r>
          </w:p>
        </w:tc>
        <w:tc>
          <w:tcPr>
            <w:tcW w:w="850" w:type="dxa"/>
            <w:vAlign w:val="center"/>
          </w:tcPr>
          <w:p w14:paraId="539CDA60">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rPr>
              <w:t>64</w:t>
            </w:r>
          </w:p>
        </w:tc>
        <w:tc>
          <w:tcPr>
            <w:tcW w:w="897" w:type="dxa"/>
            <w:vAlign w:val="center"/>
          </w:tcPr>
          <w:p w14:paraId="477E527B">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rPr>
              <w:t>65</w:t>
            </w:r>
          </w:p>
        </w:tc>
        <w:tc>
          <w:tcPr>
            <w:tcW w:w="912" w:type="dxa"/>
            <w:vAlign w:val="center"/>
          </w:tcPr>
          <w:p w14:paraId="6BFCE4A8">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rPr>
              <w:t>66</w:t>
            </w:r>
          </w:p>
        </w:tc>
        <w:tc>
          <w:tcPr>
            <w:tcW w:w="989" w:type="dxa"/>
            <w:vAlign w:val="center"/>
          </w:tcPr>
          <w:p w14:paraId="44F2EC7A">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rPr>
              <w:t>67</w:t>
            </w:r>
          </w:p>
        </w:tc>
        <w:tc>
          <w:tcPr>
            <w:tcW w:w="984" w:type="dxa"/>
            <w:vAlign w:val="center"/>
          </w:tcPr>
          <w:p w14:paraId="6DCD2960">
            <w:pPr>
              <w:spacing w:line="40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rPr>
              <w:t>68</w:t>
            </w:r>
          </w:p>
        </w:tc>
        <w:tc>
          <w:tcPr>
            <w:tcW w:w="811" w:type="dxa"/>
            <w:vAlign w:val="center"/>
          </w:tcPr>
          <w:p w14:paraId="48B818D2">
            <w:pPr>
              <w:spacing w:line="40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预期性</w:t>
            </w:r>
          </w:p>
        </w:tc>
      </w:tr>
    </w:tbl>
    <w:p w14:paraId="67300CF7">
      <w:pPr>
        <w:snapToGrid w:val="0"/>
        <w:spacing w:line="560" w:lineRule="exact"/>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注：[  ]内为累计数。2025年预计为2025年人社事业发展计划数（时点数指标）</w:t>
      </w:r>
      <w:r>
        <w:rPr>
          <w:rFonts w:hint="eastAsia" w:ascii="仿宋_GB2312" w:hAnsi="仿宋_GB2312" w:eastAsia="仿宋_GB2312" w:cs="仿宋_GB2312"/>
          <w:color w:val="auto"/>
          <w:szCs w:val="21"/>
          <w:highlight w:val="none"/>
          <w:lang w:eastAsia="zh-CN"/>
        </w:rPr>
        <w:t>。</w:t>
      </w:r>
    </w:p>
    <w:p w14:paraId="16612C1D">
      <w:pPr>
        <w:jc w:val="center"/>
        <w:rPr>
          <w:rFonts w:hint="eastAsia" w:ascii="黑体" w:hAnsi="黑体" w:eastAsia="黑体" w:cs="黑体"/>
          <w:color w:val="auto"/>
          <w:sz w:val="32"/>
          <w:szCs w:val="32"/>
          <w:highlight w:val="none"/>
        </w:rPr>
      </w:pPr>
    </w:p>
    <w:p w14:paraId="12FB9A6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rPr>
      </w:pPr>
      <w:bookmarkStart w:id="22" w:name="_Toc31414"/>
      <w:bookmarkStart w:id="23" w:name="_Toc10615"/>
      <w:bookmarkStart w:id="24" w:name="_Toc17083"/>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lang w:eastAsia="zh-CN"/>
        </w:rPr>
        <w:t>深挖侨乡底蕴</w:t>
      </w:r>
      <w:r>
        <w:rPr>
          <w:rFonts w:hint="default" w:ascii="黑体" w:hAnsi="黑体" w:eastAsia="黑体" w:cs="黑体"/>
          <w:color w:val="auto"/>
          <w:sz w:val="32"/>
          <w:szCs w:val="32"/>
          <w:highlight w:val="none"/>
        </w:rPr>
        <w:t xml:space="preserve">优势 </w:t>
      </w:r>
      <w:r>
        <w:rPr>
          <w:rFonts w:hint="eastAsia" w:ascii="黑体" w:hAnsi="黑体" w:eastAsia="黑体" w:cs="黑体"/>
          <w:color w:val="auto"/>
          <w:sz w:val="32"/>
          <w:szCs w:val="32"/>
          <w:highlight w:val="none"/>
          <w:lang w:eastAsia="zh-CN"/>
        </w:rPr>
        <w:t>落实区域协调发展战略</w:t>
      </w:r>
      <w:bookmarkEnd w:id="22"/>
      <w:bookmarkEnd w:id="23"/>
      <w:bookmarkEnd w:id="24"/>
    </w:p>
    <w:p w14:paraId="3EA78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Times New Roman" w:hAnsi="Times New Roman" w:eastAsia="仿宋_GB2312" w:cs="仿宋_GB2312"/>
          <w:b w:val="0"/>
          <w:bCs w:val="0"/>
          <w:color w:val="auto"/>
          <w:sz w:val="32"/>
          <w:szCs w:val="32"/>
          <w:highlight w:val="none"/>
        </w:rPr>
        <w:t>围绕做实粤港澳大湾区“一点两地”的全新定位</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努力</w:t>
      </w:r>
      <w:r>
        <w:rPr>
          <w:rFonts w:hint="eastAsia" w:ascii="仿宋_GB2312" w:hAnsi="仿宋_GB2312" w:eastAsia="仿宋_GB2312" w:cs="仿宋_GB2312"/>
          <w:color w:val="auto"/>
          <w:sz w:val="32"/>
          <w:szCs w:val="32"/>
          <w:highlight w:val="none"/>
          <w:u w:val="none" w:color="auto"/>
        </w:rPr>
        <w:t>构建城乡区域协调发展新格局，</w:t>
      </w:r>
      <w:r>
        <w:rPr>
          <w:rFonts w:hint="eastAsia" w:ascii="仿宋_GB2312" w:hAnsi="仿宋_GB2312" w:eastAsia="仿宋_GB2312" w:cs="仿宋_GB2312"/>
          <w:color w:val="auto"/>
          <w:sz w:val="32"/>
          <w:szCs w:val="32"/>
          <w:highlight w:val="none"/>
          <w:u w:val="none" w:color="auto"/>
          <w:lang w:val="en-US" w:eastAsia="zh-CN"/>
        </w:rPr>
        <w:t>进一步拓展</w:t>
      </w:r>
      <w:r>
        <w:rPr>
          <w:rFonts w:hint="eastAsia" w:ascii="仿宋_GB2312" w:hAnsi="仿宋_GB2312" w:eastAsia="仿宋_GB2312" w:cs="仿宋_GB2312"/>
          <w:color w:val="auto"/>
          <w:sz w:val="32"/>
          <w:szCs w:val="32"/>
          <w:highlight w:val="none"/>
          <w:u w:val="none" w:color="auto"/>
        </w:rPr>
        <w:t>粤港澳人力资源和社会保障合作，发挥好与港澳地缘相近、人缘相亲的优势，为</w:t>
      </w:r>
      <w:r>
        <w:rPr>
          <w:rFonts w:hint="eastAsia" w:ascii="仿宋_GB2312" w:hAnsi="仿宋_GB2312" w:eastAsia="仿宋_GB2312" w:cs="仿宋_GB2312"/>
          <w:color w:val="auto"/>
          <w:sz w:val="32"/>
          <w:szCs w:val="32"/>
          <w:highlight w:val="none"/>
          <w:u w:val="none" w:color="auto"/>
          <w:lang w:eastAsia="zh-CN"/>
        </w:rPr>
        <w:t>华侨华人、</w:t>
      </w:r>
      <w:r>
        <w:rPr>
          <w:rFonts w:hint="eastAsia" w:ascii="仿宋_GB2312" w:hAnsi="仿宋_GB2312" w:eastAsia="仿宋_GB2312" w:cs="仿宋_GB2312"/>
          <w:color w:val="auto"/>
          <w:sz w:val="32"/>
          <w:szCs w:val="32"/>
          <w:highlight w:val="none"/>
          <w:u w:val="none" w:color="auto"/>
        </w:rPr>
        <w:t>港澳居民来</w:t>
      </w:r>
      <w:r>
        <w:rPr>
          <w:rFonts w:hint="eastAsia" w:ascii="仿宋_GB2312" w:hAnsi="仿宋_GB2312" w:eastAsia="仿宋_GB2312" w:cs="仿宋_GB2312"/>
          <w:color w:val="auto"/>
          <w:sz w:val="32"/>
          <w:szCs w:val="32"/>
          <w:highlight w:val="none"/>
          <w:u w:val="none" w:color="auto"/>
          <w:lang w:val="en-US" w:eastAsia="zh-CN"/>
        </w:rPr>
        <w:t>开</w:t>
      </w:r>
      <w:r>
        <w:rPr>
          <w:rFonts w:hint="eastAsia" w:ascii="仿宋_GB2312" w:hAnsi="仿宋_GB2312" w:eastAsia="仿宋_GB2312" w:cs="仿宋_GB2312"/>
          <w:color w:val="auto"/>
          <w:sz w:val="32"/>
          <w:szCs w:val="32"/>
          <w:highlight w:val="none"/>
          <w:u w:val="none" w:color="auto"/>
        </w:rPr>
        <w:t>就业创业、生活居住提供便利条件，着力吸引和集聚更多人才。坚持以头号力度推进</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百千万工程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，推动区域协调发展战略在人社领域落实落地</w:t>
      </w:r>
      <w:r>
        <w:rPr>
          <w:rFonts w:hint="eastAsia" w:ascii="仿宋_GB2312" w:hAnsi="仿宋_GB2312" w:eastAsia="仿宋_GB2312" w:cs="仿宋_GB2312"/>
          <w:color w:val="auto"/>
          <w:sz w:val="32"/>
          <w:szCs w:val="32"/>
          <w:highlight w:val="none"/>
          <w:u w:val="none" w:color="auto"/>
          <w:lang w:eastAsia="zh-CN"/>
        </w:rPr>
        <w:t>。</w:t>
      </w:r>
    </w:p>
    <w:p w14:paraId="0870BBA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rPr>
      </w:pPr>
      <w:bookmarkStart w:id="25" w:name="_Toc4821"/>
      <w:bookmarkStart w:id="26" w:name="_Toc17790"/>
      <w:bookmarkStart w:id="27" w:name="_Toc25803"/>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rPr>
        <w:t>节 积极参与新阶段粤港澳大湾区建设</w:t>
      </w:r>
      <w:bookmarkEnd w:id="25"/>
      <w:bookmarkEnd w:id="26"/>
      <w:bookmarkEnd w:id="27"/>
    </w:p>
    <w:p w14:paraId="0912A3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全链条服务港澳青年就业创业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u w:val="none"/>
        </w:rPr>
        <w:t>深入贯彻落实《广东省促进港澳青年在粤港澳大湾区内地九市就业创业条例》，充分发挥“侨”资源优势、深化与港澳的交流合作，积极开展人才交流、研学等活动，促进港澳青年来江创业就业。鼓励</w:t>
      </w:r>
      <w:r>
        <w:rPr>
          <w:rFonts w:hint="eastAsia" w:ascii="仿宋_GB2312" w:hAnsi="仿宋_GB2312" w:eastAsia="仿宋_GB2312" w:cs="仿宋_GB2312"/>
          <w:color w:val="auto"/>
          <w:sz w:val="32"/>
          <w:szCs w:val="32"/>
          <w:highlight w:val="none"/>
          <w:u w:val="none"/>
          <w:lang w:val="en-US"/>
        </w:rPr>
        <w:t>江门</w:t>
      </w:r>
      <w:r>
        <w:rPr>
          <w:rFonts w:hint="eastAsia" w:ascii="仿宋_GB2312" w:hAnsi="仿宋_GB2312" w:eastAsia="仿宋_GB2312" w:cs="仿宋_GB2312"/>
          <w:color w:val="auto"/>
          <w:sz w:val="32"/>
          <w:szCs w:val="32"/>
          <w:highlight w:val="none"/>
          <w:u w:val="none"/>
        </w:rPr>
        <w:t>开平市文旅创业孵化基地</w:t>
      </w:r>
      <w:r>
        <w:rPr>
          <w:rFonts w:hint="eastAsia" w:ascii="仿宋_GB2312" w:hAnsi="仿宋_GB2312" w:eastAsia="仿宋_GB2312" w:cs="仿宋_GB2312"/>
          <w:color w:val="auto"/>
          <w:sz w:val="32"/>
          <w:szCs w:val="32"/>
          <w:highlight w:val="none"/>
          <w:u w:val="none"/>
          <w:lang w:val="en-US"/>
        </w:rPr>
        <w:t>（开平市农村电商产业园）</w:t>
      </w:r>
      <w:r>
        <w:rPr>
          <w:rFonts w:hint="eastAsia" w:ascii="仿宋_GB2312" w:hAnsi="仿宋_GB2312" w:eastAsia="仿宋_GB2312" w:cs="仿宋_GB2312"/>
          <w:color w:val="auto"/>
          <w:sz w:val="32"/>
          <w:szCs w:val="32"/>
          <w:highlight w:val="none"/>
          <w:u w:val="none"/>
        </w:rPr>
        <w:t>等各类创业孵化基地载体开辟面向华侨华人及港澳台同胞的创新创业空间</w:t>
      </w:r>
      <w:r>
        <w:rPr>
          <w:rFonts w:hint="eastAsia" w:ascii="仿宋_GB2312" w:hAnsi="仿宋_GB2312" w:eastAsia="仿宋_GB2312" w:cs="仿宋_GB2312"/>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u w:val="none"/>
        </w:rPr>
        <w:t>创新创业扶持政策的适用范围扩展至华侨华人和港澳台同胞。</w:t>
      </w:r>
    </w:p>
    <w:p w14:paraId="204A9B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u w:val="none"/>
        </w:rPr>
        <w:t>积极参与粤港澳大湾区高水平人才高地建设</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打造“人才+科研平台”立体化管理服务制度体系，精准实施省级博士后人才项目，夯实博士博士后平台载体建设，推进博士博士后人才汇聚计划，大力引进培养急需紧缺人才和数字技术工程师等新质生产力相关青年人才。加快</w:t>
      </w:r>
      <w:r>
        <w:rPr>
          <w:rFonts w:hint="eastAsia" w:ascii="仿宋_GB2312" w:hAnsi="仿宋_GB2312" w:eastAsia="仿宋_GB2312" w:cs="仿宋_GB2312"/>
          <w:color w:val="auto"/>
          <w:sz w:val="32"/>
          <w:szCs w:val="32"/>
          <w:highlight w:val="none"/>
          <w:u w:val="none"/>
          <w:lang w:val="en-US" w:eastAsia="zh-CN"/>
        </w:rPr>
        <w:t>贯彻实施</w:t>
      </w:r>
      <w:r>
        <w:rPr>
          <w:rFonts w:hint="eastAsia" w:ascii="仿宋_GB2312" w:hAnsi="仿宋_GB2312" w:eastAsia="仿宋_GB2312" w:cs="仿宋_GB2312"/>
          <w:color w:val="auto"/>
          <w:sz w:val="32"/>
          <w:szCs w:val="32"/>
          <w:highlight w:val="none"/>
          <w:u w:val="none"/>
        </w:rPr>
        <w:t>以创新价值、能力、贡献为导向的人才评价体系，强化职称评审监管。</w:t>
      </w:r>
      <w:r>
        <w:rPr>
          <w:rFonts w:hint="eastAsia" w:ascii="仿宋_GB2312" w:hAnsi="仿宋_GB2312" w:eastAsia="仿宋_GB2312" w:cs="仿宋_GB2312"/>
          <w:color w:val="auto"/>
          <w:sz w:val="32"/>
          <w:szCs w:val="32"/>
          <w:highlight w:val="none"/>
          <w:u w:val="none"/>
          <w:lang w:val="en-US" w:eastAsia="zh-CN"/>
        </w:rPr>
        <w:t>配合</w:t>
      </w:r>
      <w:r>
        <w:rPr>
          <w:rFonts w:hint="eastAsia" w:ascii="仿宋_GB2312" w:hAnsi="仿宋_GB2312" w:eastAsia="仿宋_GB2312" w:cs="仿宋_GB2312"/>
          <w:color w:val="auto"/>
          <w:sz w:val="32"/>
          <w:szCs w:val="32"/>
          <w:highlight w:val="none"/>
          <w:u w:val="none"/>
        </w:rPr>
        <w:t>实施专业技术人才知识更新工程，加强创新型、应用型、复合型人才培养。加强评价体系建设，实施贯通机制，促进专业技术人才与高技能人才的职业发展互通。</w:t>
      </w:r>
    </w:p>
    <w:p w14:paraId="64BE22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深化江港澳技能人才培养评价。</w:t>
      </w:r>
      <w:r>
        <w:rPr>
          <w:rFonts w:hint="eastAsia" w:ascii="仿宋_GB2312" w:hAnsi="仿宋_GB2312" w:eastAsia="仿宋_GB2312" w:cs="仿宋_GB2312"/>
          <w:color w:val="auto"/>
          <w:sz w:val="32"/>
          <w:szCs w:val="32"/>
          <w:highlight w:val="none"/>
          <w:u w:val="none"/>
          <w:lang w:val="en-US" w:eastAsia="zh-CN"/>
        </w:rPr>
        <w:t>深化与澳门旅游大学合作，培养一批文旅产业技能人才。探索开展粤港澳咖啡师技能培训，鼓励社会人员参与“一试三证”职业技能人才评价，促进行业技能人才在粤港澳大湾区交流合作。</w:t>
      </w:r>
    </w:p>
    <w:p w14:paraId="4C1867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b/>
          <w:bCs/>
          <w:color w:val="auto"/>
          <w:sz w:val="32"/>
          <w:szCs w:val="32"/>
          <w:highlight w:val="none"/>
          <w:u w:val="none"/>
          <w:lang w:val="en-US" w:eastAsia="zh-CN"/>
        </w:rPr>
        <w:t>推进社保领域湾区协同</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按照省</w:t>
      </w:r>
      <w:r>
        <w:rPr>
          <w:rFonts w:hint="eastAsia" w:ascii="仿宋_GB2312" w:hAnsi="仿宋_GB2312" w:eastAsia="仿宋_GB2312" w:cs="仿宋_GB2312"/>
          <w:color w:val="auto"/>
          <w:sz w:val="32"/>
          <w:szCs w:val="32"/>
          <w:highlight w:val="none"/>
          <w:u w:val="none"/>
          <w:lang w:eastAsia="zh-CN"/>
        </w:rPr>
        <w:t>和江门市</w:t>
      </w:r>
      <w:r>
        <w:rPr>
          <w:rFonts w:hint="eastAsia" w:ascii="仿宋_GB2312" w:hAnsi="仿宋_GB2312" w:eastAsia="仿宋_GB2312" w:cs="仿宋_GB2312"/>
          <w:color w:val="auto"/>
          <w:sz w:val="32"/>
          <w:szCs w:val="32"/>
          <w:highlight w:val="none"/>
          <w:u w:val="none"/>
        </w:rPr>
        <w:t>的统一</w:t>
      </w:r>
      <w:r>
        <w:rPr>
          <w:rFonts w:hint="eastAsia" w:ascii="仿宋_GB2312" w:hAnsi="仿宋_GB2312" w:eastAsia="仿宋_GB2312" w:cs="仿宋_GB2312"/>
          <w:color w:val="auto"/>
          <w:sz w:val="32"/>
          <w:szCs w:val="32"/>
          <w:highlight w:val="none"/>
          <w:u w:val="none"/>
          <w:lang w:eastAsia="zh-CN"/>
        </w:rPr>
        <w:t>工作安排</w:t>
      </w:r>
      <w:r>
        <w:rPr>
          <w:rFonts w:hint="eastAsia" w:ascii="仿宋_GB2312" w:hAnsi="仿宋_GB2312" w:eastAsia="仿宋_GB2312" w:cs="仿宋_GB2312"/>
          <w:color w:val="auto"/>
          <w:sz w:val="32"/>
          <w:szCs w:val="32"/>
          <w:highlight w:val="none"/>
          <w:u w:val="none"/>
        </w:rPr>
        <w:t>，逐步推进粤港澳大湾区社保规则衔接。</w:t>
      </w:r>
      <w:r>
        <w:rPr>
          <w:rFonts w:hint="eastAsia" w:ascii="仿宋_GB2312" w:hAnsi="仿宋_GB2312" w:eastAsia="仿宋_GB2312" w:cs="仿宋_GB2312"/>
          <w:color w:val="auto"/>
          <w:sz w:val="32"/>
          <w:szCs w:val="32"/>
          <w:highlight w:val="none"/>
          <w:u w:val="none"/>
          <w:lang w:val="en-US" w:eastAsia="zh-CN"/>
        </w:rPr>
        <w:t>全面落实港澳居民参加社会保险政策，</w:t>
      </w:r>
      <w:r>
        <w:rPr>
          <w:rFonts w:hint="eastAsia" w:ascii="仿宋_GB2312" w:hAnsi="仿宋_GB2312" w:eastAsia="仿宋_GB2312" w:cs="仿宋_GB2312"/>
          <w:color w:val="auto"/>
          <w:sz w:val="32"/>
          <w:szCs w:val="32"/>
          <w:highlight w:val="none"/>
          <w:u w:val="none"/>
        </w:rPr>
        <w:t>持续优化港澳居民参保服务，提高湾区社保服务可及性。</w:t>
      </w:r>
      <w:r>
        <w:rPr>
          <w:rFonts w:hint="eastAsia" w:ascii="仿宋_GB2312" w:hAnsi="仿宋_GB2312" w:eastAsia="仿宋_GB2312" w:cs="仿宋_GB2312"/>
          <w:color w:val="auto"/>
          <w:sz w:val="32"/>
          <w:szCs w:val="32"/>
          <w:highlight w:val="none"/>
          <w:u w:val="none"/>
          <w:lang w:val="en-US" w:eastAsia="zh-CN"/>
        </w:rPr>
        <w:t>完善粤澳社保一窗通，探索创新港澳居民养老保险“一件事”服务方式。</w:t>
      </w:r>
      <w:r>
        <w:rPr>
          <w:rFonts w:hint="eastAsia" w:ascii="仿宋_GB2312" w:hAnsi="仿宋_GB2312" w:eastAsia="仿宋_GB2312" w:cs="仿宋_GB2312"/>
          <w:color w:val="auto"/>
          <w:sz w:val="32"/>
          <w:szCs w:val="32"/>
          <w:highlight w:val="none"/>
          <w:u w:val="none"/>
        </w:rPr>
        <w:t>进一步丰富服务场景，提高湾区社保服务便捷性。</w:t>
      </w:r>
    </w:p>
    <w:p w14:paraId="777A1104">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outlineLvl w:val="0"/>
        <w:rPr>
          <w:rFonts w:hint="eastAsia" w:ascii="黑体" w:hAnsi="黑体" w:eastAsia="黑体" w:cs="黑体"/>
          <w:color w:val="auto"/>
          <w:sz w:val="32"/>
          <w:szCs w:val="32"/>
          <w:highlight w:val="none"/>
        </w:rPr>
      </w:pPr>
      <w:bookmarkStart w:id="28" w:name="_Toc1819"/>
      <w:bookmarkStart w:id="29" w:name="_Toc26364"/>
      <w:bookmarkStart w:id="30" w:name="_Toc22626"/>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rPr>
        <w:t>节 深入推动“百千万工程”落地见效</w:t>
      </w:r>
      <w:bookmarkEnd w:id="28"/>
      <w:bookmarkEnd w:id="29"/>
      <w:bookmarkEnd w:id="30"/>
    </w:p>
    <w:p w14:paraId="26DE93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加快构建统筹城乡的人力资源社会保障体系。</w:t>
      </w:r>
      <w:r>
        <w:rPr>
          <w:rFonts w:hint="eastAsia" w:ascii="仿宋_GB2312" w:hAnsi="仿宋_GB2312" w:eastAsia="仿宋_GB2312" w:cs="仿宋_GB2312"/>
          <w:color w:val="auto"/>
          <w:sz w:val="32"/>
          <w:szCs w:val="32"/>
          <w:highlight w:val="none"/>
          <w:u w:val="none" w:color="auto"/>
          <w:lang w:val="en-US" w:eastAsia="zh-CN"/>
        </w:rPr>
        <w:t>构建城乡一体、均等高效的公共就业服务体系，</w:t>
      </w:r>
      <w:r>
        <w:rPr>
          <w:rFonts w:hint="eastAsia" w:ascii="仿宋_GB2312" w:hAnsi="仿宋_GB2312" w:eastAsia="仿宋_GB2312" w:cs="仿宋_GB2312"/>
          <w:color w:val="auto"/>
          <w:sz w:val="32"/>
          <w:szCs w:val="32"/>
          <w:highlight w:val="none"/>
          <w:lang w:eastAsia="zh-CN"/>
        </w:rPr>
        <w:t>推进返乡入乡创业试点建设</w:t>
      </w:r>
      <w:r>
        <w:rPr>
          <w:rFonts w:hint="eastAsia" w:ascii="仿宋_GB2312" w:hAnsi="仿宋_GB2312" w:eastAsia="仿宋_GB2312" w:cs="仿宋_GB2312"/>
          <w:color w:val="auto"/>
          <w:sz w:val="32"/>
          <w:szCs w:val="32"/>
          <w:highlight w:val="none"/>
          <w:u w:val="none" w:color="auto"/>
          <w:lang w:val="en-US" w:eastAsia="zh-CN"/>
        </w:rPr>
        <w:t>，不断优化县域就业环境，促进就地就近就业。构建市镇产业技能人才培养机制，结合“粤菜师傅”“广东技工”“南粤家政”“乡村工匠”“农村电商”工程高质量开展职业技能培训。深化基本养老保险提质增效行动，落实城乡居民个人缴费和政府补贴机制，提高城乡居民基础养老金最低标准，持续推进社保“镇村通”工程，提升社保层次水平。</w:t>
      </w:r>
      <w:r>
        <w:rPr>
          <w:rFonts w:hint="eastAsia" w:ascii="仿宋_GB2312" w:hAnsi="仿宋_GB2312" w:eastAsia="仿宋_GB2312" w:cs="仿宋_GB2312"/>
          <w:color w:val="auto"/>
          <w:sz w:val="32"/>
          <w:szCs w:val="32"/>
          <w:highlight w:val="none"/>
          <w:u w:val="none"/>
        </w:rPr>
        <w:t>引导人才下沉基层一线</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color="auto"/>
          <w:lang w:val="en-US" w:eastAsia="zh-CN"/>
        </w:rPr>
        <w:t>持续深化“三支一扶”计划，</w:t>
      </w:r>
      <w:r>
        <w:rPr>
          <w:rFonts w:hint="eastAsia" w:ascii="仿宋_GB2312" w:hAnsi="仿宋_GB2312" w:eastAsia="仿宋_GB2312" w:cs="仿宋_GB2312"/>
          <w:color w:val="auto"/>
          <w:sz w:val="32"/>
          <w:szCs w:val="32"/>
          <w:highlight w:val="none"/>
          <w:u w:val="none"/>
        </w:rPr>
        <w:t>加大对基层事业单位人才激励和招引力度，支持各事业单位</w:t>
      </w:r>
      <w:r>
        <w:rPr>
          <w:rFonts w:hint="eastAsia" w:ascii="仿宋_GB2312" w:hAnsi="仿宋_GB2312" w:eastAsia="仿宋_GB2312" w:cs="仿宋_GB2312"/>
          <w:color w:val="auto"/>
          <w:sz w:val="32"/>
          <w:szCs w:val="32"/>
          <w:highlight w:val="none"/>
          <w:u w:val="none"/>
          <w:lang w:eastAsia="zh-CN"/>
        </w:rPr>
        <w:t>参加</w:t>
      </w:r>
      <w:r>
        <w:rPr>
          <w:rFonts w:hint="eastAsia" w:ascii="仿宋_GB2312" w:hAnsi="仿宋_GB2312" w:eastAsia="仿宋_GB2312" w:cs="仿宋_GB2312"/>
          <w:color w:val="auto"/>
          <w:sz w:val="32"/>
          <w:szCs w:val="32"/>
          <w:highlight w:val="none"/>
          <w:u w:val="none"/>
          <w:lang w:val="en-US" w:eastAsia="zh-CN"/>
        </w:rPr>
        <w:t>全</w:t>
      </w:r>
      <w:r>
        <w:rPr>
          <w:rFonts w:hint="eastAsia" w:ascii="仿宋_GB2312" w:hAnsi="仿宋_GB2312" w:eastAsia="仿宋_GB2312" w:cs="仿宋_GB2312"/>
          <w:color w:val="auto"/>
          <w:sz w:val="32"/>
          <w:szCs w:val="32"/>
          <w:highlight w:val="none"/>
          <w:u w:val="none"/>
        </w:rPr>
        <w:t>省</w:t>
      </w:r>
      <w:r>
        <w:rPr>
          <w:rFonts w:hint="eastAsia" w:ascii="仿宋_GB2312" w:hAnsi="仿宋_GB2312" w:eastAsia="仿宋_GB2312" w:cs="仿宋_GB2312"/>
          <w:color w:val="auto"/>
          <w:sz w:val="32"/>
          <w:szCs w:val="32"/>
          <w:highlight w:val="none"/>
          <w:u w:val="none"/>
          <w:lang w:eastAsia="zh-CN"/>
        </w:rPr>
        <w:t>事业单位集中公开招聘</w:t>
      </w:r>
      <w:r>
        <w:rPr>
          <w:rFonts w:hint="eastAsia" w:ascii="仿宋_GB2312" w:hAnsi="仿宋_GB2312" w:eastAsia="仿宋_GB2312" w:cs="仿宋_GB2312"/>
          <w:color w:val="auto"/>
          <w:sz w:val="32"/>
          <w:szCs w:val="32"/>
          <w:highlight w:val="none"/>
          <w:u w:val="none"/>
        </w:rPr>
        <w:t>高校毕业生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配合深化农业或林业等行业专业技术人才职称“定向评价、定向使用”改革</w:t>
      </w:r>
      <w:r>
        <w:rPr>
          <w:rFonts w:hint="eastAsia" w:ascii="仿宋_GB2312" w:hAnsi="仿宋_GB2312" w:eastAsia="仿宋_GB2312" w:cs="仿宋_GB2312"/>
          <w:color w:val="auto"/>
          <w:sz w:val="32"/>
          <w:szCs w:val="32"/>
          <w:highlight w:val="none"/>
          <w:u w:val="none" w:color="auto"/>
          <w:lang w:val="en-US" w:eastAsia="zh-CN"/>
        </w:rPr>
        <w:t>。</w:t>
      </w:r>
    </w:p>
    <w:p w14:paraId="7BDCF7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大力推进新型城镇化建设</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lang w:val="en-US" w:eastAsia="zh-CN"/>
        </w:rPr>
        <w:t>扎实推进以县城为重要载体的新型城镇化工作及新型城镇化省级试点建设，</w:t>
      </w:r>
      <w:r>
        <w:rPr>
          <w:rFonts w:hint="default" w:ascii="仿宋_GB2312" w:hAnsi="仿宋_GB2312" w:eastAsia="仿宋_GB2312" w:cs="仿宋_GB2312"/>
          <w:color w:val="auto"/>
          <w:sz w:val="32"/>
          <w:szCs w:val="32"/>
          <w:highlight w:val="none"/>
          <w:lang w:val="en-US" w:eastAsia="zh-CN"/>
        </w:rPr>
        <w:t>紧盯稳定就业、技能增收、社保兜底等群众的核心关切、头等大事</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color="auto"/>
          <w:lang w:val="en-US" w:eastAsia="zh-CN"/>
        </w:rPr>
        <w:t>优化提升基本公共服务标准，做实“家门口”就业服务圈建设、基本养老保险提质增效等民生实事，推动人力资源要素和社会保障力量下沉，实现人社公共服务供给普惠性和均衡性。</w:t>
      </w:r>
    </w:p>
    <w:p w14:paraId="224C186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highlight w:val="none"/>
        </w:rPr>
      </w:pPr>
    </w:p>
    <w:p w14:paraId="5EFCF71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color w:val="auto"/>
          <w:sz w:val="32"/>
          <w:szCs w:val="32"/>
          <w:highlight w:val="none"/>
        </w:rPr>
      </w:pPr>
      <w:bookmarkStart w:id="31" w:name="_Toc14410"/>
      <w:bookmarkStart w:id="32" w:name="_Toc18503"/>
      <w:bookmarkStart w:id="33" w:name="_Toc27509"/>
      <w:r>
        <w:rPr>
          <w:rFonts w:hint="eastAsia" w:ascii="黑体" w:hAnsi="黑体" w:eastAsia="黑体" w:cs="黑体"/>
          <w:color w:val="auto"/>
          <w:sz w:val="32"/>
          <w:szCs w:val="32"/>
          <w:highlight w:val="none"/>
          <w:lang w:val="en-US" w:eastAsia="zh-CN"/>
        </w:rPr>
        <w:t xml:space="preserve">第四章 </w:t>
      </w:r>
      <w:r>
        <w:rPr>
          <w:rFonts w:hint="eastAsia" w:ascii="黑体" w:hAnsi="黑体" w:eastAsia="黑体" w:cs="黑体"/>
          <w:color w:val="auto"/>
          <w:sz w:val="32"/>
          <w:szCs w:val="32"/>
          <w:highlight w:val="none"/>
        </w:rPr>
        <w:t>聚焦社会发展新态势 推动实现更充分更高质量就业</w:t>
      </w:r>
      <w:bookmarkEnd w:id="31"/>
      <w:bookmarkEnd w:id="32"/>
      <w:bookmarkEnd w:id="33"/>
    </w:p>
    <w:p w14:paraId="34539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color="auto"/>
        </w:rPr>
        <w:t>紧扣加快构建新发展格局、培育新质生产力的时代要求，以破解结构性就业矛盾为核心任务，强化就业优先政策与宏观政策协同联动，健全经济发展与就业扩容良性互促机制，加快构建就业友好型发展方式，完善重点群体就业支持体系，激发创业带动就业倍增效应，提升人力资源市场配置效能，推动实现就业机会更加充分、就业结构持续优化、人岗匹配更为高效。</w:t>
      </w:r>
    </w:p>
    <w:p w14:paraId="2EA16B24">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楷体_GB2312" w:hAnsi="楷体_GB2312" w:eastAsia="楷体_GB2312" w:cs="楷体_GB2312"/>
          <w:color w:val="auto"/>
          <w:sz w:val="32"/>
          <w:szCs w:val="32"/>
          <w:highlight w:val="none"/>
        </w:rPr>
      </w:pPr>
      <w:bookmarkStart w:id="34" w:name="_Toc1969"/>
      <w:bookmarkStart w:id="35" w:name="_Toc14332"/>
      <w:bookmarkStart w:id="36" w:name="_Toc1584"/>
      <w:r>
        <w:rPr>
          <w:rFonts w:hint="eastAsia" w:ascii="楷体_GB2312" w:hAnsi="楷体_GB2312" w:eastAsia="楷体_GB2312" w:cs="楷体_GB2312"/>
          <w:color w:val="auto"/>
          <w:sz w:val="32"/>
          <w:szCs w:val="32"/>
          <w:highlight w:val="none"/>
        </w:rPr>
        <w:t xml:space="preserve">第一节 </w:t>
      </w:r>
      <w:r>
        <w:rPr>
          <w:rFonts w:hint="eastAsia" w:ascii="楷体_GB2312" w:hAnsi="楷体_GB2312" w:eastAsia="楷体_GB2312" w:cs="楷体_GB2312"/>
          <w:color w:val="auto"/>
          <w:sz w:val="32"/>
          <w:szCs w:val="32"/>
          <w:highlight w:val="none"/>
          <w:lang w:val="zh-CN"/>
        </w:rPr>
        <w:t>强化就业优先政策</w:t>
      </w:r>
      <w:bookmarkEnd w:id="34"/>
      <w:bookmarkEnd w:id="35"/>
      <w:bookmarkEnd w:id="36"/>
    </w:p>
    <w:p w14:paraId="196470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方正仿宋_GBK"/>
          <w:color w:val="auto"/>
          <w:highlight w:val="none"/>
          <w:lang w:eastAsia="zh-CN"/>
        </w:rPr>
      </w:pPr>
      <w:r>
        <w:rPr>
          <w:rFonts w:hint="eastAsia" w:ascii="仿宋_GB2312" w:hAnsi="仿宋_GB2312" w:eastAsia="仿宋_GB2312" w:cs="仿宋_GB2312"/>
          <w:b/>
          <w:bCs/>
          <w:color w:val="auto"/>
          <w:sz w:val="32"/>
          <w:szCs w:val="32"/>
          <w:highlight w:val="none"/>
          <w:u w:val="none"/>
        </w:rPr>
        <w:t>坚持就业优先战略</w:t>
      </w:r>
      <w:r>
        <w:rPr>
          <w:rFonts w:hint="eastAsia" w:ascii="Times New Roman" w:hAnsi="Times New Roman" w:eastAsia="仿宋_GB2312" w:cs="仿宋_GB2312"/>
          <w:b/>
          <w:bCs/>
          <w:color w:val="auto"/>
          <w:sz w:val="32"/>
          <w:szCs w:val="32"/>
          <w:highlight w:val="none"/>
        </w:rPr>
        <w:t>。</w:t>
      </w:r>
      <w:r>
        <w:rPr>
          <w:rFonts w:hint="default" w:ascii="仿宋_GB2312" w:hAnsi="仿宋_GB2312" w:eastAsia="仿宋_GB2312" w:cs="仿宋_GB2312"/>
          <w:color w:val="auto"/>
          <w:sz w:val="32"/>
          <w:szCs w:val="32"/>
          <w:highlight w:val="none"/>
          <w:u w:val="none"/>
        </w:rPr>
        <w:t>将高质量充分就业作为经济社会发展的优先目标，强化财政、投资、消费、产业、区域等政策支持就业的导向</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将对就业量的带动和质的提升作为重要考量。</w:t>
      </w:r>
      <w:r>
        <w:rPr>
          <w:rFonts w:hint="eastAsia" w:ascii="仿宋_GB2312" w:hAnsi="仿宋_GB2312" w:eastAsia="仿宋_GB2312" w:cs="仿宋_GB2312"/>
          <w:color w:val="auto"/>
          <w:sz w:val="32"/>
          <w:szCs w:val="32"/>
          <w:highlight w:val="none"/>
          <w:u w:val="none"/>
        </w:rPr>
        <w:t>深化</w:t>
      </w:r>
      <w:r>
        <w:rPr>
          <w:rFonts w:hint="eastAsia" w:ascii="仿宋_GB2312" w:hAnsi="仿宋_GB2312" w:eastAsia="仿宋_GB2312" w:cs="仿宋_GB2312"/>
          <w:color w:val="auto"/>
          <w:sz w:val="32"/>
          <w:szCs w:val="32"/>
          <w:highlight w:val="none"/>
          <w:u w:val="none"/>
          <w:lang w:eastAsia="zh-CN"/>
        </w:rPr>
        <w:t>政府</w:t>
      </w:r>
      <w:r>
        <w:rPr>
          <w:rFonts w:hint="eastAsia" w:ascii="仿宋_GB2312" w:hAnsi="仿宋_GB2312" w:eastAsia="仿宋_GB2312" w:cs="仿宋_GB2312"/>
          <w:color w:val="auto"/>
          <w:sz w:val="32"/>
          <w:szCs w:val="32"/>
          <w:highlight w:val="none"/>
          <w:u w:val="none"/>
        </w:rPr>
        <w:t>统筹领导、部门横向协同、系统纵向贯通、社会广泛参与的“大就业”工作格局</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推</w:t>
      </w:r>
      <w:r>
        <w:rPr>
          <w:rFonts w:hint="default" w:ascii="仿宋_GB2312" w:hAnsi="仿宋_GB2312" w:eastAsia="仿宋_GB2312" w:cs="仿宋_GB2312"/>
          <w:color w:val="auto"/>
          <w:sz w:val="32"/>
          <w:szCs w:val="32"/>
          <w:highlight w:val="none"/>
          <w:u w:val="none"/>
          <w:lang w:eastAsia="zh-CN"/>
        </w:rPr>
        <w:t>动</w:t>
      </w:r>
      <w:r>
        <w:rPr>
          <w:rFonts w:hint="default" w:ascii="仿宋_GB2312" w:hAnsi="仿宋_GB2312" w:eastAsia="仿宋_GB2312" w:cs="仿宋_GB2312"/>
          <w:color w:val="auto"/>
          <w:sz w:val="32"/>
          <w:szCs w:val="32"/>
          <w:highlight w:val="none"/>
          <w:u w:val="none"/>
        </w:rPr>
        <w:t>实现就业责任共担、就业政策共商、就业服务共建</w:t>
      </w:r>
      <w:r>
        <w:rPr>
          <w:rFonts w:hint="eastAsia" w:ascii="仿宋_GB2312" w:hAnsi="仿宋_GB2312" w:eastAsia="仿宋_GB2312" w:cs="仿宋_GB2312"/>
          <w:color w:val="auto"/>
          <w:sz w:val="32"/>
          <w:szCs w:val="32"/>
          <w:highlight w:val="none"/>
          <w:u w:val="none"/>
          <w:lang w:eastAsia="zh-CN"/>
        </w:rPr>
        <w:t>。</w:t>
      </w:r>
    </w:p>
    <w:p w14:paraId="62BAC5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突出建设现代化产业体系就业支撑。</w:t>
      </w:r>
      <w:r>
        <w:rPr>
          <w:rFonts w:hint="eastAsia" w:ascii="仿宋_GB2312" w:hAnsi="仿宋_GB2312" w:eastAsia="仿宋_GB2312" w:cs="仿宋_GB2312"/>
          <w:color w:val="auto"/>
          <w:sz w:val="32"/>
          <w:szCs w:val="32"/>
          <w:highlight w:val="none"/>
          <w:u w:val="none" w:color="auto"/>
        </w:rPr>
        <w:t>抢抓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大桥经济</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机遇，</w:t>
      </w:r>
      <w:r>
        <w:rPr>
          <w:rFonts w:hint="eastAsia" w:ascii="仿宋_GB2312" w:hAnsi="仿宋_GB2312" w:eastAsia="仿宋_GB2312" w:cs="仿宋_GB2312"/>
          <w:color w:val="auto"/>
          <w:sz w:val="32"/>
          <w:szCs w:val="32"/>
          <w:highlight w:val="none"/>
          <w:lang w:val="en-US" w:eastAsia="zh-CN"/>
        </w:rPr>
        <w:t>紧抓高端装备制造、生物医药与健康、新一代信息技术等新兴产业发展壮大机遇，</w:t>
      </w:r>
      <w:r>
        <w:rPr>
          <w:rFonts w:hint="eastAsia" w:ascii="仿宋_GB2312" w:hAnsi="仿宋_GB2312" w:eastAsia="仿宋_GB2312" w:cs="仿宋_GB2312"/>
          <w:color w:val="auto"/>
          <w:sz w:val="32"/>
          <w:szCs w:val="32"/>
          <w:highlight w:val="none"/>
          <w:u w:val="none" w:color="auto"/>
          <w:lang w:eastAsia="zh-CN"/>
        </w:rPr>
        <w:t>深入</w:t>
      </w:r>
      <w:r>
        <w:rPr>
          <w:rFonts w:hint="eastAsia" w:ascii="仿宋_GB2312" w:hAnsi="仿宋_GB2312" w:eastAsia="仿宋_GB2312" w:cs="仿宋_GB2312"/>
          <w:color w:val="auto"/>
          <w:sz w:val="32"/>
          <w:szCs w:val="32"/>
          <w:highlight w:val="none"/>
          <w:u w:val="none" w:color="auto"/>
          <w:lang w:val="en-US" w:eastAsia="zh-CN"/>
        </w:rPr>
        <w:t>挖掘</w:t>
      </w:r>
      <w:r>
        <w:rPr>
          <w:rFonts w:hint="eastAsia" w:ascii="仿宋_GB2312" w:hAnsi="仿宋_GB2312" w:eastAsia="仿宋_GB2312" w:cs="仿宋_GB2312"/>
          <w:color w:val="auto"/>
          <w:sz w:val="32"/>
          <w:szCs w:val="32"/>
          <w:highlight w:val="none"/>
          <w:u w:val="none" w:color="auto"/>
          <w:lang w:eastAsia="zh-CN"/>
        </w:rPr>
        <w:t>就业潜力，加快培育引进急需紧缺人才；</w:t>
      </w:r>
      <w:r>
        <w:rPr>
          <w:rFonts w:hint="eastAsia" w:ascii="仿宋_GB2312" w:hAnsi="仿宋_GB2312" w:eastAsia="仿宋_GB2312" w:cs="仿宋_GB2312"/>
          <w:color w:val="auto"/>
          <w:sz w:val="32"/>
          <w:szCs w:val="32"/>
          <w:highlight w:val="none"/>
          <w:lang w:val="en-US" w:eastAsia="zh-CN"/>
        </w:rPr>
        <w:t>发挥好我市食品、金属制品（水暖卫浴）、纺织服装三大传统优势产业，</w:t>
      </w:r>
      <w:r>
        <w:rPr>
          <w:rFonts w:hint="eastAsia" w:ascii="Times New Roman" w:hAnsi="Times New Roman" w:eastAsia="仿宋_GB2312" w:cs="仿宋_GB2312"/>
          <w:color w:val="auto"/>
          <w:sz w:val="32"/>
          <w:szCs w:val="32"/>
          <w:highlight w:val="none"/>
          <w:lang w:val="en-US" w:eastAsia="zh-CN"/>
        </w:rPr>
        <w:t>充分</w:t>
      </w:r>
      <w:r>
        <w:rPr>
          <w:rFonts w:hint="eastAsia" w:ascii="Times New Roman" w:hAnsi="Times New Roman" w:eastAsia="仿宋_GB2312" w:cs="仿宋_GB2312"/>
          <w:color w:val="auto"/>
          <w:sz w:val="32"/>
          <w:szCs w:val="32"/>
          <w:highlight w:val="none"/>
        </w:rPr>
        <w:t>发挥现代服务业吸纳就业的能力</w:t>
      </w:r>
      <w:r>
        <w:rPr>
          <w:rFonts w:hint="eastAsia" w:ascii="Times New Roman" w:hAnsi="Times New Roman"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扩大“开平优品”行政区品牌建设、农文旅融合发展示范产业园发展的就业带动力，创造大量高技术含量、高人力资源附加值的岗位</w:t>
      </w:r>
      <w:r>
        <w:rPr>
          <w:rFonts w:hint="eastAsia" w:ascii="仿宋_GB2312" w:hAnsi="仿宋_GB2312" w:eastAsia="仿宋_GB2312" w:cs="仿宋_GB2312"/>
          <w:color w:val="auto"/>
          <w:sz w:val="32"/>
          <w:szCs w:val="32"/>
          <w:highlight w:val="none"/>
          <w:u w:val="none" w:color="auto"/>
          <w:lang w:eastAsia="zh-CN"/>
        </w:rPr>
        <w:t>；培育发展银发经济等新就业空间，</w:t>
      </w:r>
      <w:r>
        <w:rPr>
          <w:rFonts w:hint="eastAsia" w:ascii="仿宋_GB2312" w:hAnsi="仿宋_GB2312" w:eastAsia="仿宋_GB2312" w:cs="仿宋_GB2312"/>
          <w:color w:val="auto"/>
          <w:sz w:val="32"/>
          <w:szCs w:val="32"/>
          <w:highlight w:val="none"/>
          <w:u w:val="none" w:color="auto"/>
        </w:rPr>
        <w:t>推动消费潜力转化为就业新机遇。落实支持民营经济、中小微企业发展政策措施，推动惠企稳岗政策精准落实、高效直达，支持市场主体稳定和扩大用工规模。</w:t>
      </w:r>
    </w:p>
    <w:p w14:paraId="130FA9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构建就业友好型发展方式。</w:t>
      </w:r>
      <w:r>
        <w:rPr>
          <w:rFonts w:hint="eastAsia" w:ascii="仿宋_GB2312" w:hAnsi="仿宋_GB2312" w:eastAsia="仿宋_GB2312" w:cs="仿宋_GB2312"/>
          <w:color w:val="auto"/>
          <w:sz w:val="32"/>
          <w:szCs w:val="32"/>
          <w:highlight w:val="none"/>
          <w:u w:val="none" w:color="auto"/>
        </w:rPr>
        <w:t>深入贯彻落实就业优先战略促进高质量充分就业的意见</w:t>
      </w:r>
      <w:r>
        <w:rPr>
          <w:rFonts w:hint="eastAsia" w:ascii="仿宋_GB2312" w:hAnsi="仿宋_GB2312" w:eastAsia="仿宋_GB2312" w:cs="仿宋_GB2312"/>
          <w:color w:val="auto"/>
          <w:sz w:val="32"/>
          <w:szCs w:val="32"/>
          <w:highlight w:val="none"/>
          <w:u w:val="none" w:color="auto"/>
          <w:lang w:val="en-US" w:eastAsia="zh-CN"/>
        </w:rPr>
        <w:t>和</w:t>
      </w:r>
      <w:r>
        <w:rPr>
          <w:rFonts w:hint="eastAsia" w:ascii="仿宋_GB2312" w:hAnsi="仿宋_GB2312" w:eastAsia="仿宋_GB2312" w:cs="仿宋_GB2312"/>
          <w:color w:val="auto"/>
          <w:sz w:val="32"/>
          <w:szCs w:val="32"/>
          <w:highlight w:val="none"/>
          <w:u w:val="none" w:color="auto"/>
        </w:rPr>
        <w:t>就业领域民生十大工程五年行动计划</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lang w:val="en-US" w:eastAsia="zh-CN"/>
        </w:rPr>
        <w:t>推动经济社会政策与就业政策协调联动、同向发力构建就业友好型发展方式</w:t>
      </w:r>
      <w:r>
        <w:rPr>
          <w:rFonts w:hint="eastAsia" w:ascii="仿宋_GB2312" w:hAnsi="仿宋_GB2312" w:eastAsia="仿宋_GB2312" w:cs="仿宋_GB2312"/>
          <w:color w:val="auto"/>
          <w:sz w:val="32"/>
          <w:szCs w:val="32"/>
          <w:highlight w:val="none"/>
          <w:u w:val="none" w:color="auto"/>
          <w:lang w:eastAsia="zh-CN"/>
        </w:rPr>
        <w:t>。推进</w:t>
      </w:r>
      <w:r>
        <w:rPr>
          <w:rFonts w:hint="eastAsia" w:ascii="仿宋_GB2312" w:hAnsi="仿宋_GB2312" w:eastAsia="仿宋_GB2312" w:cs="仿宋_GB2312"/>
          <w:color w:val="auto"/>
          <w:sz w:val="32"/>
          <w:szCs w:val="32"/>
          <w:highlight w:val="none"/>
          <w:u w:val="none" w:color="auto"/>
        </w:rPr>
        <w:t>生产性服务业</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生活性服务业</w:t>
      </w:r>
      <w:r>
        <w:rPr>
          <w:rFonts w:hint="eastAsia" w:ascii="仿宋_GB2312" w:hAnsi="仿宋_GB2312" w:eastAsia="仿宋_GB2312" w:cs="仿宋_GB2312"/>
          <w:color w:val="auto"/>
          <w:sz w:val="32"/>
          <w:szCs w:val="32"/>
          <w:highlight w:val="none"/>
          <w:u w:val="none" w:color="auto"/>
          <w:lang w:eastAsia="zh-CN"/>
        </w:rPr>
        <w:t>岗位供给和</w:t>
      </w:r>
      <w:r>
        <w:rPr>
          <w:rFonts w:hint="eastAsia" w:ascii="仿宋_GB2312" w:hAnsi="仿宋_GB2312" w:eastAsia="仿宋_GB2312" w:cs="仿宋_GB2312"/>
          <w:color w:val="auto"/>
          <w:sz w:val="32"/>
          <w:szCs w:val="32"/>
          <w:highlight w:val="none"/>
          <w:u w:val="none" w:color="auto"/>
        </w:rPr>
        <w:t>多样化</w:t>
      </w:r>
      <w:r>
        <w:rPr>
          <w:rFonts w:hint="eastAsia" w:ascii="仿宋_GB2312" w:hAnsi="仿宋_GB2312" w:eastAsia="仿宋_GB2312" w:cs="仿宋_GB2312"/>
          <w:color w:val="auto"/>
          <w:sz w:val="32"/>
          <w:szCs w:val="32"/>
          <w:highlight w:val="none"/>
          <w:u w:val="none" w:color="auto"/>
          <w:lang w:eastAsia="zh-CN"/>
        </w:rPr>
        <w:t>发展</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围绕</w:t>
      </w:r>
      <w:r>
        <w:rPr>
          <w:rFonts w:hint="eastAsia" w:ascii="仿宋_GB2312" w:hAnsi="仿宋_GB2312" w:eastAsia="仿宋_GB2312" w:cs="仿宋_GB2312"/>
          <w:color w:val="auto"/>
          <w:sz w:val="32"/>
          <w:szCs w:val="32"/>
          <w:highlight w:val="none"/>
          <w:u w:val="none" w:color="auto"/>
        </w:rPr>
        <w:t>医疗、托育、家政</w:t>
      </w:r>
      <w:r>
        <w:rPr>
          <w:rFonts w:hint="eastAsia" w:ascii="仿宋_GB2312" w:hAnsi="仿宋_GB2312" w:eastAsia="仿宋_GB2312" w:cs="仿宋_GB2312"/>
          <w:color w:val="auto"/>
          <w:sz w:val="32"/>
          <w:szCs w:val="32"/>
          <w:highlight w:val="none"/>
          <w:u w:val="none" w:color="auto"/>
          <w:lang w:eastAsia="zh-CN"/>
        </w:rPr>
        <w:t>等服务需求</w:t>
      </w:r>
      <w:r>
        <w:rPr>
          <w:rFonts w:hint="eastAsia" w:ascii="仿宋_GB2312" w:hAnsi="仿宋_GB2312" w:eastAsia="仿宋_GB2312" w:cs="仿宋_GB2312"/>
          <w:color w:val="auto"/>
          <w:sz w:val="32"/>
          <w:szCs w:val="32"/>
          <w:highlight w:val="none"/>
          <w:u w:val="none" w:color="auto"/>
        </w:rPr>
        <w:t>扩大民生领域就业岗位供给</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加快培育寄递物流、平台电商等新业态新领域就业增长点，</w:t>
      </w:r>
      <w:r>
        <w:rPr>
          <w:rFonts w:hint="eastAsia" w:ascii="仿宋_GB2312" w:hAnsi="仿宋_GB2312" w:eastAsia="仿宋_GB2312" w:cs="仿宋_GB2312"/>
          <w:color w:val="auto"/>
          <w:sz w:val="32"/>
          <w:szCs w:val="32"/>
          <w:highlight w:val="none"/>
          <w:u w:val="none" w:color="auto"/>
          <w:lang w:eastAsia="zh-CN"/>
        </w:rPr>
        <w:t>建设</w:t>
      </w:r>
      <w:r>
        <w:rPr>
          <w:rFonts w:hint="eastAsia" w:ascii="仿宋_GB2312" w:hAnsi="仿宋_GB2312" w:eastAsia="仿宋_GB2312" w:cs="仿宋_GB2312"/>
          <w:color w:val="auto"/>
          <w:sz w:val="32"/>
          <w:szCs w:val="32"/>
          <w:highlight w:val="none"/>
          <w:u w:val="none" w:color="auto"/>
        </w:rPr>
        <w:t>新业态就业友好型城市</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开展职业技能提升培训，支持低技能劳动者有序向新业态新领域转岗就业。加强对企业用工的咨询指导，引导和鼓励企业改善工作环境，建立健全多职级的人才发展通道。充分发挥新型农业经营主体在促进农民就业增收、乡村产业高质量发展的带动作用，吸引高素质中青年返乡入乡就业。</w:t>
      </w:r>
    </w:p>
    <w:p w14:paraId="7D23F8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健全城乡协同发展的就业体系。</w:t>
      </w:r>
      <w:r>
        <w:rPr>
          <w:rFonts w:hint="eastAsia" w:ascii="仿宋_GB2312" w:hAnsi="仿宋_GB2312" w:eastAsia="仿宋_GB2312" w:cs="仿宋_GB2312"/>
          <w:color w:val="auto"/>
          <w:sz w:val="32"/>
          <w:szCs w:val="32"/>
          <w:highlight w:val="none"/>
          <w:u w:val="none" w:color="auto"/>
        </w:rPr>
        <w:t>强化区域发展统筹协调机制，</w:t>
      </w:r>
      <w:r>
        <w:rPr>
          <w:rFonts w:hint="eastAsia" w:ascii="仿宋_GB2312" w:hAnsi="仿宋_GB2312" w:eastAsia="仿宋_GB2312" w:cs="仿宋_GB2312"/>
          <w:color w:val="auto"/>
          <w:sz w:val="32"/>
          <w:szCs w:val="32"/>
          <w:highlight w:val="none"/>
          <w:lang w:val="en-US" w:eastAsia="zh-CN"/>
        </w:rPr>
        <w:t>充分利用好八镇联动与“百千万工程”融合发展契机</w:t>
      </w:r>
      <w:r>
        <w:rPr>
          <w:rFonts w:hint="eastAsia" w:ascii="仿宋_GB2312" w:hAnsi="仿宋_GB2312" w:eastAsia="仿宋_GB2312" w:cs="仿宋_GB2312"/>
          <w:color w:val="auto"/>
          <w:sz w:val="32"/>
          <w:szCs w:val="32"/>
          <w:highlight w:val="none"/>
          <w:u w:val="none" w:color="auto"/>
          <w:lang w:eastAsia="zh-CN"/>
        </w:rPr>
        <w:t>，加快形成就业集聚区和增长极。进一步完善公平就业制度，保障劳动者平等就业权利，</w:t>
      </w:r>
      <w:r>
        <w:rPr>
          <w:rFonts w:hint="eastAsia" w:ascii="仿宋_GB2312" w:hAnsi="仿宋_GB2312" w:eastAsia="仿宋_GB2312" w:cs="仿宋_GB2312"/>
          <w:color w:val="auto"/>
          <w:sz w:val="32"/>
          <w:szCs w:val="32"/>
          <w:highlight w:val="none"/>
          <w:u w:val="none" w:color="auto"/>
        </w:rPr>
        <w:t>推进公共就业、</w:t>
      </w:r>
      <w:r>
        <w:rPr>
          <w:rFonts w:hint="eastAsia" w:ascii="仿宋_GB2312" w:hAnsi="仿宋_GB2312" w:eastAsia="仿宋_GB2312" w:cs="仿宋_GB2312"/>
          <w:color w:val="auto"/>
          <w:sz w:val="32"/>
          <w:szCs w:val="32"/>
          <w:highlight w:val="none"/>
          <w:u w:val="none" w:color="auto"/>
          <w:lang w:eastAsia="zh-CN"/>
        </w:rPr>
        <w:t>社会保障</w:t>
      </w:r>
      <w:r>
        <w:rPr>
          <w:rFonts w:hint="eastAsia" w:ascii="仿宋_GB2312" w:hAnsi="仿宋_GB2312" w:eastAsia="仿宋_GB2312" w:cs="仿宋_GB2312"/>
          <w:color w:val="auto"/>
          <w:sz w:val="32"/>
          <w:szCs w:val="32"/>
          <w:highlight w:val="none"/>
          <w:u w:val="none" w:color="auto"/>
        </w:rPr>
        <w:t>等基本公共民生服务均等化。</w:t>
      </w:r>
      <w:r>
        <w:rPr>
          <w:rFonts w:hint="eastAsia" w:ascii="仿宋_GB2312" w:hAnsi="仿宋_GB2312" w:eastAsia="仿宋_GB2312" w:cs="仿宋_GB2312"/>
          <w:color w:val="auto"/>
          <w:sz w:val="32"/>
          <w:szCs w:val="32"/>
          <w:highlight w:val="none"/>
          <w:u w:val="none" w:color="auto"/>
          <w:lang w:eastAsia="zh-CN"/>
        </w:rPr>
        <w:t>优化</w:t>
      </w:r>
      <w:r>
        <w:rPr>
          <w:rFonts w:hint="eastAsia" w:ascii="仿宋_GB2312" w:hAnsi="仿宋_GB2312" w:eastAsia="仿宋_GB2312" w:cs="仿宋_GB2312"/>
          <w:color w:val="auto"/>
          <w:sz w:val="32"/>
          <w:szCs w:val="32"/>
          <w:highlight w:val="none"/>
          <w:u w:val="none" w:color="auto"/>
        </w:rPr>
        <w:t>县域经济发展和就业协同机制，加大市场化岗位开发力度，</w:t>
      </w:r>
      <w:r>
        <w:rPr>
          <w:rFonts w:hint="eastAsia" w:ascii="仿宋_GB2312" w:hAnsi="仿宋_GB2312" w:eastAsia="仿宋_GB2312" w:cs="仿宋_GB2312"/>
          <w:color w:val="auto"/>
          <w:sz w:val="32"/>
          <w:szCs w:val="32"/>
          <w:highlight w:val="none"/>
          <w:u w:val="none" w:color="auto"/>
          <w:lang w:eastAsia="zh-CN"/>
        </w:rPr>
        <w:t>提高</w:t>
      </w:r>
      <w:r>
        <w:rPr>
          <w:rFonts w:hint="eastAsia" w:ascii="仿宋_GB2312" w:hAnsi="仿宋_GB2312" w:eastAsia="仿宋_GB2312" w:cs="仿宋_GB2312"/>
          <w:color w:val="auto"/>
          <w:sz w:val="32"/>
          <w:szCs w:val="32"/>
          <w:highlight w:val="none"/>
          <w:u w:val="none" w:color="auto"/>
        </w:rPr>
        <w:t>农村劳动力就业</w:t>
      </w:r>
      <w:r>
        <w:rPr>
          <w:rFonts w:hint="eastAsia" w:ascii="仿宋_GB2312" w:hAnsi="仿宋_GB2312" w:eastAsia="仿宋_GB2312" w:cs="仿宋_GB2312"/>
          <w:color w:val="auto"/>
          <w:sz w:val="32"/>
          <w:szCs w:val="32"/>
          <w:highlight w:val="none"/>
          <w:u w:val="none" w:color="auto"/>
          <w:lang w:eastAsia="zh-CN"/>
        </w:rPr>
        <w:t>吸纳能力，</w:t>
      </w:r>
      <w:r>
        <w:rPr>
          <w:rFonts w:hint="eastAsia" w:ascii="仿宋_GB2312" w:hAnsi="仿宋_GB2312" w:eastAsia="仿宋_GB2312" w:cs="仿宋_GB2312"/>
          <w:color w:val="auto"/>
          <w:sz w:val="32"/>
          <w:szCs w:val="32"/>
          <w:highlight w:val="none"/>
          <w:u w:val="none" w:color="auto"/>
          <w:lang w:val="en-US" w:eastAsia="zh-CN"/>
        </w:rPr>
        <w:t>促进农村转移人口市民化。完善覆盖城乡的就业政策体系、公共就业创业服务体系和职业培训体系，发挥公益性岗位兜底帮扶作用，保障</w:t>
      </w:r>
      <w:r>
        <w:rPr>
          <w:rFonts w:hint="eastAsia" w:ascii="仿宋_GB2312" w:hAnsi="仿宋_GB2312" w:eastAsia="仿宋_GB2312" w:cs="仿宋_GB2312"/>
          <w:color w:val="auto"/>
          <w:sz w:val="32"/>
          <w:szCs w:val="32"/>
          <w:highlight w:val="none"/>
          <w:u w:val="none" w:color="auto"/>
        </w:rPr>
        <w:t>各类</w:t>
      </w:r>
      <w:r>
        <w:rPr>
          <w:rFonts w:hint="eastAsia" w:ascii="仿宋_GB2312" w:hAnsi="仿宋_GB2312" w:eastAsia="仿宋_GB2312" w:cs="仿宋_GB2312"/>
          <w:color w:val="auto"/>
          <w:sz w:val="32"/>
          <w:szCs w:val="32"/>
          <w:highlight w:val="none"/>
          <w:u w:val="none" w:color="auto"/>
          <w:lang w:val="en-US" w:eastAsia="zh-CN"/>
        </w:rPr>
        <w:t>重点</w:t>
      </w:r>
      <w:r>
        <w:rPr>
          <w:rFonts w:hint="eastAsia" w:ascii="仿宋_GB2312" w:hAnsi="仿宋_GB2312" w:eastAsia="仿宋_GB2312" w:cs="仿宋_GB2312"/>
          <w:color w:val="auto"/>
          <w:sz w:val="32"/>
          <w:szCs w:val="32"/>
          <w:highlight w:val="none"/>
          <w:u w:val="none" w:color="auto"/>
        </w:rPr>
        <w:t>群体就业权益。</w:t>
      </w:r>
    </w:p>
    <w:p w14:paraId="5A906C10">
      <w:pPr>
        <w:pStyle w:val="2"/>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393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61" w:type="dxa"/>
            <w:shd w:val="clear" w:color="auto" w:fill="FFC000"/>
            <w:noWrap w:val="0"/>
            <w:vAlign w:val="top"/>
          </w:tcPr>
          <w:p w14:paraId="7A83DEA1">
            <w:pPr>
              <w:spacing w:before="156" w:beforeLines="50" w:after="156" w:afterLines="50" w:line="560" w:lineRule="exact"/>
              <w:ind w:firstLine="640" w:firstLineChars="200"/>
              <w:jc w:val="center"/>
              <w:rPr>
                <w:rFonts w:hint="default" w:ascii="Times New Roman" w:hAnsi="Times New Roman" w:eastAsia="仿宋_GB2312" w:cs="Times New Roman"/>
                <w:color w:val="auto"/>
                <w:highlight w:val="none"/>
                <w:u w:val="none" w:color="auto"/>
              </w:rPr>
            </w:pPr>
            <w:r>
              <w:rPr>
                <w:rFonts w:hint="eastAsia" w:ascii="黑体" w:hAnsi="黑体" w:eastAsia="黑体" w:cs="黑体"/>
                <w:b w:val="0"/>
                <w:bCs/>
                <w:color w:val="auto"/>
                <w:kern w:val="0"/>
                <w:sz w:val="32"/>
                <w:szCs w:val="32"/>
                <w:highlight w:val="none"/>
                <w:u w:val="none" w:color="auto"/>
              </w:rPr>
              <w:t>专栏 就业领域民生十大工程五年行动计划</w:t>
            </w:r>
          </w:p>
        </w:tc>
      </w:tr>
      <w:tr w14:paraId="3E58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51FB6997">
            <w:pPr>
              <w:pStyle w:val="2"/>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default" w:ascii="Times New Roman" w:hAnsi="Times New Roman" w:eastAsia="仿宋_GB2312" w:cs="Times New Roman"/>
                <w:color w:val="auto"/>
                <w:highlight w:val="none"/>
                <w:u w:val="none" w:color="auto"/>
              </w:rPr>
            </w:pPr>
            <w:r>
              <w:rPr>
                <w:rFonts w:hint="eastAsia" w:ascii="仿宋_GB2312" w:hAnsi="仿宋_GB2312" w:eastAsia="仿宋_GB2312" w:cs="仿宋_GB2312"/>
                <w:color w:val="auto"/>
                <w:sz w:val="28"/>
                <w:szCs w:val="28"/>
                <w:highlight w:val="none"/>
                <w:u w:val="none" w:color="auto"/>
                <w:vertAlign w:val="baseline"/>
                <w:lang w:val="en-US" w:eastAsia="zh-CN"/>
              </w:rPr>
              <w:t>支持市场主体稳岗扩岗。推深做实重点企业用工保障行动。强化高校毕业生、就业困难人员、较长时间失业人员等重点群体就业帮扶。促进创业和灵活就业发展。实施家门口就业服务圈建设行动，增强公共服务均衡性可及性，打造一批特色就业驿站。积极争创省级公共就业服务能力提升示范项目，形成一批可复制、可推广的公共就业服务典型经验做法。实施“侨都产业技能根基工程”，大力推进“产教评”技能生态链建设。深入实施“粤菜师傅”“广东技工”“南粤家政”三项工程。</w:t>
            </w:r>
          </w:p>
        </w:tc>
      </w:tr>
    </w:tbl>
    <w:p w14:paraId="30A01FB3">
      <w:pPr>
        <w:pStyle w:val="2"/>
        <w:rPr>
          <w:rFonts w:hint="eastAsia"/>
          <w:color w:val="auto"/>
          <w:highlight w:val="none"/>
        </w:rPr>
      </w:pPr>
    </w:p>
    <w:p w14:paraId="511ED1CD">
      <w:pPr>
        <w:ind w:firstLine="320" w:firstLineChars="100"/>
        <w:jc w:val="center"/>
        <w:outlineLvl w:val="0"/>
        <w:rPr>
          <w:rFonts w:ascii="楷体_GB2312" w:hAnsi="楷体_GB2312" w:eastAsia="楷体_GB2312" w:cs="楷体_GB2312"/>
          <w:color w:val="auto"/>
          <w:sz w:val="32"/>
          <w:szCs w:val="32"/>
          <w:highlight w:val="none"/>
        </w:rPr>
      </w:pPr>
      <w:bookmarkStart w:id="37" w:name="_Toc16853"/>
      <w:bookmarkStart w:id="38" w:name="_Toc31932"/>
      <w:bookmarkStart w:id="39" w:name="_Toc11355"/>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rPr>
        <w:t>节 突出保障重点群体就业</w:t>
      </w:r>
      <w:bookmarkEnd w:id="37"/>
      <w:bookmarkEnd w:id="38"/>
      <w:bookmarkEnd w:id="39"/>
    </w:p>
    <w:p w14:paraId="2A625F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坚持把高校毕业生等青年群体就业作为重中之重。</w:t>
      </w:r>
      <w:r>
        <w:rPr>
          <w:rFonts w:hint="eastAsia" w:ascii="仿宋_GB2312" w:hAnsi="仿宋_GB2312" w:eastAsia="仿宋_GB2312" w:cs="仿宋_GB2312"/>
          <w:color w:val="auto"/>
          <w:sz w:val="32"/>
          <w:szCs w:val="32"/>
          <w:highlight w:val="none"/>
          <w:u w:val="none" w:color="auto"/>
          <w:lang w:val="en-US" w:eastAsia="zh-CN"/>
        </w:rPr>
        <w:t>贯彻落实“百万英才汇南粤”行动计划，</w:t>
      </w:r>
      <w:r>
        <w:rPr>
          <w:rFonts w:hint="eastAsia" w:ascii="仿宋_GB2312" w:hAnsi="仿宋_GB2312" w:eastAsia="仿宋_GB2312" w:cs="仿宋_GB2312"/>
          <w:color w:val="auto"/>
          <w:sz w:val="32"/>
          <w:szCs w:val="32"/>
          <w:highlight w:val="none"/>
          <w:lang w:val="en-US" w:eastAsia="zh-CN"/>
        </w:rPr>
        <w:t>积极参与江门市“十城百校”城市推介和引才专项行动，</w:t>
      </w:r>
      <w:r>
        <w:rPr>
          <w:rFonts w:hint="eastAsia" w:ascii="仿宋_GB2312" w:hAnsi="仿宋_GB2312" w:eastAsia="仿宋_GB2312" w:cs="仿宋_GB2312"/>
          <w:color w:val="auto"/>
          <w:sz w:val="32"/>
          <w:szCs w:val="32"/>
          <w:highlight w:val="none"/>
          <w:u w:val="none" w:color="auto"/>
          <w:lang w:val="en-US" w:eastAsia="zh-CN"/>
        </w:rPr>
        <w:t>进一步完善常态化、长效化引才网络体系，畅通人才供需对接渠道，每年新增吸纳本科及以上毕业生超1500人，其中新增博硕士青年人才80人。</w:t>
      </w:r>
      <w:r>
        <w:rPr>
          <w:rFonts w:hint="eastAsia" w:ascii="仿宋_GB2312" w:hAnsi="仿宋_GB2312" w:eastAsia="仿宋_GB2312" w:cs="仿宋_GB2312"/>
          <w:color w:val="auto"/>
          <w:sz w:val="32"/>
          <w:szCs w:val="32"/>
          <w:highlight w:val="none"/>
          <w:u w:val="none" w:color="auto"/>
        </w:rPr>
        <w:t>深入实施高校毕业生就业创业十大行动，发挥政府岗位引导作用</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畅通市场化就业渠道，鼓励支持青年到重点领域、重点行业、城乡基层和中小微企业就业创业</w:t>
      </w:r>
      <w:r>
        <w:rPr>
          <w:rFonts w:hint="eastAsia" w:ascii="仿宋_GB2312" w:hAnsi="仿宋_GB2312" w:eastAsia="仿宋_GB2312" w:cs="仿宋_GB2312"/>
          <w:color w:val="auto"/>
          <w:sz w:val="32"/>
          <w:szCs w:val="32"/>
          <w:highlight w:val="none"/>
          <w:u w:val="none" w:color="auto"/>
        </w:rPr>
        <w:t>。开发一批满足高校毕业生等青年多元需求的就业见习岗位。持续深化</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三支一扶</w:t>
      </w:r>
      <w:r>
        <w:rPr>
          <w:rFonts w:hint="eastAsia" w:ascii="仿宋_GB2312" w:hAnsi="仿宋_GB2312" w:eastAsia="仿宋_GB2312" w:cs="仿宋_GB2312"/>
          <w:color w:val="auto"/>
          <w:sz w:val="32"/>
          <w:szCs w:val="32"/>
          <w:highlight w:val="none"/>
          <w:u w:val="none" w:color="auto"/>
          <w:lang w:eastAsia="zh-CN"/>
        </w:rPr>
        <w:t>”等基层服务项目</w:t>
      </w:r>
      <w:r>
        <w:rPr>
          <w:rFonts w:hint="eastAsia" w:ascii="仿宋_GB2312" w:hAnsi="仿宋_GB2312" w:eastAsia="仿宋_GB2312" w:cs="仿宋_GB2312"/>
          <w:color w:val="auto"/>
          <w:sz w:val="32"/>
          <w:szCs w:val="32"/>
          <w:highlight w:val="none"/>
          <w:u w:val="none" w:color="auto"/>
        </w:rPr>
        <w:t>，强化培养使用和服务保障</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000000" w:themeColor="text1"/>
          <w:sz w:val="32"/>
          <w:szCs w:val="32"/>
          <w:highlight w:val="none"/>
          <w:u w:val="none" w:color="auto"/>
          <w:lang w:val="en-US" w:eastAsia="zh-CN"/>
          <w14:textFill>
            <w14:solidFill>
              <w14:schemeClr w14:val="tx1"/>
            </w14:solidFill>
          </w14:textFill>
        </w:rPr>
        <w:t>鼓励引导服务期满人员扎根基层</w:t>
      </w:r>
      <w:r>
        <w:rPr>
          <w:rFonts w:hint="eastAsia" w:ascii="仿宋_GB2312" w:hAnsi="仿宋_GB2312" w:eastAsia="仿宋_GB2312" w:cs="仿宋_GB2312"/>
          <w:color w:val="000000" w:themeColor="text1"/>
          <w:sz w:val="32"/>
          <w:szCs w:val="32"/>
          <w:highlight w:val="none"/>
          <w:u w:val="none" w:color="auto"/>
          <w14:textFill>
            <w14:solidFill>
              <w14:schemeClr w14:val="tx1"/>
            </w14:solidFill>
          </w14:textFill>
        </w:rPr>
        <w:t>。</w:t>
      </w:r>
      <w:r>
        <w:rPr>
          <w:rFonts w:hint="eastAsia" w:ascii="仿宋_GB2312" w:hAnsi="仿宋_GB2312" w:eastAsia="仿宋_GB2312" w:cs="仿宋_GB2312"/>
          <w:color w:val="auto"/>
          <w:sz w:val="32"/>
          <w:szCs w:val="32"/>
          <w:highlight w:val="none"/>
          <w:u w:val="none" w:color="auto"/>
        </w:rPr>
        <w:t>持续完善高校毕业生</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政策宣讲+职业指导+技能培训+岗位拓展+就业创业体验+推荐就业</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服务。落实离校未就业高校毕业生就业帮扶机制，开展</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1311</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实名制分类帮扶，综合运用指导服务和政策激励，促进离校未就业高校毕业生和失业青年实现就业。</w:t>
      </w:r>
      <w:r>
        <w:rPr>
          <w:rFonts w:hint="eastAsia" w:ascii="仿宋_GB2312" w:hAnsi="仿宋_GB2312" w:eastAsia="仿宋_GB2312" w:cs="仿宋_GB2312"/>
          <w:color w:val="auto"/>
          <w:sz w:val="32"/>
          <w:szCs w:val="32"/>
          <w:highlight w:val="none"/>
          <w:u w:val="none" w:color="auto"/>
          <w:lang w:val="en-US" w:eastAsia="zh-CN"/>
        </w:rPr>
        <w:t>加强</w:t>
      </w:r>
      <w:r>
        <w:rPr>
          <w:rFonts w:hint="eastAsia" w:ascii="仿宋_GB2312" w:hAnsi="仿宋_GB2312" w:eastAsia="仿宋_GB2312" w:cs="仿宋_GB2312"/>
          <w:color w:val="auto"/>
          <w:sz w:val="32"/>
          <w:szCs w:val="32"/>
          <w:highlight w:val="none"/>
          <w:u w:val="none" w:color="auto"/>
        </w:rPr>
        <w:t>高校毕业生就业权益保护，营造公平就业环境。</w:t>
      </w:r>
    </w:p>
    <w:p w14:paraId="13D97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稳定和扩大农民工就业。</w:t>
      </w:r>
      <w:r>
        <w:rPr>
          <w:rFonts w:hint="eastAsia" w:ascii="仿宋_GB2312" w:hAnsi="仿宋_GB2312" w:eastAsia="仿宋_GB2312" w:cs="仿宋_GB2312"/>
          <w:color w:val="auto"/>
          <w:sz w:val="32"/>
          <w:szCs w:val="32"/>
          <w:highlight w:val="none"/>
          <w:u w:val="none" w:color="auto"/>
        </w:rPr>
        <w:t>完善农民工就业支持体系，坚持外出就业和就地就近就业并重，多措并举促进农民工就业增收</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壮大县域富民产业，</w:t>
      </w:r>
      <w:r>
        <w:rPr>
          <w:rFonts w:hint="eastAsia" w:ascii="仿宋_GB2312" w:hAnsi="仿宋_GB2312" w:eastAsia="仿宋_GB2312" w:cs="仿宋_GB2312"/>
          <w:color w:val="auto"/>
          <w:sz w:val="32"/>
          <w:szCs w:val="32"/>
          <w:highlight w:val="none"/>
          <w:u w:val="none" w:color="auto"/>
          <w:lang w:val="en-US" w:eastAsia="zh-CN"/>
        </w:rPr>
        <w:t>发挥开平农文旅资源丰富优势，</w:t>
      </w:r>
      <w:r>
        <w:rPr>
          <w:rFonts w:hint="eastAsia" w:ascii="仿宋_GB2312" w:hAnsi="仿宋_GB2312" w:eastAsia="仿宋_GB2312" w:cs="仿宋_GB2312"/>
          <w:color w:val="auto"/>
          <w:sz w:val="32"/>
          <w:szCs w:val="32"/>
          <w:highlight w:val="none"/>
          <w:u w:val="none" w:color="auto"/>
        </w:rPr>
        <w:t>扶持农村电商、乡村旅游等新业态发展</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发展吸纳农民工就业能力强的产业。持续推进与</w:t>
      </w:r>
      <w:r>
        <w:rPr>
          <w:rFonts w:hint="eastAsia" w:ascii="仿宋_GB2312" w:hAnsi="仿宋_GB2312" w:eastAsia="仿宋_GB2312" w:cs="仿宋_GB2312"/>
          <w:color w:val="auto"/>
          <w:sz w:val="32"/>
          <w:szCs w:val="32"/>
          <w:highlight w:val="none"/>
          <w:u w:val="none" w:color="auto"/>
        </w:rPr>
        <w:t>劳务输出</w:t>
      </w:r>
      <w:r>
        <w:rPr>
          <w:rFonts w:hint="eastAsia" w:ascii="仿宋_GB2312" w:hAnsi="仿宋_GB2312" w:eastAsia="仿宋_GB2312" w:cs="仿宋_GB2312"/>
          <w:color w:val="auto"/>
          <w:sz w:val="32"/>
          <w:szCs w:val="32"/>
          <w:highlight w:val="none"/>
          <w:u w:val="none" w:color="auto"/>
          <w:lang w:val="en-US" w:eastAsia="zh-CN"/>
        </w:rPr>
        <w:t>地区</w:t>
      </w:r>
      <w:r>
        <w:rPr>
          <w:rFonts w:hint="eastAsia" w:ascii="仿宋_GB2312" w:hAnsi="仿宋_GB2312" w:eastAsia="仿宋_GB2312" w:cs="仿宋_GB2312"/>
          <w:color w:val="auto"/>
          <w:sz w:val="32"/>
          <w:szCs w:val="32"/>
          <w:highlight w:val="none"/>
          <w:u w:val="none" w:color="auto"/>
        </w:rPr>
        <w:t>劳务对接协作，</w:t>
      </w:r>
      <w:r>
        <w:rPr>
          <w:rFonts w:hint="eastAsia" w:ascii="仿宋_GB2312" w:hAnsi="仿宋_GB2312" w:eastAsia="仿宋_GB2312" w:cs="仿宋_GB2312"/>
          <w:color w:val="auto"/>
          <w:sz w:val="32"/>
          <w:szCs w:val="32"/>
          <w:highlight w:val="none"/>
          <w:u w:val="none" w:color="auto"/>
          <w:lang w:val="en-US" w:eastAsia="zh-CN"/>
        </w:rPr>
        <w:t>加强农民工技能培训</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加大农民工返乡创业支持力度</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深入开展</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南粤春暖</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等专项活动，</w:t>
      </w:r>
      <w:r>
        <w:rPr>
          <w:rFonts w:hint="eastAsia" w:ascii="仿宋_GB2312" w:hAnsi="仿宋_GB2312" w:eastAsia="仿宋_GB2312" w:cs="仿宋_GB2312"/>
          <w:color w:val="auto"/>
          <w:sz w:val="32"/>
          <w:szCs w:val="32"/>
          <w:highlight w:val="none"/>
          <w:u w:val="none" w:color="auto"/>
          <w:lang w:val="en-US" w:eastAsia="zh-CN"/>
        </w:rPr>
        <w:t>完善就业推荐、定向输出、企业吸纳等供需对接渠道。</w:t>
      </w:r>
    </w:p>
    <w:p w14:paraId="24ACC4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帮扶就业困难人员就业。</w:t>
      </w:r>
      <w:r>
        <w:rPr>
          <w:rFonts w:hint="eastAsia" w:ascii="仿宋_GB2312" w:hAnsi="仿宋_GB2312" w:eastAsia="仿宋_GB2312" w:cs="仿宋_GB2312"/>
          <w:color w:val="auto"/>
          <w:sz w:val="32"/>
          <w:szCs w:val="32"/>
          <w:highlight w:val="none"/>
          <w:u w:val="none" w:color="auto"/>
        </w:rPr>
        <w:t>落实就业困难人员及时发现、优先服务、精准帮扶、动态管理就业援助工作机制，分级分类提供职业介绍、职业培训、职业指导等</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一对一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就业援助，确保零就业家庭动态清零。统筹做好公益性岗位开发和托底安置。落实</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就业援助月</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等专项公共就业服务活动</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探索完善对大龄人员就业服务，</w:t>
      </w:r>
      <w:r>
        <w:rPr>
          <w:rFonts w:hint="eastAsia" w:ascii="仿宋_GB2312" w:hAnsi="仿宋_GB2312" w:eastAsia="仿宋_GB2312" w:cs="仿宋_GB2312"/>
          <w:color w:val="auto"/>
          <w:sz w:val="32"/>
          <w:szCs w:val="32"/>
          <w:highlight w:val="none"/>
          <w:u w:val="none" w:color="auto"/>
        </w:rPr>
        <w:t>引导企业开发适老化岗位，加强求职就业、技能培训等服务。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9"/>
      </w:tblGrid>
      <w:tr w14:paraId="54D7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9" w:type="dxa"/>
            <w:shd w:val="clear" w:color="auto" w:fill="FFC000"/>
            <w:noWrap w:val="0"/>
            <w:vAlign w:val="top"/>
          </w:tcPr>
          <w:p w14:paraId="340DB87E">
            <w:pPr>
              <w:spacing w:line="560" w:lineRule="exact"/>
              <w:jc w:val="center"/>
              <w:rPr>
                <w:rFonts w:hint="default" w:ascii="Times New Roman" w:hAnsi="Times New Roman" w:eastAsia="仿宋_GB2312" w:cs="Times New Roman"/>
                <w:color w:val="auto"/>
                <w:highlight w:val="none"/>
                <w:u w:val="none" w:color="auto"/>
              </w:rPr>
            </w:pPr>
            <w:r>
              <w:rPr>
                <w:rFonts w:hint="eastAsia" w:ascii="黑体" w:hAnsi="黑体" w:eastAsia="黑体" w:cs="黑体"/>
                <w:b w:val="0"/>
                <w:bCs/>
                <w:color w:val="auto"/>
                <w:kern w:val="0"/>
                <w:sz w:val="32"/>
                <w:szCs w:val="32"/>
                <w:highlight w:val="none"/>
                <w:u w:val="none" w:color="auto"/>
              </w:rPr>
              <w:t>专栏 高校毕业生就业创业十大行动</w:t>
            </w:r>
          </w:p>
        </w:tc>
      </w:tr>
      <w:tr w14:paraId="4D7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9" w:type="dxa"/>
            <w:noWrap w:val="0"/>
            <w:vAlign w:val="top"/>
          </w:tcPr>
          <w:p w14:paraId="61C386B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color w:val="auto"/>
                <w:highlight w:val="none"/>
                <w:u w:val="none" w:color="auto"/>
              </w:rPr>
            </w:pPr>
            <w:r>
              <w:rPr>
                <w:rFonts w:hint="eastAsia" w:ascii="仿宋_GB2312" w:hAnsi="仿宋_GB2312" w:eastAsia="仿宋_GB2312" w:cs="仿宋_GB2312"/>
                <w:color w:val="auto"/>
                <w:kern w:val="2"/>
                <w:sz w:val="28"/>
                <w:szCs w:val="28"/>
                <w:highlight w:val="none"/>
                <w:u w:val="none" w:color="auto"/>
                <w:vertAlign w:val="baseline"/>
                <w:lang w:val="en-US" w:eastAsia="zh-CN" w:bidi="ar-SA"/>
              </w:rPr>
              <w:t>稳定高校毕业生就业渠道，积极拓展政策性和市场化就业岗位。全面搭建各类招聘平台，分层次分类别开展高校毕业生专场招聘。持续推动就业服务进校园。切实提升青年职业能力。落实高校毕业生就业援助“1131”服务，对有就业意愿的困难未就业高校毕业生，做到两个“百分百”，确保服务覆盖率、就业率均达到100%。</w:t>
            </w:r>
          </w:p>
        </w:tc>
      </w:tr>
    </w:tbl>
    <w:p w14:paraId="0EB4D058">
      <w:pPr>
        <w:jc w:val="both"/>
        <w:rPr>
          <w:rFonts w:ascii="楷体_GB2312" w:hAnsi="楷体_GB2312" w:eastAsia="楷体_GB2312" w:cs="楷体_GB2312"/>
          <w:color w:val="auto"/>
          <w:sz w:val="32"/>
          <w:szCs w:val="32"/>
          <w:highlight w:val="none"/>
        </w:rPr>
      </w:pPr>
    </w:p>
    <w:p w14:paraId="14ADEB48">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auto"/>
          <w:sz w:val="32"/>
          <w:szCs w:val="32"/>
          <w:highlight w:val="none"/>
        </w:rPr>
      </w:pPr>
      <w:bookmarkStart w:id="40" w:name="_Toc16330"/>
      <w:bookmarkStart w:id="41" w:name="_Toc18256"/>
      <w:bookmarkStart w:id="42" w:name="_Toc26284"/>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 xml:space="preserve">节 </w:t>
      </w:r>
      <w:r>
        <w:rPr>
          <w:rFonts w:hint="eastAsia" w:ascii="楷体_GB2312" w:hAnsi="楷体_GB2312" w:eastAsia="楷体_GB2312" w:cs="楷体_GB2312"/>
          <w:color w:val="auto"/>
          <w:sz w:val="32"/>
          <w:szCs w:val="32"/>
          <w:highlight w:val="none"/>
          <w:lang w:val="en-US" w:eastAsia="zh-CN"/>
        </w:rPr>
        <w:t>全面</w:t>
      </w:r>
      <w:r>
        <w:rPr>
          <w:rFonts w:hint="eastAsia" w:ascii="楷体_GB2312" w:hAnsi="楷体_GB2312" w:eastAsia="楷体_GB2312" w:cs="楷体_GB2312"/>
          <w:color w:val="auto"/>
          <w:sz w:val="32"/>
          <w:szCs w:val="32"/>
          <w:highlight w:val="none"/>
        </w:rPr>
        <w:t>促进创业带动就业</w:t>
      </w:r>
      <w:bookmarkEnd w:id="40"/>
      <w:bookmarkEnd w:id="41"/>
      <w:bookmarkEnd w:id="42"/>
    </w:p>
    <w:p w14:paraId="522BA0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val="en-US" w:eastAsia="zh-CN"/>
        </w:rPr>
        <w:t>强化</w:t>
      </w:r>
      <w:r>
        <w:rPr>
          <w:rFonts w:hint="eastAsia" w:ascii="仿宋_GB2312" w:hAnsi="仿宋_GB2312" w:eastAsia="仿宋_GB2312" w:cs="仿宋_GB2312"/>
          <w:b/>
          <w:bCs/>
          <w:color w:val="auto"/>
          <w:sz w:val="32"/>
          <w:szCs w:val="32"/>
          <w:highlight w:val="none"/>
          <w:u w:val="none" w:color="auto"/>
        </w:rPr>
        <w:t>创业政策</w:t>
      </w:r>
      <w:r>
        <w:rPr>
          <w:rFonts w:hint="eastAsia" w:ascii="仿宋_GB2312" w:hAnsi="仿宋_GB2312" w:eastAsia="仿宋_GB2312" w:cs="仿宋_GB2312"/>
          <w:b/>
          <w:bCs/>
          <w:color w:val="auto"/>
          <w:sz w:val="32"/>
          <w:szCs w:val="32"/>
          <w:highlight w:val="none"/>
          <w:u w:val="none" w:color="auto"/>
          <w:lang w:eastAsia="zh-CN"/>
        </w:rPr>
        <w:t>落实</w:t>
      </w:r>
      <w:r>
        <w:rPr>
          <w:rFonts w:hint="eastAsia" w:ascii="仿宋_GB2312" w:hAnsi="仿宋_GB2312" w:eastAsia="仿宋_GB2312" w:cs="仿宋_GB2312"/>
          <w:b/>
          <w:bCs/>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rPr>
        <w:t>支持重点群体创业，按规定落实</w:t>
      </w:r>
      <w:r>
        <w:rPr>
          <w:rFonts w:hint="eastAsia" w:ascii="仿宋_GB2312" w:hAnsi="仿宋_GB2312" w:eastAsia="仿宋_GB2312" w:cs="仿宋_GB2312"/>
          <w:color w:val="auto"/>
          <w:sz w:val="32"/>
          <w:szCs w:val="32"/>
          <w:highlight w:val="none"/>
          <w:u w:val="none" w:color="auto"/>
          <w:lang w:val="en-US" w:eastAsia="zh-CN"/>
        </w:rPr>
        <w:t>国家、省创业</w:t>
      </w:r>
      <w:r>
        <w:rPr>
          <w:rFonts w:hint="eastAsia" w:ascii="仿宋_GB2312" w:hAnsi="仿宋_GB2312" w:eastAsia="仿宋_GB2312" w:cs="仿宋_GB2312"/>
          <w:color w:val="auto"/>
          <w:sz w:val="32"/>
          <w:szCs w:val="32"/>
          <w:highlight w:val="none"/>
          <w:u w:val="none" w:color="auto"/>
        </w:rPr>
        <w:t>补贴政策，降低创业成本。</w:t>
      </w:r>
      <w:r>
        <w:rPr>
          <w:rFonts w:hint="eastAsia" w:ascii="仿宋_GB2312" w:hAnsi="仿宋_GB2312" w:eastAsia="仿宋_GB2312" w:cs="仿宋_GB2312"/>
          <w:color w:val="auto"/>
          <w:sz w:val="32"/>
          <w:szCs w:val="32"/>
          <w:highlight w:val="none"/>
          <w:u w:val="none" w:color="auto"/>
          <w:lang w:val="en-US" w:eastAsia="zh-CN"/>
        </w:rPr>
        <w:t>鼓励银行业金融机构加大对创业主体的金融支持力度，鼓励发展更多创业企业、个体工商户等创业主体，</w:t>
      </w:r>
      <w:r>
        <w:rPr>
          <w:rFonts w:hint="eastAsia" w:ascii="仿宋_GB2312" w:hAnsi="仿宋_GB2312" w:eastAsia="仿宋_GB2312" w:cs="仿宋_GB2312"/>
          <w:color w:val="auto"/>
          <w:sz w:val="32"/>
          <w:szCs w:val="32"/>
          <w:highlight w:val="none"/>
          <w:u w:val="none"/>
          <w:lang w:val="en-US" w:eastAsia="zh-CN"/>
        </w:rPr>
        <w:t>发挥</w:t>
      </w:r>
      <w:r>
        <w:rPr>
          <w:rFonts w:hint="eastAsia" w:ascii="仿宋_GB2312" w:hAnsi="仿宋_GB2312" w:eastAsia="仿宋_GB2312" w:cs="仿宋_GB2312"/>
          <w:color w:val="auto"/>
          <w:sz w:val="32"/>
          <w:szCs w:val="32"/>
          <w:highlight w:val="none"/>
          <w:u w:val="none"/>
        </w:rPr>
        <w:t>创业带动就业的</w:t>
      </w:r>
      <w:r>
        <w:rPr>
          <w:rFonts w:hint="eastAsia" w:ascii="仿宋_GB2312" w:hAnsi="仿宋_GB2312" w:eastAsia="仿宋_GB2312" w:cs="仿宋_GB2312"/>
          <w:color w:val="auto"/>
          <w:sz w:val="32"/>
          <w:szCs w:val="32"/>
          <w:highlight w:val="none"/>
          <w:u w:val="none" w:color="auto"/>
          <w:lang w:val="en-US" w:eastAsia="zh-CN"/>
        </w:rPr>
        <w:t>“倍增效应”。</w:t>
      </w:r>
      <w:r>
        <w:rPr>
          <w:rFonts w:hint="eastAsia" w:ascii="仿宋_GB2312" w:hAnsi="仿宋_GB2312" w:eastAsia="仿宋_GB2312" w:cs="仿宋_GB2312"/>
          <w:b w:val="0"/>
          <w:bCs w:val="0"/>
          <w:color w:val="auto"/>
          <w:sz w:val="32"/>
          <w:szCs w:val="32"/>
          <w:highlight w:val="none"/>
          <w:u w:val="none"/>
        </w:rPr>
        <w:t>加大创业担保贷款</w:t>
      </w:r>
      <w:r>
        <w:rPr>
          <w:rFonts w:hint="eastAsia" w:ascii="仿宋_GB2312" w:hAnsi="仿宋_GB2312" w:eastAsia="仿宋_GB2312" w:cs="仿宋_GB2312"/>
          <w:b w:val="0"/>
          <w:bCs w:val="0"/>
          <w:color w:val="auto"/>
          <w:sz w:val="32"/>
          <w:szCs w:val="32"/>
          <w:highlight w:val="none"/>
          <w:u w:val="none"/>
          <w:lang w:val="en-US" w:eastAsia="zh-CN"/>
        </w:rPr>
        <w:t>及贴息</w:t>
      </w:r>
      <w:r>
        <w:rPr>
          <w:rFonts w:hint="eastAsia" w:ascii="仿宋_GB2312" w:hAnsi="仿宋_GB2312" w:eastAsia="仿宋_GB2312" w:cs="仿宋_GB2312"/>
          <w:b w:val="0"/>
          <w:bCs w:val="0"/>
          <w:color w:val="auto"/>
          <w:sz w:val="32"/>
          <w:szCs w:val="32"/>
          <w:highlight w:val="none"/>
          <w:u w:val="none"/>
        </w:rPr>
        <w:t>、创业补贴、场地支持等政策扶持力度，</w:t>
      </w:r>
      <w:r>
        <w:rPr>
          <w:rFonts w:hint="eastAsia" w:ascii="仿宋_GB2312" w:hAnsi="仿宋_GB2312" w:eastAsia="仿宋_GB2312" w:cs="仿宋_GB2312"/>
          <w:color w:val="auto"/>
          <w:sz w:val="32"/>
          <w:szCs w:val="32"/>
          <w:highlight w:val="none"/>
          <w:lang w:val="en-US" w:eastAsia="zh-CN"/>
        </w:rPr>
        <w:t>加大政策宣传和精准发放力度</w:t>
      </w:r>
      <w:r>
        <w:rPr>
          <w:rFonts w:hint="eastAsia" w:ascii="仿宋_GB2312" w:hAnsi="仿宋_GB2312" w:eastAsia="仿宋_GB2312" w:cs="仿宋_GB2312"/>
          <w:color w:val="auto"/>
          <w:sz w:val="32"/>
          <w:szCs w:val="32"/>
          <w:highlight w:val="none"/>
          <w:u w:val="none" w:color="auto"/>
        </w:rPr>
        <w:t>。</w:t>
      </w:r>
    </w:p>
    <w:p w14:paraId="525754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健全创业培训体系。</w:t>
      </w:r>
      <w:r>
        <w:rPr>
          <w:rFonts w:hint="eastAsia" w:ascii="Times New Roman" w:hAnsi="Times New Roman" w:eastAsia="仿宋_GB2312" w:cs="Times New Roman"/>
          <w:color w:val="auto"/>
          <w:sz w:val="32"/>
          <w:szCs w:val="32"/>
          <w:highlight w:val="none"/>
          <w:lang w:val="en-US" w:eastAsia="zh-CN"/>
        </w:rPr>
        <w:t>开展就业创业训练营创业青年说、创业集市等多样化的就业创业技能培训交流活动，</w:t>
      </w:r>
      <w:r>
        <w:rPr>
          <w:rFonts w:hint="eastAsia" w:ascii="仿宋_GB2312" w:hAnsi="仿宋_GB2312" w:eastAsia="仿宋_GB2312" w:cs="仿宋_GB2312"/>
          <w:color w:val="auto"/>
          <w:sz w:val="32"/>
          <w:szCs w:val="32"/>
          <w:highlight w:val="none"/>
          <w:u w:val="none" w:color="auto"/>
        </w:rPr>
        <w:t>加强创业培训师资队伍建设，结合产业开发特色创业</w:t>
      </w:r>
      <w:r>
        <w:rPr>
          <w:rFonts w:hint="eastAsia" w:ascii="仿宋_GB2312" w:hAnsi="仿宋_GB2312" w:eastAsia="仿宋_GB2312" w:cs="仿宋_GB2312"/>
          <w:color w:val="auto"/>
          <w:sz w:val="32"/>
          <w:szCs w:val="32"/>
          <w:highlight w:val="none"/>
          <w:u w:val="none" w:color="auto"/>
          <w:lang w:eastAsia="zh-CN"/>
        </w:rPr>
        <w:t>实训课程，</w:t>
      </w:r>
      <w:r>
        <w:rPr>
          <w:rFonts w:hint="eastAsia" w:ascii="仿宋_GB2312" w:hAnsi="仿宋_GB2312" w:eastAsia="仿宋_GB2312" w:cs="仿宋_GB2312"/>
          <w:color w:val="auto"/>
          <w:sz w:val="32"/>
          <w:szCs w:val="32"/>
          <w:highlight w:val="none"/>
          <w:u w:val="none" w:color="auto"/>
        </w:rPr>
        <w:t>探索</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创业培训+孵化实践</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推动一批创业项目落地。</w:t>
      </w:r>
      <w:r>
        <w:rPr>
          <w:rFonts w:hint="eastAsia" w:ascii="仿宋_GB2312" w:hAnsi="仿宋_GB2312" w:eastAsia="仿宋_GB2312" w:cs="仿宋_GB2312"/>
          <w:color w:val="auto"/>
          <w:sz w:val="32"/>
          <w:szCs w:val="32"/>
          <w:highlight w:val="none"/>
          <w:u w:val="none" w:color="auto"/>
        </w:rPr>
        <w:t>完善创业培训质量监督与评估机制，加强对创业培训过程的监督指导。</w:t>
      </w:r>
    </w:p>
    <w:p w14:paraId="07F711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融通创业孵化链条。</w:t>
      </w:r>
      <w:r>
        <w:rPr>
          <w:rFonts w:hint="eastAsia" w:ascii="仿宋_GB2312" w:hAnsi="仿宋_GB2312" w:eastAsia="仿宋_GB2312" w:cs="仿宋_GB2312"/>
          <w:color w:val="auto"/>
          <w:sz w:val="32"/>
          <w:szCs w:val="32"/>
          <w:highlight w:val="none"/>
          <w:u w:val="none"/>
        </w:rPr>
        <w:t>完善江门开平市文创创业孵化基地（江门开平市农村电商产业园）等创新创业平台建设，</w:t>
      </w:r>
      <w:r>
        <w:rPr>
          <w:rFonts w:hint="eastAsia" w:ascii="仿宋_GB2312" w:hAnsi="仿宋_GB2312" w:eastAsia="仿宋_GB2312" w:cs="仿宋_GB2312"/>
          <w:b w:val="0"/>
          <w:bCs w:val="0"/>
          <w:color w:val="auto"/>
          <w:sz w:val="32"/>
          <w:szCs w:val="32"/>
          <w:highlight w:val="none"/>
          <w:lang w:val="en-US" w:eastAsia="zh-CN"/>
        </w:rPr>
        <w:t>提供“一站式”的创业服务、免费办公场所以及资源对接渠道，</w:t>
      </w:r>
      <w:r>
        <w:rPr>
          <w:rFonts w:hint="eastAsia" w:ascii="仿宋_GB2312" w:hAnsi="仿宋_GB2312" w:eastAsia="仿宋_GB2312" w:cs="仿宋_GB2312"/>
          <w:color w:val="auto"/>
          <w:sz w:val="32"/>
          <w:szCs w:val="32"/>
          <w:highlight w:val="none"/>
          <w:u w:val="none"/>
        </w:rPr>
        <w:t>提升基地引进企业质量和服务水平，推动入驻企业做大、做强，打造“百千万工程”乡村特色创业服务</w:t>
      </w:r>
      <w:r>
        <w:rPr>
          <w:rFonts w:hint="eastAsia" w:ascii="仿宋_GB2312" w:hAnsi="仿宋_GB2312" w:eastAsia="仿宋_GB2312" w:cs="仿宋_GB2312"/>
          <w:color w:val="auto"/>
          <w:sz w:val="32"/>
          <w:szCs w:val="32"/>
          <w:highlight w:val="none"/>
          <w:u w:val="none"/>
          <w:lang w:eastAsia="zh-CN"/>
        </w:rPr>
        <w:t>孵化</w:t>
      </w:r>
      <w:r>
        <w:rPr>
          <w:rFonts w:hint="eastAsia" w:ascii="仿宋_GB2312" w:hAnsi="仿宋_GB2312" w:eastAsia="仿宋_GB2312" w:cs="仿宋_GB2312"/>
          <w:color w:val="auto"/>
          <w:sz w:val="32"/>
          <w:szCs w:val="32"/>
          <w:highlight w:val="none"/>
          <w:u w:val="none"/>
        </w:rPr>
        <w:t>平台</w:t>
      </w:r>
      <w:r>
        <w:rPr>
          <w:rFonts w:hint="eastAsia" w:ascii="仿宋_GB2312" w:hAnsi="仿宋_GB2312" w:eastAsia="仿宋_GB2312" w:cs="仿宋_GB2312"/>
          <w:color w:val="auto"/>
          <w:sz w:val="32"/>
          <w:szCs w:val="32"/>
          <w:highlight w:val="none"/>
          <w:u w:val="none"/>
          <w:lang w:eastAsia="zh-CN"/>
        </w:rPr>
        <w:t>。</w:t>
      </w:r>
    </w:p>
    <w:p w14:paraId="1C44E7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开展返乡入乡创业试点建设</w:t>
      </w:r>
      <w:r>
        <w:rPr>
          <w:rFonts w:hint="eastAsia" w:ascii="仿宋_GB2312" w:hAnsi="仿宋_GB2312" w:eastAsia="仿宋_GB2312" w:cs="仿宋_GB2312"/>
          <w:b/>
          <w:bCs/>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rPr>
        <w:t>依托开平特有侨乡、旅游、乡村特色资源</w:t>
      </w:r>
      <w:r>
        <w:rPr>
          <w:rFonts w:hint="eastAsia" w:ascii="仿宋_GB2312" w:hAnsi="仿宋_GB2312" w:eastAsia="仿宋_GB2312" w:cs="仿宋_GB2312"/>
          <w:color w:val="auto"/>
          <w:sz w:val="32"/>
          <w:szCs w:val="32"/>
          <w:highlight w:val="none"/>
          <w:u w:val="none"/>
          <w:lang w:eastAsia="zh-CN"/>
        </w:rPr>
        <w:t>，全力推进赤坎镇、塘口镇试点建设，</w:t>
      </w:r>
      <w:r>
        <w:rPr>
          <w:rFonts w:hint="eastAsia" w:ascii="仿宋_GB2312" w:hAnsi="仿宋_GB2312" w:eastAsia="仿宋_GB2312" w:cs="仿宋_GB2312"/>
          <w:color w:val="auto"/>
          <w:sz w:val="32"/>
          <w:szCs w:val="32"/>
          <w:highlight w:val="none"/>
          <w:u w:val="none"/>
          <w:lang w:val="en-US" w:eastAsia="zh-CN"/>
        </w:rPr>
        <w:t>扩建开平市文旅创业孵化基地分基地（二期），</w:t>
      </w:r>
      <w:r>
        <w:rPr>
          <w:rFonts w:hint="eastAsia" w:ascii="仿宋_GB2312" w:hAnsi="仿宋_GB2312" w:eastAsia="仿宋_GB2312" w:cs="仿宋_GB2312"/>
          <w:color w:val="auto"/>
          <w:sz w:val="32"/>
          <w:szCs w:val="32"/>
          <w:highlight w:val="none"/>
          <w:lang w:val="en-US" w:eastAsia="zh-CN"/>
        </w:rPr>
        <w:t>提升创业</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lang w:val="en-US" w:eastAsia="zh-CN"/>
        </w:rPr>
        <w:t>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举办更丰富更多种形式的创业交流活动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吸引各类群体返乡入乡创业创新，营造良好的</w:t>
      </w:r>
      <w:r>
        <w:rPr>
          <w:rFonts w:hint="eastAsia" w:ascii="仿宋_GB2312" w:hAnsi="仿宋_GB2312" w:eastAsia="仿宋_GB2312" w:cs="仿宋_GB2312"/>
          <w:color w:val="auto"/>
          <w:sz w:val="32"/>
          <w:szCs w:val="32"/>
          <w:highlight w:val="none"/>
          <w:lang w:eastAsia="zh-CN"/>
        </w:rPr>
        <w:t>社会创业氛围。</w:t>
      </w:r>
    </w:p>
    <w:p w14:paraId="1D7D83EF">
      <w:pPr>
        <w:pStyle w:val="2"/>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B14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61" w:type="dxa"/>
            <w:shd w:val="clear" w:color="auto" w:fill="FFC000"/>
            <w:noWrap w:val="0"/>
            <w:vAlign w:val="top"/>
          </w:tcPr>
          <w:p w14:paraId="2333465C">
            <w:pPr>
              <w:spacing w:before="156" w:beforeLines="50" w:after="156" w:afterLines="50" w:line="560" w:lineRule="exact"/>
              <w:ind w:firstLine="640" w:firstLineChars="200"/>
              <w:jc w:val="center"/>
              <w:rPr>
                <w:rFonts w:hint="default" w:ascii="Times New Roman" w:hAnsi="Times New Roman" w:eastAsia="仿宋_GB2312" w:cs="Times New Roman"/>
                <w:color w:val="auto"/>
                <w:highlight w:val="none"/>
                <w:u w:val="single" w:color="auto"/>
              </w:rPr>
            </w:pPr>
            <w:r>
              <w:rPr>
                <w:rFonts w:hint="eastAsia" w:ascii="黑体" w:hAnsi="黑体" w:eastAsia="黑体" w:cs="黑体"/>
                <w:b w:val="0"/>
                <w:bCs/>
                <w:color w:val="auto"/>
                <w:kern w:val="0"/>
                <w:sz w:val="32"/>
                <w:szCs w:val="32"/>
                <w:highlight w:val="none"/>
                <w:u w:val="none" w:color="auto"/>
              </w:rPr>
              <w:t>专栏 推进返乡入乡创业赋能行动</w:t>
            </w:r>
          </w:p>
        </w:tc>
      </w:tr>
      <w:tr w14:paraId="63C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28DD52BE">
            <w:pPr>
              <w:pStyle w:val="2"/>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default" w:ascii="Times New Roman" w:hAnsi="Times New Roman" w:eastAsia="仿宋_GB2312" w:cs="Times New Roman"/>
                <w:color w:val="auto"/>
                <w:highlight w:val="none"/>
                <w:u w:val="single" w:color="auto"/>
              </w:rPr>
            </w:pPr>
            <w:r>
              <w:rPr>
                <w:rFonts w:hint="default" w:ascii="Times New Roman" w:hAnsi="Times New Roman" w:eastAsia="方正仿宋_GBK" w:cs="Times New Roman"/>
                <w:color w:val="auto"/>
                <w:sz w:val="28"/>
                <w:szCs w:val="28"/>
                <w:highlight w:val="none"/>
                <w:u w:val="none" w:color="auto"/>
              </w:rPr>
              <w:t>着力推动</w:t>
            </w:r>
            <w:r>
              <w:rPr>
                <w:rFonts w:hint="eastAsia" w:eastAsia="方正仿宋_GBK" w:cs="Times New Roman"/>
                <w:color w:val="auto"/>
                <w:sz w:val="28"/>
                <w:szCs w:val="28"/>
                <w:highlight w:val="none"/>
                <w:u w:val="none" w:color="auto"/>
                <w:lang w:eastAsia="zh-CN"/>
              </w:rPr>
              <w:t>返乡入乡</w:t>
            </w:r>
            <w:r>
              <w:rPr>
                <w:rFonts w:hint="default" w:ascii="Times New Roman" w:hAnsi="Times New Roman" w:eastAsia="方正仿宋_GBK" w:cs="Times New Roman"/>
                <w:color w:val="auto"/>
                <w:sz w:val="28"/>
                <w:szCs w:val="28"/>
                <w:highlight w:val="none"/>
                <w:u w:val="none" w:color="auto"/>
              </w:rPr>
              <w:t>平台搭建、生态构建、能力提升、活动引流、服务保障，培育更多乡村创业主体。聚焦特色产业和创业集聚区，建设塘口、伍柒等特色创业街区，打造开放、多元、可持续的创业生态。</w:t>
            </w:r>
          </w:p>
        </w:tc>
      </w:tr>
    </w:tbl>
    <w:p w14:paraId="4F5A65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楷体_GB2312" w:hAnsi="楷体_GB2312" w:eastAsia="楷体_GB2312" w:cs="楷体_GB2312"/>
          <w:color w:val="auto"/>
          <w:sz w:val="32"/>
          <w:szCs w:val="32"/>
          <w:highlight w:val="none"/>
        </w:rPr>
      </w:pPr>
    </w:p>
    <w:p w14:paraId="219A829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仿宋_GBK" w:cs="Times New Roman"/>
          <w:b/>
          <w:bCs/>
          <w:color w:val="auto"/>
          <w:sz w:val="32"/>
          <w:szCs w:val="32"/>
          <w:highlight w:val="none"/>
          <w:u w:val="none" w:color="auto"/>
          <w:lang w:val="en-US" w:eastAsia="zh-CN"/>
        </w:rPr>
      </w:pPr>
      <w:bookmarkStart w:id="43" w:name="_Toc4868"/>
      <w:bookmarkStart w:id="44" w:name="_Toc2320"/>
      <w:bookmarkStart w:id="45" w:name="_Toc5536"/>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 xml:space="preserve">节 </w:t>
      </w:r>
      <w:r>
        <w:rPr>
          <w:rFonts w:hint="eastAsia" w:ascii="楷体_GB2312" w:hAnsi="楷体_GB2312" w:eastAsia="楷体_GB2312" w:cs="楷体_GB2312"/>
          <w:color w:val="auto"/>
          <w:sz w:val="32"/>
          <w:szCs w:val="32"/>
          <w:highlight w:val="none"/>
          <w:lang w:val="en-US" w:eastAsia="zh-CN"/>
        </w:rPr>
        <w:t>加快推动</w:t>
      </w:r>
      <w:r>
        <w:rPr>
          <w:rFonts w:hint="eastAsia" w:ascii="楷体_GB2312" w:hAnsi="楷体_GB2312" w:eastAsia="楷体_GB2312" w:cs="楷体_GB2312"/>
          <w:color w:val="auto"/>
          <w:sz w:val="32"/>
          <w:szCs w:val="32"/>
          <w:highlight w:val="none"/>
        </w:rPr>
        <w:t>人力资源服务业高质量发展</w:t>
      </w:r>
      <w:bookmarkEnd w:id="43"/>
      <w:bookmarkEnd w:id="44"/>
      <w:bookmarkEnd w:id="45"/>
    </w:p>
    <w:p w14:paraId="4B9C2E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规范人力资源服务业管理。</w:t>
      </w:r>
      <w:r>
        <w:rPr>
          <w:rFonts w:hint="default" w:ascii="仿宋_GB2312" w:hAnsi="仿宋_GB2312" w:eastAsia="仿宋_GB2312" w:cs="仿宋_GB2312"/>
          <w:color w:val="auto"/>
          <w:sz w:val="32"/>
          <w:szCs w:val="32"/>
          <w:highlight w:val="none"/>
          <w:lang w:val="en-US" w:eastAsia="zh-CN"/>
        </w:rPr>
        <w:t>深入实施《人力资源市场暂行条例》《广东省人力资源市场条例》，健全统一开放、竞争有序的人力资源市场体系。</w:t>
      </w:r>
      <w:r>
        <w:rPr>
          <w:rFonts w:hint="eastAsia" w:ascii="仿宋_GB2312" w:hAnsi="仿宋_GB2312" w:eastAsia="仿宋_GB2312" w:cs="仿宋_GB2312"/>
          <w:color w:val="auto"/>
          <w:sz w:val="32"/>
          <w:szCs w:val="32"/>
          <w:highlight w:val="none"/>
          <w:lang w:val="en-US" w:eastAsia="zh-CN"/>
        </w:rPr>
        <w:t>加强人力资源服务业从业人员素质建设，配合</w:t>
      </w:r>
      <w:r>
        <w:rPr>
          <w:rFonts w:hint="default" w:ascii="仿宋_GB2312" w:hAnsi="仿宋_GB2312" w:eastAsia="仿宋_GB2312" w:cs="仿宋_GB2312"/>
          <w:color w:val="auto"/>
          <w:sz w:val="32"/>
          <w:szCs w:val="32"/>
          <w:highlight w:val="none"/>
          <w:lang w:val="en-US" w:eastAsia="zh-CN"/>
        </w:rPr>
        <w:t>开展人力资源服务业职称评价。加强人力资源服务行业的诚信和规范化建设</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引导支持人力资源服务机构参与劳动争议预防调解工作，营造公平竞争、规范有序的市场环境。</w:t>
      </w:r>
      <w:r>
        <w:rPr>
          <w:rFonts w:hint="eastAsia" w:ascii="仿宋_GB2312" w:hAnsi="仿宋_GB2312" w:eastAsia="仿宋_GB2312" w:cs="仿宋_GB2312"/>
          <w:color w:val="auto"/>
          <w:sz w:val="32"/>
          <w:szCs w:val="32"/>
          <w:highlight w:val="none"/>
          <w:lang w:val="en-US" w:eastAsia="zh-CN"/>
        </w:rPr>
        <w:t>落实人力资源市场秩序监管指引，</w:t>
      </w:r>
      <w:r>
        <w:rPr>
          <w:rFonts w:hint="default" w:ascii="仿宋_GB2312" w:hAnsi="仿宋_GB2312" w:eastAsia="仿宋_GB2312" w:cs="仿宋_GB2312"/>
          <w:color w:val="auto"/>
          <w:sz w:val="32"/>
          <w:szCs w:val="32"/>
          <w:highlight w:val="none"/>
          <w:lang w:val="en-US" w:eastAsia="zh-CN"/>
        </w:rPr>
        <w:t>健全行政执法联动机制，开展清理整顿人力资源市场秩序专项行动，规范人力资源服务和劳务派遣。</w:t>
      </w:r>
    </w:p>
    <w:p w14:paraId="5C3B58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lang w:val="en-US"/>
        </w:rPr>
      </w:pPr>
      <w:r>
        <w:rPr>
          <w:rFonts w:hint="eastAsia" w:ascii="仿宋_GB2312" w:hAnsi="仿宋_GB2312" w:eastAsia="仿宋_GB2312" w:cs="仿宋_GB2312"/>
          <w:b/>
          <w:bCs/>
          <w:color w:val="auto"/>
          <w:sz w:val="32"/>
          <w:szCs w:val="32"/>
          <w:highlight w:val="none"/>
          <w:lang w:val="en-US" w:eastAsia="zh-CN"/>
        </w:rPr>
        <w:t>探索建设</w:t>
      </w:r>
      <w:r>
        <w:rPr>
          <w:rFonts w:hint="default" w:ascii="仿宋_GB2312" w:hAnsi="仿宋_GB2312" w:eastAsia="仿宋_GB2312" w:cs="仿宋_GB2312"/>
          <w:b/>
          <w:bCs/>
          <w:color w:val="auto"/>
          <w:sz w:val="32"/>
          <w:szCs w:val="32"/>
          <w:highlight w:val="none"/>
          <w:lang w:val="en-US" w:eastAsia="zh-CN"/>
        </w:rPr>
        <w:t>人力资源服务业发展平台。</w:t>
      </w:r>
      <w:r>
        <w:rPr>
          <w:rFonts w:hint="eastAsia" w:ascii="仿宋_GB2312" w:hAnsi="仿宋_GB2312" w:eastAsia="仿宋_GB2312" w:cs="仿宋_GB2312"/>
          <w:color w:val="auto"/>
          <w:sz w:val="32"/>
          <w:szCs w:val="32"/>
          <w:highlight w:val="none"/>
          <w:lang w:val="en-US" w:eastAsia="zh-CN"/>
        </w:rPr>
        <w:t>加强与</w:t>
      </w:r>
      <w:r>
        <w:rPr>
          <w:rFonts w:hint="default" w:ascii="仿宋_GB2312" w:hAnsi="仿宋_GB2312" w:eastAsia="仿宋_GB2312" w:cs="仿宋_GB2312"/>
          <w:color w:val="auto"/>
          <w:sz w:val="32"/>
          <w:szCs w:val="32"/>
          <w:highlight w:val="none"/>
          <w:lang w:val="en-US" w:eastAsia="zh-CN"/>
        </w:rPr>
        <w:t>广东江门人力资源服务产业园</w:t>
      </w:r>
      <w:r>
        <w:rPr>
          <w:rFonts w:hint="eastAsia" w:ascii="仿宋_GB2312" w:hAnsi="仿宋_GB2312" w:eastAsia="仿宋_GB2312" w:cs="仿宋_GB2312"/>
          <w:color w:val="auto"/>
          <w:sz w:val="32"/>
          <w:szCs w:val="32"/>
          <w:highlight w:val="none"/>
          <w:lang w:val="en-US" w:eastAsia="zh-CN"/>
        </w:rPr>
        <w:t>对接，向上争取资源建设江门市人力资源产业园开平分园。</w:t>
      </w:r>
    </w:p>
    <w:p w14:paraId="1D3C57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_GBK" w:hAnsi="方正楷体_GBK" w:eastAsia="方正楷体_GBK" w:cs="方正楷体_GBK"/>
          <w:b/>
          <w:bCs/>
          <w:color w:val="auto"/>
          <w:highlight w:val="none"/>
          <w:u w:val="none" w:color="auto"/>
        </w:rPr>
      </w:pPr>
      <w:r>
        <w:rPr>
          <w:rFonts w:hint="default" w:ascii="仿宋_GB2312" w:hAnsi="仿宋_GB2312" w:eastAsia="仿宋_GB2312" w:cs="仿宋_GB2312"/>
          <w:b/>
          <w:bCs/>
          <w:color w:val="auto"/>
          <w:sz w:val="32"/>
          <w:szCs w:val="32"/>
          <w:highlight w:val="none"/>
          <w:lang w:val="en-US" w:eastAsia="zh-CN"/>
        </w:rPr>
        <w:t>培育壮大人力资源服务业市场主体。</w:t>
      </w:r>
      <w:r>
        <w:rPr>
          <w:rFonts w:hint="eastAsia" w:ascii="Times New Roman" w:hAnsi="Times New Roman" w:eastAsia="仿宋_GB2312" w:cs="仿宋_GB2312"/>
          <w:bCs/>
          <w:color w:val="auto"/>
          <w:sz w:val="32"/>
          <w:szCs w:val="32"/>
          <w:highlight w:val="none"/>
        </w:rPr>
        <w:t>通过广东江门人力资源服务产业园的引领，引进和培育优质人力资源服务机构，</w:t>
      </w:r>
      <w:r>
        <w:rPr>
          <w:rFonts w:hint="eastAsia" w:ascii="仿宋_GB2312" w:hAnsi="仿宋_GB2312" w:eastAsia="仿宋_GB2312" w:cs="仿宋_GB2312"/>
          <w:color w:val="auto"/>
          <w:sz w:val="32"/>
          <w:szCs w:val="32"/>
          <w:highlight w:val="none"/>
          <w:lang w:val="en-US" w:eastAsia="zh-CN"/>
        </w:rPr>
        <w:t>扶持和鼓励经营性人力资源服务企业发展壮大。</w:t>
      </w:r>
      <w:r>
        <w:rPr>
          <w:rFonts w:hint="default" w:ascii="仿宋_GB2312" w:hAnsi="仿宋_GB2312" w:eastAsia="仿宋_GB2312" w:cs="仿宋_GB2312"/>
          <w:color w:val="auto"/>
          <w:sz w:val="32"/>
          <w:szCs w:val="32"/>
          <w:highlight w:val="none"/>
          <w:lang w:val="en-US" w:eastAsia="zh-CN"/>
        </w:rPr>
        <w:t>推动招聘、劳务派遣等传统业态提质增效，鼓励发展高端人才寻访、管理咨询、人力资源测评以及人力资源信息软件服务等高附加值业态新模式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推动</w:t>
      </w:r>
      <w:r>
        <w:rPr>
          <w:rFonts w:hint="eastAsia" w:ascii="仿宋_GB2312" w:hAnsi="仿宋_GB2312" w:eastAsia="仿宋_GB2312" w:cs="仿宋_GB2312"/>
          <w:color w:val="auto"/>
          <w:sz w:val="32"/>
          <w:szCs w:val="32"/>
          <w:highlight w:val="none"/>
          <w:lang w:val="en-US" w:eastAsia="zh-CN"/>
        </w:rPr>
        <w:t>人力资源机构</w:t>
      </w:r>
      <w:r>
        <w:rPr>
          <w:rFonts w:hint="default" w:ascii="仿宋_GB2312" w:hAnsi="仿宋_GB2312" w:eastAsia="仿宋_GB2312" w:cs="仿宋_GB2312"/>
          <w:color w:val="auto"/>
          <w:sz w:val="32"/>
          <w:szCs w:val="32"/>
          <w:highlight w:val="none"/>
          <w:lang w:val="en-US" w:eastAsia="zh-CN"/>
        </w:rPr>
        <w:t>与互联网、教育、医疗、养老、家政等行业跨界合作</w:t>
      </w:r>
      <w:r>
        <w:rPr>
          <w:rFonts w:hint="eastAsia" w:ascii="仿宋_GB2312" w:hAnsi="仿宋_GB2312" w:eastAsia="仿宋_GB2312" w:cs="仿宋_GB2312"/>
          <w:color w:val="auto"/>
          <w:sz w:val="32"/>
          <w:szCs w:val="32"/>
          <w:highlight w:val="none"/>
          <w:lang w:val="en-US" w:eastAsia="zh-CN"/>
        </w:rPr>
        <w:t>提供多元服务</w:t>
      </w:r>
      <w:r>
        <w:rPr>
          <w:rFonts w:hint="default" w:ascii="仿宋_GB2312" w:hAnsi="仿宋_GB2312" w:eastAsia="仿宋_GB2312" w:cs="仿宋_GB2312"/>
          <w:color w:val="auto"/>
          <w:sz w:val="32"/>
          <w:szCs w:val="32"/>
          <w:highlight w:val="none"/>
          <w:lang w:val="en-US" w:eastAsia="zh-CN"/>
        </w:rPr>
        <w:t>。开展人力资源服务机构稳就业促就业行动，引导人力资源服务机构向劳动者提供贯穿职业生涯全过程的就业和职业发展服务，聚焦重点产业、重点企业、重点群体大规模开展专业化求职招聘、就业指导、政策咨询等服务。</w:t>
      </w:r>
      <w:r>
        <w:rPr>
          <w:rFonts w:hint="eastAsia" w:ascii="仿宋_GB2312" w:hAnsi="仿宋_GB2312" w:eastAsia="仿宋_GB2312" w:cs="仿宋_GB2312"/>
          <w:color w:val="auto"/>
          <w:sz w:val="32"/>
          <w:szCs w:val="32"/>
          <w:highlight w:val="none"/>
          <w:lang w:val="en-US" w:eastAsia="zh-CN"/>
        </w:rPr>
        <w:t>推动人力资源服务业和制造业深度融合发展，鼓励人力资源机构与高校、产业链重点企业等组建人力资源服务创新联合体，共建用工调剂、产业人才培养机制。</w:t>
      </w:r>
      <w:bookmarkStart w:id="46" w:name="_Toc1853874273"/>
    </w:p>
    <w:p w14:paraId="2B27E15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楷体" w:hAnsi="楷体" w:eastAsia="楷体" w:cs="楷体"/>
          <w:b w:val="0"/>
          <w:bCs w:val="0"/>
          <w:color w:val="auto"/>
          <w:sz w:val="32"/>
          <w:szCs w:val="32"/>
          <w:highlight w:val="none"/>
          <w:u w:val="none" w:color="auto"/>
        </w:rPr>
      </w:pPr>
      <w:bookmarkStart w:id="47" w:name="_Toc13946"/>
      <w:bookmarkStart w:id="48" w:name="_Toc4916"/>
      <w:bookmarkStart w:id="49" w:name="_Toc3869"/>
    </w:p>
    <w:p w14:paraId="36FF89C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黑体" w:hAnsi="黑体" w:eastAsia="黑体" w:cs="黑体"/>
          <w:color w:val="auto"/>
          <w:sz w:val="32"/>
          <w:szCs w:val="32"/>
          <w:highlight w:val="none"/>
        </w:rPr>
      </w:pPr>
      <w:r>
        <w:rPr>
          <w:rFonts w:hint="eastAsia" w:ascii="楷体" w:hAnsi="楷体" w:eastAsia="楷体" w:cs="楷体"/>
          <w:b w:val="0"/>
          <w:bCs w:val="0"/>
          <w:color w:val="auto"/>
          <w:sz w:val="32"/>
          <w:szCs w:val="32"/>
          <w:highlight w:val="none"/>
          <w:u w:val="none" w:color="auto"/>
        </w:rPr>
        <w:t xml:space="preserve">第五节 </w:t>
      </w:r>
      <w:r>
        <w:rPr>
          <w:rFonts w:hint="eastAsia" w:ascii="楷体" w:hAnsi="楷体" w:eastAsia="楷体" w:cs="楷体"/>
          <w:b w:val="0"/>
          <w:bCs w:val="0"/>
          <w:color w:val="auto"/>
          <w:sz w:val="32"/>
          <w:szCs w:val="32"/>
          <w:highlight w:val="none"/>
          <w:u w:val="none" w:color="auto"/>
          <w:lang w:val="en-US" w:eastAsia="zh-CN"/>
        </w:rPr>
        <w:t>完善</w:t>
      </w:r>
      <w:r>
        <w:rPr>
          <w:rFonts w:hint="eastAsia" w:ascii="楷体" w:hAnsi="楷体" w:eastAsia="楷体" w:cs="楷体"/>
          <w:b w:val="0"/>
          <w:bCs w:val="0"/>
          <w:color w:val="auto"/>
          <w:sz w:val="32"/>
          <w:szCs w:val="32"/>
          <w:highlight w:val="none"/>
          <w:u w:val="none" w:color="auto"/>
        </w:rPr>
        <w:t>就业创业服务体系</w:t>
      </w:r>
      <w:bookmarkEnd w:id="46"/>
      <w:bookmarkEnd w:id="47"/>
      <w:bookmarkEnd w:id="48"/>
      <w:bookmarkEnd w:id="49"/>
    </w:p>
    <w:p w14:paraId="242DCD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u w:val="none" w:color="auto"/>
        </w:rPr>
      </w:pPr>
      <w:r>
        <w:rPr>
          <w:rFonts w:hint="default" w:ascii="仿宋_GB2312" w:hAnsi="仿宋_GB2312" w:eastAsia="仿宋_GB2312" w:cs="仿宋_GB2312"/>
          <w:b/>
          <w:bCs/>
          <w:color w:val="auto"/>
          <w:sz w:val="32"/>
          <w:szCs w:val="32"/>
          <w:highlight w:val="none"/>
          <w:lang w:val="en-US" w:eastAsia="zh-CN"/>
        </w:rPr>
        <w:t>提升就业服务能力。</w:t>
      </w:r>
      <w:r>
        <w:rPr>
          <w:rFonts w:hint="default" w:ascii="仿宋_GB2312" w:hAnsi="仿宋_GB2312" w:eastAsia="仿宋_GB2312" w:cs="仿宋_GB2312"/>
          <w:color w:val="auto"/>
          <w:sz w:val="32"/>
          <w:szCs w:val="32"/>
          <w:highlight w:val="none"/>
          <w:lang w:val="en-US" w:eastAsia="zh-CN"/>
        </w:rPr>
        <w:t>深化拓展家门口就业服务圈，</w:t>
      </w:r>
      <w:r>
        <w:rPr>
          <w:rFonts w:hint="eastAsia" w:ascii="仿宋_GB2312" w:hAnsi="仿宋_GB2312" w:eastAsia="仿宋_GB2312" w:cs="仿宋_GB2312"/>
          <w:color w:val="auto"/>
          <w:sz w:val="32"/>
          <w:szCs w:val="32"/>
          <w:highlight w:val="none"/>
          <w:lang w:eastAsia="zh-CN"/>
        </w:rPr>
        <w:t>进一步提升“市镇村”三级公共就业服务平台服务质量，</w:t>
      </w:r>
      <w:r>
        <w:rPr>
          <w:rFonts w:hint="eastAsia" w:ascii="仿宋_GB2312" w:hAnsi="仿宋_GB2312" w:eastAsia="仿宋_GB2312" w:cs="仿宋_GB2312"/>
          <w:color w:val="auto"/>
          <w:sz w:val="32"/>
          <w:szCs w:val="32"/>
          <w:highlight w:val="none"/>
          <w:lang w:val="en-US" w:eastAsia="zh-CN"/>
        </w:rPr>
        <w:t>完善“</w:t>
      </w:r>
      <w:r>
        <w:rPr>
          <w:rFonts w:hint="default" w:ascii="仿宋_GB2312" w:hAnsi="仿宋_GB2312" w:eastAsia="仿宋_GB2312" w:cs="仿宋_GB2312"/>
          <w:color w:val="auto"/>
          <w:sz w:val="32"/>
          <w:szCs w:val="32"/>
          <w:highlight w:val="none"/>
          <w:lang w:val="en-US" w:eastAsia="zh-CN"/>
        </w:rPr>
        <w:t>1+2+N</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公共就业服务体系。</w:t>
      </w:r>
      <w:r>
        <w:rPr>
          <w:rFonts w:hint="eastAsia" w:ascii="仿宋_GB2312" w:hAnsi="仿宋_GB2312" w:eastAsia="仿宋_GB2312" w:cs="仿宋_GB2312"/>
          <w:color w:val="auto"/>
          <w:sz w:val="32"/>
          <w:szCs w:val="32"/>
          <w:highlight w:val="none"/>
          <w:u w:val="none"/>
          <w:lang w:eastAsia="zh-CN"/>
        </w:rPr>
        <w:t>打造</w:t>
      </w:r>
      <w:r>
        <w:rPr>
          <w:rFonts w:hint="eastAsia" w:ascii="仿宋_GB2312" w:hAnsi="仿宋_GB2312" w:eastAsia="仿宋_GB2312" w:cs="仿宋_GB2312"/>
          <w:b w:val="0"/>
          <w:bCs w:val="0"/>
          <w:color w:val="auto"/>
          <w:sz w:val="32"/>
          <w:szCs w:val="32"/>
          <w:u w:val="none"/>
          <w:lang w:eastAsia="zh-CN"/>
        </w:rPr>
        <w:t>省级就业公共服务能力提升示范项目，</w:t>
      </w:r>
      <w:r>
        <w:rPr>
          <w:rFonts w:hint="eastAsia" w:ascii="仿宋_GB2312" w:hAnsi="仿宋_GB2312" w:eastAsia="仿宋_GB2312" w:cs="仿宋_GB2312"/>
          <w:color w:val="auto"/>
          <w:sz w:val="32"/>
          <w:szCs w:val="32"/>
          <w:highlight w:val="none"/>
          <w:u w:val="none"/>
        </w:rPr>
        <w:t>健全多元化促进就业渠道，</w:t>
      </w:r>
      <w:r>
        <w:rPr>
          <w:rFonts w:hint="eastAsia" w:ascii="仿宋_GB2312" w:hAnsi="仿宋_GB2312" w:eastAsia="仿宋_GB2312" w:cs="仿宋_GB2312"/>
          <w:color w:val="auto"/>
          <w:sz w:val="32"/>
          <w:szCs w:val="32"/>
          <w:highlight w:val="none"/>
          <w:u w:val="none"/>
          <w:lang w:eastAsia="zh-CN"/>
        </w:rPr>
        <w:t>进一步深化“一网双核四联动”</w:t>
      </w:r>
      <w:r>
        <w:rPr>
          <w:rFonts w:hint="eastAsia" w:ascii="Times New Roman" w:hAnsi="Times New Roman" w:eastAsia="仿宋_GB2312" w:cs="Times New Roman"/>
          <w:color w:val="auto"/>
          <w:sz w:val="32"/>
          <w:szCs w:val="32"/>
          <w:u w:val="none"/>
          <w:lang w:val="en-US" w:eastAsia="zh-CN"/>
        </w:rPr>
        <w:t>工作机制。</w:t>
      </w:r>
      <w:r>
        <w:rPr>
          <w:rFonts w:hint="eastAsia" w:ascii="仿宋_GB2312" w:hAnsi="仿宋_GB2312" w:eastAsia="仿宋_GB2312" w:cs="仿宋_GB2312"/>
          <w:color w:val="auto"/>
          <w:sz w:val="32"/>
          <w:szCs w:val="32"/>
          <w:highlight w:val="none"/>
          <w:lang w:val="en-US" w:eastAsia="zh-CN"/>
        </w:rPr>
        <w:t>落实江门</w:t>
      </w:r>
      <w:r>
        <w:rPr>
          <w:rFonts w:hint="default" w:ascii="仿宋_GB2312" w:hAnsi="仿宋_GB2312" w:eastAsia="仿宋_GB2312" w:cs="仿宋_GB2312"/>
          <w:color w:val="auto"/>
          <w:sz w:val="32"/>
          <w:szCs w:val="32"/>
          <w:highlight w:val="none"/>
          <w:lang w:val="en-US" w:eastAsia="zh-CN"/>
        </w:rPr>
        <w:t>全市统一的就业公共服务清单。建强就业公共服务队伍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加强对就业创业服务工作人员的培训，</w:t>
      </w:r>
      <w:r>
        <w:rPr>
          <w:rFonts w:hint="eastAsia" w:ascii="仿宋_GB2312" w:hAnsi="仿宋_GB2312" w:eastAsia="仿宋_GB2312" w:cs="仿宋_GB2312"/>
          <w:color w:val="auto"/>
          <w:sz w:val="32"/>
          <w:szCs w:val="32"/>
          <w:highlight w:val="none"/>
          <w:lang w:val="en-US" w:eastAsia="zh-CN"/>
        </w:rPr>
        <w:t>完善市镇两级就业服务专员制度</w:t>
      </w:r>
      <w:r>
        <w:rPr>
          <w:rFonts w:hint="default" w:ascii="仿宋_GB2312" w:hAnsi="仿宋_GB2312" w:eastAsia="仿宋_GB2312" w:cs="仿宋_GB2312"/>
          <w:color w:val="auto"/>
          <w:sz w:val="32"/>
          <w:szCs w:val="32"/>
          <w:highlight w:val="none"/>
          <w:lang w:val="en-US" w:eastAsia="zh-CN"/>
        </w:rPr>
        <w:t>。支持经营性人力资源服务机构、社会组织等提供公益性就业服务。</w:t>
      </w:r>
      <w:r>
        <w:rPr>
          <w:rFonts w:hint="eastAsia" w:ascii="仿宋_GB2312" w:hAnsi="仿宋_GB2312" w:eastAsia="仿宋_GB2312" w:cs="仿宋_GB2312"/>
          <w:color w:val="auto"/>
          <w:sz w:val="32"/>
          <w:szCs w:val="32"/>
          <w:highlight w:val="none"/>
          <w:lang w:val="en-US" w:eastAsia="zh-CN"/>
        </w:rPr>
        <w:t>配合</w:t>
      </w:r>
      <w:r>
        <w:rPr>
          <w:rFonts w:hint="default" w:ascii="仿宋_GB2312" w:hAnsi="仿宋_GB2312" w:eastAsia="仿宋_GB2312" w:cs="仿宋_GB2312"/>
          <w:color w:val="auto"/>
          <w:sz w:val="32"/>
          <w:szCs w:val="32"/>
          <w:highlight w:val="none"/>
          <w:lang w:val="en-US" w:eastAsia="zh-CN"/>
        </w:rPr>
        <w:t>实施职业指导能力提升项目，</w:t>
      </w:r>
      <w:r>
        <w:rPr>
          <w:rFonts w:hint="eastAsia" w:ascii="仿宋_GB2312" w:hAnsi="仿宋_GB2312" w:eastAsia="仿宋_GB2312" w:cs="仿宋_GB2312"/>
          <w:color w:val="auto"/>
          <w:sz w:val="32"/>
          <w:szCs w:val="32"/>
          <w:highlight w:val="none"/>
          <w:lang w:val="en-US" w:eastAsia="zh-CN"/>
        </w:rPr>
        <w:t>探索</w:t>
      </w:r>
      <w:r>
        <w:rPr>
          <w:rFonts w:hint="default" w:ascii="仿宋_GB2312" w:hAnsi="仿宋_GB2312" w:eastAsia="仿宋_GB2312" w:cs="仿宋_GB2312"/>
          <w:color w:val="auto"/>
          <w:sz w:val="32"/>
          <w:szCs w:val="32"/>
          <w:highlight w:val="none"/>
          <w:lang w:val="en-US" w:eastAsia="zh-CN"/>
        </w:rPr>
        <w:t>设立职业指导工作站，</w:t>
      </w:r>
      <w:r>
        <w:rPr>
          <w:rFonts w:hint="eastAsia" w:ascii="仿宋_GB2312" w:hAnsi="仿宋_GB2312" w:eastAsia="仿宋_GB2312" w:cs="仿宋_GB2312"/>
          <w:color w:val="auto"/>
          <w:sz w:val="32"/>
          <w:szCs w:val="32"/>
          <w:highlight w:val="none"/>
          <w:lang w:val="en-US" w:eastAsia="zh-CN"/>
        </w:rPr>
        <w:t>拓展服务网络，</w:t>
      </w:r>
      <w:r>
        <w:rPr>
          <w:rFonts w:hint="default" w:ascii="仿宋_GB2312" w:hAnsi="仿宋_GB2312" w:eastAsia="仿宋_GB2312" w:cs="仿宋_GB2312"/>
          <w:color w:val="auto"/>
          <w:sz w:val="32"/>
          <w:szCs w:val="32"/>
          <w:highlight w:val="none"/>
          <w:lang w:val="en-US" w:eastAsia="zh-CN"/>
        </w:rPr>
        <w:t>开展职业指导下基层、求职能力实训营等活动。探索</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AI+就业服务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模式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创新AI智慧就业服务应用场景。</w:t>
      </w:r>
    </w:p>
    <w:p w14:paraId="25B963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保障重点企业用工。</w:t>
      </w:r>
      <w:r>
        <w:rPr>
          <w:rFonts w:hint="default" w:ascii="仿宋_GB2312" w:hAnsi="仿宋_GB2312" w:eastAsia="仿宋_GB2312" w:cs="仿宋_GB2312"/>
          <w:color w:val="auto"/>
          <w:sz w:val="32"/>
          <w:szCs w:val="32"/>
          <w:highlight w:val="none"/>
          <w:lang w:val="en-US" w:eastAsia="zh-CN"/>
        </w:rPr>
        <w:t>动态更新重点企业清单，用好</w:t>
      </w:r>
      <w:r>
        <w:rPr>
          <w:rFonts w:hint="eastAsia" w:ascii="仿宋_GB2312" w:hAnsi="仿宋_GB2312" w:eastAsia="仿宋_GB2312" w:cs="仿宋_GB2312"/>
          <w:color w:val="auto"/>
          <w:sz w:val="32"/>
          <w:szCs w:val="32"/>
          <w:highlight w:val="none"/>
          <w:lang w:val="en-US" w:eastAsia="zh-CN"/>
        </w:rPr>
        <w:t>中</w:t>
      </w:r>
      <w:r>
        <w:rPr>
          <w:rFonts w:hint="default" w:ascii="仿宋_GB2312" w:hAnsi="仿宋_GB2312" w:eastAsia="仿宋_GB2312" w:cs="仿宋_GB2312"/>
          <w:color w:val="auto"/>
          <w:sz w:val="32"/>
          <w:szCs w:val="32"/>
          <w:highlight w:val="none"/>
          <w:lang w:val="en-US" w:eastAsia="zh-CN"/>
        </w:rPr>
        <w:t>小微企业快速响应平台</w:t>
      </w:r>
      <w:r>
        <w:rPr>
          <w:rFonts w:hint="eastAsia" w:ascii="仿宋_GB2312" w:hAnsi="仿宋_GB2312" w:eastAsia="仿宋_GB2312" w:cs="仿宋_GB2312"/>
          <w:color w:val="auto"/>
          <w:sz w:val="32"/>
          <w:szCs w:val="32"/>
          <w:highlight w:val="none"/>
          <w:lang w:val="en-US" w:eastAsia="zh-CN"/>
        </w:rPr>
        <w:t>等需求反馈渠道，</w:t>
      </w:r>
      <w:r>
        <w:rPr>
          <w:rFonts w:hint="default" w:ascii="仿宋_GB2312" w:hAnsi="仿宋_GB2312" w:eastAsia="仿宋_GB2312" w:cs="仿宋_GB2312"/>
          <w:color w:val="auto"/>
          <w:sz w:val="32"/>
          <w:szCs w:val="32"/>
          <w:highlight w:val="none"/>
          <w:lang w:val="en-US" w:eastAsia="zh-CN"/>
        </w:rPr>
        <w:t>落实</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首席服务官+服务专员</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制度，</w:t>
      </w:r>
      <w:r>
        <w:rPr>
          <w:rFonts w:hint="eastAsia" w:ascii="仿宋_GB2312" w:hAnsi="仿宋_GB2312" w:eastAsia="仿宋_GB2312" w:cs="仿宋_GB2312"/>
          <w:b w:val="0"/>
          <w:bCs w:val="0"/>
          <w:color w:val="auto"/>
          <w:sz w:val="32"/>
          <w:szCs w:val="32"/>
          <w:highlight w:val="none"/>
          <w:u w:val="none"/>
          <w:lang w:val="en-US" w:eastAsia="zh-CN"/>
        </w:rPr>
        <w:t>落实就业服务专员制度，实施“一企一策”用工保障服务，进一步完善重点企业用工常态化机制</w:t>
      </w:r>
      <w:r>
        <w:rPr>
          <w:rFonts w:hint="default" w:ascii="仿宋_GB2312" w:hAnsi="仿宋_GB2312" w:eastAsia="仿宋_GB2312" w:cs="仿宋_GB2312"/>
          <w:color w:val="auto"/>
          <w:sz w:val="32"/>
          <w:szCs w:val="32"/>
          <w:highlight w:val="none"/>
          <w:lang w:val="en-US" w:eastAsia="zh-CN"/>
        </w:rPr>
        <w:t>，通过现场招聘、直播带岗、劳务对接、校企合作等方式</w:t>
      </w:r>
      <w:r>
        <w:rPr>
          <w:rFonts w:hint="eastAsia" w:ascii="仿宋_GB2312" w:hAnsi="仿宋_GB2312" w:eastAsia="仿宋_GB2312" w:cs="仿宋_GB2312"/>
          <w:color w:val="auto"/>
          <w:sz w:val="32"/>
          <w:szCs w:val="32"/>
          <w:highlight w:val="none"/>
          <w:lang w:val="en-US" w:eastAsia="zh-CN"/>
        </w:rPr>
        <w:t>为重点企业提供</w:t>
      </w:r>
      <w:r>
        <w:rPr>
          <w:rFonts w:hint="default" w:ascii="仿宋_GB2312" w:hAnsi="仿宋_GB2312" w:eastAsia="仿宋_GB2312" w:cs="仿宋_GB2312"/>
          <w:color w:val="auto"/>
          <w:sz w:val="32"/>
          <w:szCs w:val="32"/>
          <w:highlight w:val="none"/>
          <w:lang w:val="en-US" w:eastAsia="zh-CN"/>
        </w:rPr>
        <w:t>用工保障服务。</w:t>
      </w:r>
      <w:r>
        <w:rPr>
          <w:rFonts w:hint="eastAsia" w:ascii="仿宋_GB2312" w:hAnsi="仿宋_GB2312" w:eastAsia="仿宋_GB2312" w:cs="仿宋_GB2312"/>
          <w:color w:val="auto"/>
          <w:sz w:val="32"/>
          <w:szCs w:val="32"/>
          <w:highlight w:val="none"/>
          <w:lang w:val="en-US" w:eastAsia="zh-CN"/>
        </w:rPr>
        <w:t>落实</w:t>
      </w:r>
      <w:r>
        <w:rPr>
          <w:rFonts w:hint="default" w:ascii="仿宋_GB2312" w:hAnsi="仿宋_GB2312" w:eastAsia="仿宋_GB2312" w:cs="仿宋_GB2312"/>
          <w:color w:val="auto"/>
          <w:sz w:val="32"/>
          <w:szCs w:val="32"/>
          <w:highlight w:val="none"/>
          <w:lang w:val="en-US" w:eastAsia="zh-CN"/>
        </w:rPr>
        <w:t>失业保险稳岗返还、阶段性降低失业保险费率等助企纾困政策，及时组织落实好应急稳岗政策。</w:t>
      </w:r>
    </w:p>
    <w:p w14:paraId="51B341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持续优化创业服务。</w:t>
      </w:r>
      <w:r>
        <w:rPr>
          <w:rFonts w:hint="default" w:ascii="仿宋_GB2312" w:hAnsi="仿宋_GB2312" w:eastAsia="仿宋_GB2312" w:cs="仿宋_GB2312"/>
          <w:color w:val="auto"/>
          <w:sz w:val="32"/>
          <w:szCs w:val="32"/>
          <w:highlight w:val="none"/>
          <w:lang w:val="en-US" w:eastAsia="zh-CN"/>
        </w:rPr>
        <w:t>健全就业公共服务体系创业服务功能，落实《公共创业服务规范》行业标准，配强创业服务工作人员队伍，提</w:t>
      </w:r>
      <w:r>
        <w:rPr>
          <w:rFonts w:hint="eastAsia" w:ascii="仿宋_GB2312" w:hAnsi="仿宋_GB2312" w:eastAsia="仿宋_GB2312" w:cs="仿宋_GB2312"/>
          <w:color w:val="auto"/>
          <w:sz w:val="32"/>
          <w:szCs w:val="32"/>
          <w:highlight w:val="none"/>
          <w:lang w:val="en-US" w:eastAsia="zh-CN"/>
        </w:rPr>
        <w:t>升</w:t>
      </w:r>
      <w:r>
        <w:rPr>
          <w:rFonts w:hint="default"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lang w:val="en-US" w:eastAsia="zh-CN"/>
        </w:rPr>
        <w:t>效能</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推行</w:t>
      </w:r>
      <w:r>
        <w:rPr>
          <w:rFonts w:hint="default" w:ascii="仿宋_GB2312" w:hAnsi="仿宋_GB2312" w:eastAsia="仿宋_GB2312" w:cs="仿宋_GB2312"/>
          <w:color w:val="auto"/>
          <w:sz w:val="32"/>
          <w:szCs w:val="32"/>
          <w:highlight w:val="none"/>
          <w:lang w:val="en-US" w:eastAsia="zh-CN"/>
        </w:rPr>
        <w:t>高效办</w:t>
      </w:r>
      <w:r>
        <w:rPr>
          <w:rFonts w:hint="eastAsia" w:ascii="仿宋_GB2312" w:hAnsi="仿宋_GB2312" w:eastAsia="仿宋_GB2312" w:cs="仿宋_GB2312"/>
          <w:color w:val="auto"/>
          <w:sz w:val="32"/>
          <w:szCs w:val="32"/>
          <w:highlight w:val="none"/>
          <w:lang w:val="en-US" w:eastAsia="zh-CN"/>
        </w:rPr>
        <w:t>结</w:t>
      </w:r>
      <w:r>
        <w:rPr>
          <w:rFonts w:hint="default" w:ascii="仿宋_GB2312" w:hAnsi="仿宋_GB2312" w:eastAsia="仿宋_GB2312" w:cs="仿宋_GB2312"/>
          <w:color w:val="auto"/>
          <w:sz w:val="32"/>
          <w:szCs w:val="32"/>
          <w:highlight w:val="none"/>
          <w:lang w:val="en-US" w:eastAsia="zh-CN"/>
        </w:rPr>
        <w:t>创业</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一件事</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，引进并整合商事登记、税务、社保、人才等</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一站式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服务，实现经营主体登记注册、纳税人信息确认、个体工商户参保缴费登记、就业创业证申领、创业补贴申领等事项</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一次办成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，推动创业管理服务数智化转型。设立创业指导师工作室等专业化服务实体，提供创业培训、管理咨询、金融对接、资源对接等保障服务。</w:t>
      </w:r>
    </w:p>
    <w:p w14:paraId="13A4B1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强化就业形势分析研判。</w:t>
      </w:r>
      <w:r>
        <w:rPr>
          <w:rFonts w:hint="default" w:ascii="仿宋_GB2312" w:hAnsi="仿宋_GB2312" w:eastAsia="仿宋_GB2312" w:cs="仿宋_GB2312"/>
          <w:color w:val="auto"/>
          <w:sz w:val="32"/>
          <w:szCs w:val="32"/>
          <w:highlight w:val="none"/>
          <w:lang w:val="en-US" w:eastAsia="zh-CN"/>
        </w:rPr>
        <w:t>完善就业失业统计调查体系，完善风险分级分类预警监测功能。健全多方参与的就业形势研判会商机制，推进经济、就业、市场主体、劳动力流动等数据信息共享，利用省就业一体化信息平台就业数据</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回流</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，常态化开展人力资源市场供求状况分析和就业失业动态监测，加强就业研判和科学决策水平。密切关注企业规模性裁员，落实劳动关系指导、就业创业服务、职业技能培训、劳动人事关系服务、失业生活保障</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五个跟上去</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，坚决守住规模性失业风险底线。持续跟踪并科学有效应对人工智能等新兴技术的就业影响，落实助力劳动者转型转岗专项措施。</w:t>
      </w:r>
    </w:p>
    <w:p w14:paraId="5C737224">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黑体" w:hAnsi="黑体" w:eastAsia="黑体" w:cs="黑体"/>
          <w:color w:val="auto"/>
          <w:sz w:val="32"/>
          <w:szCs w:val="32"/>
          <w:highlight w:val="none"/>
        </w:rPr>
      </w:pPr>
    </w:p>
    <w:p w14:paraId="20FF6172">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黑体" w:hAnsi="黑体" w:eastAsia="黑体" w:cs="黑体"/>
          <w:color w:val="auto"/>
          <w:sz w:val="32"/>
          <w:szCs w:val="32"/>
          <w:highlight w:val="none"/>
        </w:rPr>
      </w:pPr>
      <w:bookmarkStart w:id="50" w:name="_Toc32185"/>
      <w:bookmarkStart w:id="51" w:name="_Toc11966"/>
      <w:bookmarkStart w:id="52" w:name="_Toc5496"/>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章 满足美好生活新期待 构建覆盖全民的社会保障体系</w:t>
      </w:r>
      <w:bookmarkEnd w:id="50"/>
      <w:bookmarkEnd w:id="51"/>
      <w:bookmarkEnd w:id="52"/>
    </w:p>
    <w:p w14:paraId="66BA0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u w:val="none" w:color="auto"/>
          <w:lang w:eastAsia="zh-CN"/>
        </w:rPr>
        <w:t>健全</w:t>
      </w:r>
      <w:r>
        <w:rPr>
          <w:rFonts w:hint="eastAsia" w:ascii="仿宋_GB2312" w:hAnsi="仿宋_GB2312" w:eastAsia="仿宋_GB2312" w:cs="仿宋_GB2312"/>
          <w:color w:val="auto"/>
          <w:sz w:val="32"/>
          <w:szCs w:val="32"/>
          <w:highlight w:val="none"/>
          <w:u w:val="none" w:color="auto"/>
        </w:rPr>
        <w:t>覆盖全</w:t>
      </w:r>
      <w:r>
        <w:rPr>
          <w:rFonts w:hint="eastAsia" w:ascii="仿宋_GB2312" w:hAnsi="仿宋_GB2312" w:eastAsia="仿宋_GB2312" w:cs="仿宋_GB2312"/>
          <w:strike w:val="0"/>
          <w:dstrike w:val="0"/>
          <w:color w:val="auto"/>
          <w:sz w:val="32"/>
          <w:szCs w:val="32"/>
          <w:highlight w:val="none"/>
          <w:u w:val="none" w:color="auto"/>
        </w:rPr>
        <w:t>民</w:t>
      </w:r>
      <w:r>
        <w:rPr>
          <w:rFonts w:hint="eastAsia" w:ascii="仿宋_GB2312" w:hAnsi="仿宋_GB2312" w:eastAsia="仿宋_GB2312" w:cs="仿宋_GB2312"/>
          <w:color w:val="auto"/>
          <w:sz w:val="32"/>
          <w:szCs w:val="32"/>
          <w:highlight w:val="none"/>
          <w:u w:val="none" w:color="auto"/>
        </w:rPr>
        <w:t>、统筹城乡、公平统一、安全规范且具备可持续性的多层次社会保障体系。</w:t>
      </w:r>
      <w:r>
        <w:rPr>
          <w:rFonts w:hint="eastAsia" w:ascii="仿宋_GB2312" w:hAnsi="仿宋_GB2312" w:eastAsia="仿宋_GB2312" w:cs="仿宋_GB2312"/>
          <w:color w:val="auto"/>
          <w:sz w:val="32"/>
          <w:szCs w:val="32"/>
          <w:highlight w:val="none"/>
          <w:u w:val="none" w:color="auto"/>
          <w:lang w:val="en-US" w:eastAsia="zh-CN"/>
        </w:rPr>
        <w:t>坚持尽力而为、量力而行，落实社保制度改革，不断增强社会保障的可持续性、可及性、安全性、便捷性、规范性，满足人民对美好生活的向往。</w:t>
      </w:r>
    </w:p>
    <w:p w14:paraId="7CC34A0C">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auto"/>
          <w:sz w:val="32"/>
          <w:szCs w:val="32"/>
          <w:highlight w:val="none"/>
        </w:rPr>
      </w:pPr>
      <w:bookmarkStart w:id="53" w:name="_Toc31465"/>
      <w:bookmarkStart w:id="54" w:name="_Toc13020"/>
      <w:bookmarkStart w:id="55" w:name="_Toc22611"/>
      <w:r>
        <w:rPr>
          <w:rFonts w:hint="eastAsia" w:ascii="楷体_GB2312" w:hAnsi="楷体_GB2312" w:eastAsia="楷体_GB2312" w:cs="楷体_GB2312"/>
          <w:color w:val="auto"/>
          <w:sz w:val="32"/>
          <w:szCs w:val="32"/>
          <w:highlight w:val="none"/>
        </w:rPr>
        <w:t>第一节 推动社会保险扩面提质</w:t>
      </w:r>
      <w:bookmarkEnd w:id="53"/>
      <w:bookmarkEnd w:id="54"/>
      <w:bookmarkEnd w:id="55"/>
    </w:p>
    <w:p w14:paraId="35EF04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推进</w:t>
      </w:r>
      <w:r>
        <w:rPr>
          <w:rFonts w:hint="default" w:ascii="仿宋_GB2312" w:hAnsi="仿宋_GB2312" w:eastAsia="仿宋_GB2312" w:cs="仿宋_GB2312"/>
          <w:b/>
          <w:bCs/>
          <w:color w:val="auto"/>
          <w:sz w:val="32"/>
          <w:szCs w:val="32"/>
          <w:highlight w:val="none"/>
          <w:u w:val="none" w:color="auto"/>
        </w:rPr>
        <w:t>高质量参保</w:t>
      </w:r>
      <w:r>
        <w:rPr>
          <w:rFonts w:hint="eastAsia" w:ascii="仿宋_GB2312" w:hAnsi="仿宋_GB2312" w:eastAsia="仿宋_GB2312" w:cs="仿宋_GB2312"/>
          <w:b/>
          <w:bCs/>
          <w:color w:val="auto"/>
          <w:sz w:val="32"/>
          <w:szCs w:val="32"/>
          <w:highlight w:val="none"/>
          <w:u w:val="none" w:color="auto"/>
          <w:lang w:eastAsia="zh-CN"/>
        </w:rPr>
        <w:t>扩面</w:t>
      </w:r>
      <w:r>
        <w:rPr>
          <w:rFonts w:hint="default" w:ascii="仿宋_GB2312" w:hAnsi="仿宋_GB2312" w:eastAsia="仿宋_GB2312" w:cs="仿宋_GB2312"/>
          <w:b/>
          <w:bCs/>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val="en-US" w:eastAsia="zh-CN"/>
        </w:rPr>
        <w:t>全面</w:t>
      </w:r>
      <w:r>
        <w:rPr>
          <w:rFonts w:hint="eastAsia" w:ascii="仿宋_GB2312" w:hAnsi="仿宋_GB2312" w:eastAsia="仿宋_GB2312" w:cs="仿宋_GB2312"/>
          <w:color w:val="auto"/>
          <w:sz w:val="32"/>
          <w:szCs w:val="32"/>
          <w:highlight w:val="none"/>
          <w:u w:val="single"/>
          <w:lang w:eastAsia="zh-CN"/>
        </w:rPr>
        <w:t>实施</w:t>
      </w:r>
      <w:r>
        <w:rPr>
          <w:rFonts w:hint="eastAsia" w:ascii="仿宋_GB2312" w:hAnsi="仿宋_GB2312" w:eastAsia="仿宋_GB2312" w:cs="仿宋_GB2312"/>
          <w:color w:val="auto"/>
          <w:sz w:val="32"/>
          <w:szCs w:val="32"/>
          <w:highlight w:val="none"/>
          <w:u w:val="none"/>
        </w:rPr>
        <w:t>全民参保计划，</w:t>
      </w:r>
      <w:r>
        <w:rPr>
          <w:rFonts w:hint="eastAsia" w:ascii="仿宋_GB2312" w:hAnsi="仿宋_GB2312" w:eastAsia="仿宋_GB2312" w:cs="仿宋_GB2312"/>
          <w:color w:val="auto"/>
          <w:sz w:val="32"/>
          <w:szCs w:val="32"/>
          <w:highlight w:val="none"/>
        </w:rPr>
        <w:t>加强</w:t>
      </w:r>
      <w:r>
        <w:rPr>
          <w:rFonts w:hint="eastAsia" w:ascii="仿宋_GB2312" w:hAnsi="仿宋_GB2312" w:eastAsia="仿宋_GB2312" w:cs="仿宋_GB2312"/>
          <w:color w:val="auto"/>
          <w:sz w:val="32"/>
          <w:szCs w:val="32"/>
          <w:highlight w:val="none"/>
          <w:u w:val="single"/>
          <w:lang w:eastAsia="zh-CN"/>
        </w:rPr>
        <w:t>跨</w:t>
      </w:r>
      <w:r>
        <w:rPr>
          <w:rFonts w:hint="eastAsia" w:ascii="仿宋_GB2312" w:hAnsi="仿宋_GB2312" w:eastAsia="仿宋_GB2312" w:cs="仿宋_GB2312"/>
          <w:color w:val="auto"/>
          <w:sz w:val="32"/>
          <w:szCs w:val="32"/>
          <w:highlight w:val="none"/>
        </w:rPr>
        <w:t>部门数据共享比对，</w:t>
      </w:r>
      <w:r>
        <w:rPr>
          <w:rFonts w:hint="eastAsia" w:ascii="仿宋_GB2312" w:hAnsi="仿宋_GB2312" w:eastAsia="仿宋_GB2312" w:cs="仿宋_GB2312"/>
          <w:color w:val="auto"/>
          <w:sz w:val="32"/>
          <w:szCs w:val="32"/>
          <w:highlight w:val="none"/>
          <w:u w:val="none"/>
        </w:rPr>
        <w:t>强化政策宣传和精准引导，重点</w:t>
      </w:r>
      <w:r>
        <w:rPr>
          <w:rFonts w:hint="default" w:ascii="仿宋_GB2312" w:hAnsi="仿宋_GB2312" w:eastAsia="仿宋_GB2312" w:cs="仿宋_GB2312"/>
          <w:color w:val="auto"/>
          <w:sz w:val="32"/>
          <w:szCs w:val="32"/>
          <w:highlight w:val="none"/>
          <w:u w:val="none" w:color="auto"/>
        </w:rPr>
        <w:t>聚焦中小微企业职工、灵活就业人员、农民工和新就业形态人员等重点群体，</w:t>
      </w:r>
      <w:r>
        <w:rPr>
          <w:rFonts w:hint="default" w:ascii="仿宋_GB2312" w:hAnsi="仿宋_GB2312" w:eastAsia="仿宋_GB2312" w:cs="仿宋_GB2312"/>
          <w:color w:val="auto"/>
          <w:sz w:val="32"/>
          <w:szCs w:val="32"/>
          <w:highlight w:val="none"/>
          <w:u w:val="none" w:color="auto"/>
          <w:lang w:val="en-US" w:eastAsia="zh-CN"/>
        </w:rPr>
        <w:t>全面取消在就业地参保户籍限制，</w:t>
      </w:r>
      <w:r>
        <w:rPr>
          <w:rFonts w:hint="eastAsia" w:ascii="仿宋_GB2312" w:hAnsi="仿宋_GB2312" w:eastAsia="仿宋_GB2312" w:cs="仿宋_GB2312"/>
          <w:color w:val="auto"/>
          <w:sz w:val="32"/>
          <w:szCs w:val="32"/>
          <w:highlight w:val="none"/>
          <w:u w:val="single" w:color="auto"/>
          <w:lang w:eastAsia="zh-CN"/>
        </w:rPr>
        <w:t>着力</w:t>
      </w:r>
      <w:r>
        <w:rPr>
          <w:rFonts w:hint="default" w:ascii="仿宋_GB2312" w:hAnsi="仿宋_GB2312" w:eastAsia="仿宋_GB2312" w:cs="仿宋_GB2312"/>
          <w:color w:val="auto"/>
          <w:sz w:val="32"/>
          <w:szCs w:val="32"/>
          <w:highlight w:val="none"/>
          <w:u w:val="none" w:color="auto"/>
        </w:rPr>
        <w:t>引导</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漏保、脱保、断保</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人员参加城镇职工基本养老保险</w:t>
      </w:r>
      <w:r>
        <w:rPr>
          <w:rFonts w:hint="eastAsia" w:ascii="仿宋_GB2312" w:hAnsi="仿宋_GB2312" w:eastAsia="仿宋_GB2312" w:cs="仿宋_GB2312"/>
          <w:color w:val="auto"/>
          <w:sz w:val="32"/>
          <w:szCs w:val="32"/>
          <w:highlight w:val="none"/>
          <w:u w:val="none" w:color="auto"/>
          <w:lang w:eastAsia="zh-CN"/>
        </w:rPr>
        <w:t>，持续提升参保率、续保率和缴费水平</w:t>
      </w:r>
      <w:r>
        <w:rPr>
          <w:rFonts w:hint="default" w:ascii="仿宋_GB2312" w:hAnsi="仿宋_GB2312" w:eastAsia="仿宋_GB2312" w:cs="仿宋_GB2312"/>
          <w:color w:val="auto"/>
          <w:sz w:val="32"/>
          <w:szCs w:val="32"/>
          <w:highlight w:val="none"/>
          <w:u w:val="none" w:color="auto"/>
        </w:rPr>
        <w:t>。扩大失业、工伤保险覆盖面，</w:t>
      </w:r>
      <w:r>
        <w:rPr>
          <w:rFonts w:hint="eastAsia" w:ascii="仿宋_GB2312" w:hAnsi="仿宋_GB2312" w:eastAsia="仿宋_GB2312" w:cs="仿宋_GB2312"/>
          <w:color w:val="auto"/>
          <w:sz w:val="32"/>
          <w:szCs w:val="32"/>
          <w:highlight w:val="none"/>
          <w:u w:val="none" w:color="auto"/>
          <w:lang w:eastAsia="zh-CN"/>
        </w:rPr>
        <w:t>落实</w:t>
      </w:r>
      <w:r>
        <w:rPr>
          <w:rFonts w:hint="default" w:ascii="仿宋_GB2312" w:hAnsi="仿宋_GB2312" w:eastAsia="仿宋_GB2312" w:cs="仿宋_GB2312"/>
          <w:color w:val="auto"/>
          <w:sz w:val="32"/>
          <w:szCs w:val="32"/>
          <w:highlight w:val="none"/>
          <w:u w:val="none" w:color="auto"/>
        </w:rPr>
        <w:t>灵活就业人员参加失业保险办法</w:t>
      </w:r>
      <w:r>
        <w:rPr>
          <w:rFonts w:hint="eastAsia" w:ascii="仿宋_GB2312" w:hAnsi="仿宋_GB2312" w:eastAsia="仿宋_GB2312" w:cs="仿宋_GB2312"/>
          <w:color w:val="auto"/>
          <w:sz w:val="32"/>
          <w:szCs w:val="32"/>
          <w:highlight w:val="none"/>
          <w:u w:val="none" w:color="auto"/>
          <w:lang w:eastAsia="zh-CN"/>
        </w:rPr>
        <w:t>、单位从业的灵活就业劳动者等</w:t>
      </w:r>
      <w:r>
        <w:rPr>
          <w:rFonts w:hint="default" w:ascii="仿宋_GB2312" w:hAnsi="仿宋_GB2312" w:eastAsia="仿宋_GB2312" w:cs="仿宋_GB2312"/>
          <w:color w:val="auto"/>
          <w:sz w:val="32"/>
          <w:szCs w:val="32"/>
          <w:highlight w:val="none"/>
          <w:u w:val="none" w:color="auto"/>
        </w:rPr>
        <w:t>特定人员参加工伤保险办法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推进建筑、交通运输、水利工程等领域按项目参加工伤保险。全面落实困难群体城乡居民基本养老保险费政府代缴政策。</w:t>
      </w:r>
      <w:r>
        <w:rPr>
          <w:rFonts w:ascii="仿宋_GB2312" w:hAnsi="仿宋_GB2312" w:eastAsia="仿宋_GB2312" w:cs="仿宋_GB2312"/>
          <w:color w:val="auto"/>
          <w:sz w:val="32"/>
          <w:szCs w:val="32"/>
          <w:highlight w:val="none"/>
        </w:rPr>
        <w:t>贯彻落实港澳台居民在内地参加基本社会保险政策，依法保障在我市就业、居住的港澳台居民参加社会保险权益，推动湾区内社会保障制度融通。</w:t>
      </w:r>
      <w:r>
        <w:rPr>
          <w:rFonts w:hint="default" w:ascii="仿宋_GB2312" w:hAnsi="仿宋_GB2312" w:eastAsia="仿宋_GB2312" w:cs="仿宋_GB2312"/>
          <w:color w:val="auto"/>
          <w:sz w:val="32"/>
          <w:szCs w:val="32"/>
          <w:highlight w:val="none"/>
          <w:u w:val="none" w:color="auto"/>
        </w:rPr>
        <w:t>持续开展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社保服务进万家</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活动，扩大政策知晓度。</w:t>
      </w:r>
    </w:p>
    <w:p w14:paraId="45D6FB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楷体_GB2312" w:eastAsia="楷体_GB2312" w:cs="楷体_GB2312"/>
          <w:color w:val="auto"/>
          <w:sz w:val="32"/>
          <w:szCs w:val="32"/>
          <w:highlight w:val="none"/>
        </w:rPr>
      </w:pPr>
      <w:r>
        <w:rPr>
          <w:rFonts w:hint="default" w:ascii="仿宋_GB2312" w:hAnsi="仿宋_GB2312" w:eastAsia="仿宋_GB2312" w:cs="仿宋_GB2312"/>
          <w:b/>
          <w:bCs/>
          <w:color w:val="auto"/>
          <w:sz w:val="32"/>
          <w:szCs w:val="32"/>
          <w:highlight w:val="none"/>
          <w:u w:val="none"/>
        </w:rPr>
        <w:t>推动基本养老保险提质增效。</w:t>
      </w:r>
      <w:r>
        <w:rPr>
          <w:rFonts w:hint="eastAsia" w:ascii="仿宋_GB2312" w:hAnsi="仿宋_GB2312" w:eastAsia="仿宋_GB2312" w:cs="仿宋_GB2312"/>
          <w:color w:val="auto"/>
          <w:sz w:val="32"/>
          <w:szCs w:val="32"/>
          <w:highlight w:val="none"/>
          <w:lang w:eastAsia="zh-CN"/>
        </w:rPr>
        <w:t>深入推进基本养老保险提质增效行动</w:t>
      </w:r>
      <w:r>
        <w:rPr>
          <w:rFonts w:hint="default" w:ascii="仿宋_GB2312" w:hAnsi="仿宋_GB2312" w:eastAsia="仿宋_GB2312" w:cs="仿宋_GB2312"/>
          <w:color w:val="auto"/>
          <w:sz w:val="32"/>
          <w:szCs w:val="32"/>
          <w:highlight w:val="none"/>
          <w:u w:val="none"/>
        </w:rPr>
        <w:t>，聚焦</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全覆盖、调结构、优质量</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引导更多城乡居民转参企业养老保险及参加更高基准的保障，持续优化基本养老保险参保结构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力争</w:t>
      </w:r>
      <w:r>
        <w:rPr>
          <w:rFonts w:hint="default" w:ascii="仿宋_GB2312" w:hAnsi="仿宋_GB2312" w:eastAsia="仿宋_GB2312" w:cs="仿宋_GB2312"/>
          <w:color w:val="auto"/>
          <w:sz w:val="32"/>
          <w:szCs w:val="32"/>
          <w:highlight w:val="none"/>
          <w:u w:val="none"/>
        </w:rPr>
        <w:t>全市参加企业职工基本养老保险和城乡居民基本养老保险的参保人员（不含领取待遇人员）中参加企业职工基本养老保险的占比稳步提升。</w:t>
      </w:r>
      <w:r>
        <w:rPr>
          <w:rFonts w:hint="eastAsia" w:ascii="仿宋_GB2312" w:hAnsi="仿宋_GB2312" w:eastAsia="仿宋_GB2312" w:cs="仿宋_GB2312"/>
          <w:color w:val="auto"/>
          <w:sz w:val="32"/>
          <w:szCs w:val="32"/>
          <w:highlight w:val="none"/>
          <w:u w:val="none"/>
        </w:rPr>
        <w:t>健全城乡居民基本养老保险筹资机制，及时优化缴费档次设置，按规定调整个人缴费标准、政府代缴标准和政府补贴标准。</w:t>
      </w:r>
      <w:r>
        <w:rPr>
          <w:rFonts w:ascii="仿宋_GB2312" w:hAnsi="仿宋_GB2312" w:eastAsia="仿宋_GB2312" w:cs="仿宋_GB2312"/>
          <w:color w:val="auto"/>
          <w:sz w:val="32"/>
          <w:szCs w:val="32"/>
          <w:highlight w:val="none"/>
          <w:u w:val="none"/>
        </w:rPr>
        <w:t>推进城乡居民基本养老保险集体补助和社会资助工作</w:t>
      </w:r>
      <w:r>
        <w:rPr>
          <w:rFonts w:hint="eastAsia" w:ascii="仿宋_GB2312" w:hAnsi="仿宋_GB2312" w:eastAsia="仿宋_GB2312" w:cs="仿宋_GB2312"/>
          <w:color w:val="auto"/>
          <w:sz w:val="32"/>
          <w:szCs w:val="32"/>
          <w:highlight w:val="none"/>
          <w:u w:val="none"/>
          <w:lang w:eastAsia="zh-CN"/>
        </w:rPr>
        <w:t>，稳步</w:t>
      </w:r>
      <w:r>
        <w:rPr>
          <w:rFonts w:hint="eastAsia" w:ascii="仿宋_GB2312" w:hAnsi="仿宋_GB2312" w:eastAsia="仿宋_GB2312" w:cs="仿宋_GB2312"/>
          <w:color w:val="auto"/>
          <w:sz w:val="32"/>
          <w:szCs w:val="32"/>
          <w:highlight w:val="none"/>
          <w:u w:val="none"/>
        </w:rPr>
        <w:t>提高城乡居民养老保障水平</w:t>
      </w:r>
      <w:r>
        <w:rPr>
          <w:rFonts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持续做好</w:t>
      </w:r>
      <w:r>
        <w:rPr>
          <w:rFonts w:ascii="仿宋_GB2312" w:hAnsi="仿宋_GB2312" w:eastAsia="仿宋_GB2312" w:cs="仿宋_GB2312"/>
          <w:color w:val="auto"/>
          <w:sz w:val="32"/>
          <w:szCs w:val="32"/>
          <w:highlight w:val="none"/>
        </w:rPr>
        <w:t>被征地农民养老保障</w:t>
      </w:r>
      <w:r>
        <w:rPr>
          <w:rFonts w:hint="eastAsia" w:ascii="仿宋_GB2312" w:hAnsi="仿宋_GB2312" w:eastAsia="仿宋_GB2312" w:cs="仿宋_GB2312"/>
          <w:color w:val="auto"/>
          <w:sz w:val="32"/>
          <w:szCs w:val="32"/>
          <w:highlight w:val="none"/>
        </w:rPr>
        <w:t>工作。</w:t>
      </w:r>
    </w:p>
    <w:p w14:paraId="647FE49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auto"/>
          <w:sz w:val="32"/>
          <w:szCs w:val="32"/>
          <w:highlight w:val="none"/>
        </w:rPr>
      </w:pPr>
      <w:bookmarkStart w:id="56" w:name="_Toc26418"/>
      <w:bookmarkStart w:id="57" w:name="_Toc28589"/>
      <w:bookmarkStart w:id="58" w:name="_Toc21390"/>
      <w:r>
        <w:rPr>
          <w:rFonts w:hint="eastAsia" w:ascii="楷体_GB2312" w:hAnsi="楷体_GB2312" w:eastAsia="楷体_GB2312" w:cs="楷体_GB2312"/>
          <w:color w:val="auto"/>
          <w:sz w:val="32"/>
          <w:szCs w:val="32"/>
          <w:highlight w:val="none"/>
        </w:rPr>
        <w:t>第二节 健全多层次社会保障体系</w:t>
      </w:r>
      <w:bookmarkEnd w:id="56"/>
      <w:bookmarkEnd w:id="57"/>
      <w:bookmarkEnd w:id="58"/>
    </w:p>
    <w:p w14:paraId="63C659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lang w:eastAsia="zh-CN"/>
        </w:rPr>
        <w:t>巩固提升社保统筹层次。</w:t>
      </w:r>
      <w:r>
        <w:rPr>
          <w:rFonts w:hint="default" w:ascii="仿宋_GB2312" w:hAnsi="仿宋_GB2312" w:eastAsia="仿宋_GB2312" w:cs="仿宋_GB2312"/>
          <w:color w:val="auto"/>
          <w:sz w:val="32"/>
          <w:szCs w:val="32"/>
          <w:highlight w:val="none"/>
          <w:u w:val="none"/>
          <w:lang w:eastAsia="zh-CN"/>
        </w:rPr>
        <w:t>落实企业职工基本养老保险全国统筹制度，严格执行统一养老保险政策</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按照</w:t>
      </w:r>
      <w:r>
        <w:rPr>
          <w:rFonts w:hint="eastAsia" w:ascii="仿宋_GB2312" w:hAnsi="仿宋_GB2312" w:eastAsia="仿宋_GB2312" w:cs="仿宋_GB2312"/>
          <w:color w:val="auto"/>
          <w:sz w:val="32"/>
          <w:szCs w:val="32"/>
          <w:highlight w:val="none"/>
          <w:u w:val="none"/>
          <w:lang w:eastAsia="zh-CN"/>
        </w:rPr>
        <w:t>上级</w:t>
      </w:r>
      <w:r>
        <w:rPr>
          <w:rFonts w:hint="eastAsia" w:ascii="仿宋_GB2312" w:hAnsi="仿宋_GB2312" w:eastAsia="仿宋_GB2312" w:cs="仿宋_GB2312"/>
          <w:color w:val="auto"/>
          <w:sz w:val="32"/>
          <w:szCs w:val="32"/>
          <w:highlight w:val="none"/>
          <w:u w:val="none"/>
        </w:rPr>
        <w:t>的统一部署，</w:t>
      </w:r>
      <w:r>
        <w:rPr>
          <w:rFonts w:hint="default" w:ascii="仿宋_GB2312" w:hAnsi="仿宋_GB2312" w:eastAsia="仿宋_GB2312" w:cs="仿宋_GB2312"/>
          <w:color w:val="auto"/>
          <w:sz w:val="32"/>
          <w:szCs w:val="32"/>
          <w:highlight w:val="none"/>
          <w:u w:val="none"/>
          <w:lang w:eastAsia="zh-CN"/>
        </w:rPr>
        <w:t>适时推进机关事业单位养老保险市级统筹</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巩固城乡居民基本养老保险基金市级管理，按规定推进城乡居民基本养老保险基金省级管理。巩固失业保险基金省级统筹，</w:t>
      </w:r>
      <w:r>
        <w:rPr>
          <w:rFonts w:hint="eastAsia" w:ascii="仿宋_GB2312" w:hAnsi="仿宋_GB2312" w:eastAsia="仿宋_GB2312" w:cs="仿宋_GB2312"/>
          <w:color w:val="auto"/>
          <w:sz w:val="32"/>
          <w:szCs w:val="32"/>
          <w:highlight w:val="none"/>
          <w:u w:val="none"/>
          <w:lang w:eastAsia="zh-CN"/>
        </w:rPr>
        <w:t>落实</w:t>
      </w:r>
      <w:r>
        <w:rPr>
          <w:rFonts w:hint="default" w:ascii="仿宋_GB2312" w:hAnsi="仿宋_GB2312" w:eastAsia="仿宋_GB2312" w:cs="仿宋_GB2312"/>
          <w:color w:val="auto"/>
          <w:sz w:val="32"/>
          <w:szCs w:val="32"/>
          <w:highlight w:val="none"/>
          <w:u w:val="none"/>
          <w:lang w:eastAsia="zh-CN"/>
        </w:rPr>
        <w:t>缴费基数、缴费比例政策</w:t>
      </w:r>
      <w:r>
        <w:rPr>
          <w:rFonts w:hint="eastAsia" w:ascii="仿宋_GB2312" w:hAnsi="仿宋_GB2312" w:eastAsia="仿宋_GB2312" w:cs="仿宋_GB2312"/>
          <w:color w:val="auto"/>
          <w:sz w:val="32"/>
          <w:szCs w:val="32"/>
          <w:highlight w:val="none"/>
          <w:u w:val="none"/>
          <w:lang w:eastAsia="zh-CN"/>
        </w:rPr>
        <w:t>，规范</w:t>
      </w:r>
      <w:r>
        <w:rPr>
          <w:rFonts w:hint="default" w:ascii="仿宋_GB2312" w:hAnsi="仿宋_GB2312" w:eastAsia="仿宋_GB2312" w:cs="仿宋_GB2312"/>
          <w:color w:val="auto"/>
          <w:sz w:val="32"/>
          <w:szCs w:val="32"/>
          <w:highlight w:val="none"/>
          <w:u w:val="none"/>
          <w:lang w:eastAsia="zh-CN"/>
        </w:rPr>
        <w:t>基金支出项目。巩固完善工伤保险</w:t>
      </w:r>
      <w:r>
        <w:rPr>
          <w:rFonts w:hint="eastAsia" w:ascii="仿宋_GB2312" w:hAnsi="仿宋_GB2312" w:eastAsia="仿宋_GB2312" w:cs="仿宋_GB2312"/>
          <w:color w:val="auto"/>
          <w:sz w:val="32"/>
          <w:szCs w:val="32"/>
          <w:highlight w:val="none"/>
          <w:u w:val="single"/>
          <w:lang w:eastAsia="zh-CN"/>
        </w:rPr>
        <w:t>基金</w:t>
      </w:r>
      <w:r>
        <w:rPr>
          <w:rFonts w:hint="default" w:ascii="仿宋_GB2312" w:hAnsi="仿宋_GB2312" w:eastAsia="仿宋_GB2312" w:cs="仿宋_GB2312"/>
          <w:color w:val="auto"/>
          <w:sz w:val="32"/>
          <w:szCs w:val="32"/>
          <w:highlight w:val="none"/>
          <w:u w:val="none"/>
          <w:lang w:eastAsia="zh-CN"/>
        </w:rPr>
        <w:t>省级统筹，落实全省浮动费率管理办法，促进工伤保险基金收支平衡和可持续运行。</w:t>
      </w:r>
    </w:p>
    <w:p w14:paraId="684395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加快发展多层次多支柱养老保险体系。</w:t>
      </w:r>
      <w:r>
        <w:rPr>
          <w:rFonts w:hint="default" w:ascii="仿宋_GB2312" w:hAnsi="仿宋_GB2312" w:eastAsia="仿宋_GB2312" w:cs="仿宋_GB2312"/>
          <w:color w:val="auto"/>
          <w:sz w:val="32"/>
          <w:szCs w:val="32"/>
          <w:highlight w:val="none"/>
          <w:u w:val="none"/>
          <w:lang w:eastAsia="zh-CN"/>
        </w:rPr>
        <w:t>完善企业职工基本养老保险制度，深化机关事业单位养老保险制度改革。</w:t>
      </w:r>
      <w:r>
        <w:rPr>
          <w:rFonts w:hint="eastAsia" w:ascii="仿宋_GB2312" w:hAnsi="仿宋_GB2312" w:eastAsia="仿宋_GB2312" w:cs="仿宋_GB2312"/>
          <w:color w:val="auto"/>
          <w:sz w:val="32"/>
          <w:szCs w:val="32"/>
          <w:highlight w:val="none"/>
          <w:u w:val="none"/>
          <w:lang w:eastAsia="zh-CN"/>
        </w:rPr>
        <w:t>按照国家统一部署，落实</w:t>
      </w:r>
      <w:r>
        <w:rPr>
          <w:rFonts w:hint="default" w:ascii="仿宋_GB2312" w:hAnsi="仿宋_GB2312" w:eastAsia="仿宋_GB2312" w:cs="仿宋_GB2312"/>
          <w:color w:val="auto"/>
          <w:sz w:val="32"/>
          <w:szCs w:val="32"/>
          <w:highlight w:val="none"/>
          <w:u w:val="none"/>
          <w:lang w:eastAsia="zh-CN"/>
        </w:rPr>
        <w:t>渐进式延迟法定退休年龄改革，逐步提高领取基本养老金最低缴费年限。落实企业职工基本养老保险病残津贴政策。优化企业年金备案服务，扩大企业年金制度覆盖范围，</w:t>
      </w:r>
      <w:r>
        <w:rPr>
          <w:rFonts w:hint="eastAsia" w:ascii="仿宋_GB2312" w:hAnsi="仿宋_GB2312" w:eastAsia="仿宋_GB2312" w:cs="仿宋_GB2312"/>
          <w:color w:val="auto"/>
          <w:sz w:val="32"/>
          <w:szCs w:val="32"/>
          <w:highlight w:val="none"/>
          <w:lang w:eastAsia="zh-CN"/>
        </w:rPr>
        <w:t>鼓励引导有条件的用人单位按规定建立企业年金</w:t>
      </w:r>
      <w:r>
        <w:rPr>
          <w:rFonts w:hint="default" w:ascii="仿宋_GB2312" w:hAnsi="仿宋_GB2312" w:eastAsia="仿宋_GB2312" w:cs="仿宋_GB2312"/>
          <w:color w:val="auto"/>
          <w:sz w:val="32"/>
          <w:szCs w:val="32"/>
          <w:highlight w:val="none"/>
          <w:u w:val="none"/>
          <w:lang w:eastAsia="zh-CN"/>
        </w:rPr>
        <w:t>。</w:t>
      </w:r>
      <w:r>
        <w:rPr>
          <w:rFonts w:hint="eastAsia" w:eastAsia="仿宋_GB2312" w:cs="仿宋_GB2312"/>
          <w:color w:val="auto"/>
          <w:sz w:val="32"/>
          <w:szCs w:val="32"/>
          <w:highlight w:val="none"/>
        </w:rPr>
        <w:t>推行个人养老金制度</w:t>
      </w:r>
      <w:r>
        <w:rPr>
          <w:rFonts w:hint="default" w:ascii="仿宋_GB2312" w:hAnsi="仿宋_GB2312" w:eastAsia="仿宋_GB2312" w:cs="仿宋_GB2312"/>
          <w:color w:val="auto"/>
          <w:sz w:val="32"/>
          <w:szCs w:val="32"/>
          <w:highlight w:val="none"/>
          <w:u w:val="none"/>
          <w:lang w:eastAsia="zh-CN"/>
        </w:rPr>
        <w:t>，促进提高个人养老金实缴率和人均缴存额。</w:t>
      </w:r>
    </w:p>
    <w:p w14:paraId="70AD39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trike/>
          <w:dstrike w:val="0"/>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建设积极稳健的失业保险制度。</w:t>
      </w:r>
      <w:r>
        <w:rPr>
          <w:rFonts w:hint="default" w:ascii="仿宋_GB2312" w:hAnsi="仿宋_GB2312" w:eastAsia="仿宋_GB2312" w:cs="仿宋_GB2312"/>
          <w:color w:val="auto"/>
          <w:sz w:val="32"/>
          <w:szCs w:val="32"/>
          <w:highlight w:val="none"/>
          <w:u w:val="none"/>
          <w:lang w:eastAsia="zh-CN"/>
        </w:rPr>
        <w:t>贯彻执行新修订的《广东省失业保险条例》，落实失业保险待遇申领发放政策。按规定实施阶段性降低失业保险费率、失业保险稳岗返还、失业保险技能提升补贴等政策。按规定落实灵活就业人员参加失业保险办法。加强退役军人、大龄失业人员等重点群体失业保障，充分发挥失业保险保障基本生活作用。</w:t>
      </w:r>
    </w:p>
    <w:p w14:paraId="661E7E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u w:val="none"/>
          <w:lang w:eastAsia="zh-CN"/>
        </w:rPr>
        <w:t>健全多层次工伤保险体系。</w:t>
      </w:r>
      <w:r>
        <w:rPr>
          <w:rFonts w:hint="default" w:ascii="仿宋_GB2312" w:hAnsi="仿宋_GB2312" w:eastAsia="仿宋_GB2312" w:cs="仿宋_GB2312"/>
          <w:color w:val="auto"/>
          <w:sz w:val="32"/>
          <w:szCs w:val="32"/>
          <w:highlight w:val="none"/>
          <w:u w:val="none"/>
          <w:lang w:eastAsia="zh-CN"/>
        </w:rPr>
        <w:t>按照</w:t>
      </w:r>
      <w:r>
        <w:rPr>
          <w:rFonts w:hint="eastAsia" w:ascii="仿宋_GB2312" w:hAnsi="仿宋_GB2312" w:eastAsia="仿宋_GB2312" w:cs="仿宋_GB2312"/>
          <w:color w:val="auto"/>
          <w:sz w:val="32"/>
          <w:szCs w:val="32"/>
          <w:highlight w:val="none"/>
          <w:u w:val="none"/>
          <w:lang w:val="en-US" w:eastAsia="zh-CN"/>
        </w:rPr>
        <w:t>上级</w:t>
      </w:r>
      <w:r>
        <w:rPr>
          <w:rFonts w:hint="default" w:ascii="仿宋_GB2312" w:hAnsi="仿宋_GB2312" w:eastAsia="仿宋_GB2312" w:cs="仿宋_GB2312"/>
          <w:color w:val="auto"/>
          <w:sz w:val="32"/>
          <w:szCs w:val="32"/>
          <w:highlight w:val="none"/>
          <w:u w:val="none"/>
          <w:lang w:eastAsia="zh-CN"/>
        </w:rPr>
        <w:t>部署，</w:t>
      </w:r>
      <w:r>
        <w:rPr>
          <w:rFonts w:hint="eastAsia" w:ascii="仿宋_GB2312" w:hAnsi="仿宋_GB2312" w:eastAsia="仿宋_GB2312" w:cs="仿宋_GB2312"/>
          <w:color w:val="auto"/>
          <w:sz w:val="32"/>
          <w:szCs w:val="32"/>
          <w:highlight w:val="none"/>
          <w:u w:val="none"/>
          <w:lang w:val="en-US" w:eastAsia="zh-CN"/>
        </w:rPr>
        <w:t>做好</w:t>
      </w:r>
      <w:r>
        <w:rPr>
          <w:rFonts w:hint="default" w:ascii="仿宋_GB2312" w:hAnsi="仿宋_GB2312" w:eastAsia="仿宋_GB2312" w:cs="仿宋_GB2312"/>
          <w:color w:val="auto"/>
          <w:sz w:val="32"/>
          <w:szCs w:val="32"/>
          <w:highlight w:val="none"/>
          <w:u w:val="none"/>
          <w:lang w:eastAsia="zh-CN"/>
        </w:rPr>
        <w:t>新就业形态就业人员职业伤害保障试点扩围工作。</w:t>
      </w:r>
      <w:r>
        <w:rPr>
          <w:rFonts w:ascii="仿宋_GB2312" w:hAnsi="仿宋_GB2312" w:eastAsia="仿宋_GB2312" w:cs="仿宋_GB2312"/>
          <w:color w:val="auto"/>
          <w:sz w:val="32"/>
          <w:szCs w:val="32"/>
          <w:highlight w:val="none"/>
        </w:rPr>
        <w:t>深化工伤预防宣传</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聚焦重点群体分类实施精准预防，稳步降低工伤事故和职业病发生率。全面落实工伤康复扶持政策和制度标准，持续扩大工伤康复受益面。优化工伤保险全链条管理服务，规范工伤认定工作，全面提升工伤保险基金管理风险防范能力。</w:t>
      </w:r>
    </w:p>
    <w:p w14:paraId="3A1A48A0">
      <w:pPr>
        <w:pStyle w:val="2"/>
        <w:rPr>
          <w:rFonts w:hint="default"/>
          <w:lang w:eastAsia="zh-CN"/>
        </w:rPr>
      </w:pPr>
    </w:p>
    <w:tbl>
      <w:tblPr>
        <w:tblStyle w:val="11"/>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14:paraId="756B2EC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99" w:hRule="atLeast"/>
          <w:jc w:val="center"/>
        </w:trPr>
        <w:tc>
          <w:tcPr>
            <w:tcW w:w="8880" w:type="dxa"/>
            <w:tcBorders>
              <w:top w:val="outset" w:color="000000" w:sz="6" w:space="0"/>
              <w:left w:val="outset" w:color="000000" w:sz="6" w:space="0"/>
              <w:bottom w:val="outset" w:color="000000" w:sz="6" w:space="0"/>
              <w:right w:val="outset" w:color="000000" w:sz="6" w:space="0"/>
            </w:tcBorders>
            <w:shd w:val="clear" w:color="auto" w:fill="FFCC00"/>
            <w:noWrap w:val="0"/>
            <w:vAlign w:val="center"/>
          </w:tcPr>
          <w:p w14:paraId="5B412022">
            <w:pPr>
              <w:widowControl/>
              <w:spacing w:line="360" w:lineRule="exact"/>
              <w:jc w:val="center"/>
              <w:rPr>
                <w:rFonts w:hint="default" w:ascii="Times New Roman" w:hAnsi="Times New Roman" w:eastAsia="黑体" w:cs="Times New Roman"/>
                <w:color w:val="auto"/>
                <w:kern w:val="0"/>
                <w:sz w:val="28"/>
                <w:szCs w:val="28"/>
                <w:highlight w:val="none"/>
                <w:u w:val="none" w:color="auto"/>
              </w:rPr>
            </w:pPr>
            <w:r>
              <w:rPr>
                <w:rFonts w:hint="eastAsia" w:ascii="黑体" w:hAnsi="黑体" w:eastAsia="黑体" w:cs="黑体"/>
                <w:b w:val="0"/>
                <w:bCs/>
                <w:color w:val="auto"/>
                <w:kern w:val="0"/>
                <w:sz w:val="32"/>
                <w:szCs w:val="32"/>
                <w:highlight w:val="none"/>
                <w:u w:val="none" w:color="auto"/>
              </w:rPr>
              <w:t>专栏  社会保险制度建设</w:t>
            </w:r>
          </w:p>
        </w:tc>
      </w:tr>
      <w:tr w14:paraId="30E83F0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44" w:hRule="atLeast"/>
          <w:jc w:val="center"/>
        </w:trPr>
        <w:tc>
          <w:tcPr>
            <w:tcW w:w="8880" w:type="dxa"/>
            <w:tcBorders>
              <w:top w:val="outset" w:color="000000" w:sz="6" w:space="0"/>
              <w:left w:val="outset" w:color="000000" w:sz="6" w:space="0"/>
              <w:bottom w:val="outset" w:color="000000" w:sz="6" w:space="0"/>
              <w:right w:val="outset" w:color="000000" w:sz="6" w:space="0"/>
            </w:tcBorders>
            <w:noWrap w:val="0"/>
            <w:vAlign w:val="center"/>
          </w:tcPr>
          <w:p w14:paraId="16AEF4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kern w:val="2"/>
                <w:sz w:val="28"/>
                <w:szCs w:val="28"/>
                <w:highlight w:val="none"/>
                <w:u w:val="none" w:color="auto"/>
                <w:vertAlign w:val="baseline"/>
                <w:lang w:val="en-US" w:eastAsia="zh-CN" w:bidi="ar-SA"/>
              </w:rPr>
            </w:pPr>
            <w:r>
              <w:rPr>
                <w:rFonts w:hint="default" w:ascii="仿宋_GB2312" w:hAnsi="仿宋_GB2312" w:eastAsia="仿宋_GB2312" w:cs="仿宋_GB2312"/>
                <w:color w:val="auto"/>
                <w:sz w:val="28"/>
                <w:szCs w:val="28"/>
                <w:highlight w:val="none"/>
                <w:u w:val="none"/>
                <w:lang w:val="en-US" w:eastAsia="zh-CN"/>
              </w:rPr>
              <w:t>1.实施第三支柱扩面提质增效行动。联合财政、税务、金融监管等部门，发动各行业主管部门、金融机构等持续落实政策宣传、精准宣传、畅通服务渠道，全面推进个人养老金扩面缴存。</w:t>
            </w:r>
          </w:p>
          <w:p w14:paraId="554F3AF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color w:val="auto"/>
                <w:highlight w:val="none"/>
                <w:u w:val="none" w:color="auto"/>
              </w:rPr>
            </w:pPr>
            <w:r>
              <w:rPr>
                <w:rFonts w:hint="default" w:ascii="仿宋_GB2312" w:hAnsi="仿宋_GB2312" w:eastAsia="仿宋_GB2312" w:cs="仿宋_GB2312"/>
                <w:color w:val="auto"/>
                <w:sz w:val="28"/>
                <w:szCs w:val="28"/>
                <w:highlight w:val="none"/>
                <w:u w:val="none"/>
                <w:lang w:val="en-US" w:eastAsia="zh-CN"/>
              </w:rPr>
              <w:t>2.落实新就业形态人员职业伤害保障试点扩围工作。按照</w:t>
            </w:r>
            <w:r>
              <w:rPr>
                <w:rFonts w:hint="eastAsia" w:ascii="仿宋_GB2312" w:hAnsi="仿宋_GB2312" w:eastAsia="仿宋_GB2312" w:cs="仿宋_GB2312"/>
                <w:color w:val="auto"/>
                <w:sz w:val="28"/>
                <w:szCs w:val="28"/>
                <w:highlight w:val="none"/>
                <w:u w:val="none"/>
                <w:lang w:val="en-US" w:eastAsia="zh-CN"/>
              </w:rPr>
              <w:t>上级</w:t>
            </w:r>
            <w:r>
              <w:rPr>
                <w:rFonts w:hint="default" w:ascii="仿宋_GB2312" w:hAnsi="仿宋_GB2312" w:eastAsia="仿宋_GB2312" w:cs="仿宋_GB2312"/>
                <w:color w:val="auto"/>
                <w:sz w:val="28"/>
                <w:szCs w:val="28"/>
                <w:highlight w:val="none"/>
                <w:u w:val="none"/>
                <w:lang w:val="en-US" w:eastAsia="zh-CN"/>
              </w:rPr>
              <w:t>的部署，稳妥有序推进职业伤害保障试点扩围工作。2025年7月起，在现有先行试点平台企业的基础上，将原外卖行业、即时配送行业合并为新的即时配送企业，增加出行行业、即时配送行业、同城货运行业等规模较大平台企业开展职业伤害保障试点。2026年，将出行、即时配送和同城货运三个行业的平台企业总体纳入职业伤害保障试点范围。2027年，探索将职业伤害风险较大、劳动管理强度较高的行业平台企业纳入职业伤害保障试点范围。</w:t>
            </w:r>
          </w:p>
        </w:tc>
      </w:tr>
    </w:tbl>
    <w:p w14:paraId="60DBA360">
      <w:pPr>
        <w:ind w:firstLine="320" w:firstLineChars="100"/>
        <w:jc w:val="center"/>
        <w:rPr>
          <w:rFonts w:ascii="楷体_GB2312" w:hAnsi="楷体_GB2312" w:eastAsia="楷体_GB2312" w:cs="楷体_GB2312"/>
          <w:color w:val="auto"/>
          <w:sz w:val="32"/>
          <w:szCs w:val="32"/>
          <w:highlight w:val="none"/>
        </w:rPr>
      </w:pPr>
    </w:p>
    <w:p w14:paraId="7D07C31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59" w:name="_Toc5783"/>
      <w:bookmarkStart w:id="60" w:name="_Toc8432"/>
      <w:bookmarkStart w:id="61" w:name="_Toc9424"/>
      <w:r>
        <w:rPr>
          <w:rFonts w:hint="eastAsia" w:ascii="楷体_GB2312" w:hAnsi="楷体_GB2312" w:eastAsia="楷体_GB2312" w:cs="楷体_GB2312"/>
          <w:color w:val="auto"/>
          <w:sz w:val="32"/>
          <w:szCs w:val="32"/>
          <w:highlight w:val="none"/>
        </w:rPr>
        <w:t xml:space="preserve">第三节 </w:t>
      </w:r>
      <w:r>
        <w:rPr>
          <w:rFonts w:hint="default" w:ascii="楷体_GB2312" w:hAnsi="楷体_GB2312" w:eastAsia="楷体_GB2312" w:cs="楷体_GB2312"/>
          <w:color w:val="auto"/>
          <w:sz w:val="32"/>
          <w:szCs w:val="32"/>
          <w:highlight w:val="none"/>
          <w:lang w:val="zh-CN"/>
        </w:rPr>
        <w:t>稳步提</w:t>
      </w:r>
      <w:r>
        <w:rPr>
          <w:rFonts w:hint="eastAsia" w:ascii="楷体_GB2312" w:hAnsi="楷体_GB2312" w:eastAsia="楷体_GB2312" w:cs="楷体_GB2312"/>
          <w:color w:val="auto"/>
          <w:sz w:val="32"/>
          <w:szCs w:val="32"/>
          <w:highlight w:val="none"/>
          <w:lang w:val="zh-CN"/>
        </w:rPr>
        <w:t>升社会保险待遇</w:t>
      </w:r>
      <w:bookmarkEnd w:id="59"/>
      <w:bookmarkEnd w:id="60"/>
      <w:bookmarkEnd w:id="61"/>
    </w:p>
    <w:p w14:paraId="68B74D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落实养老保险待遇合理调整机制。</w:t>
      </w:r>
      <w:r>
        <w:rPr>
          <w:rFonts w:hint="default" w:ascii="仿宋_GB2312" w:hAnsi="仿宋_GB2312" w:eastAsia="仿宋_GB2312" w:cs="仿宋_GB2312"/>
          <w:color w:val="auto"/>
          <w:sz w:val="32"/>
          <w:szCs w:val="32"/>
          <w:highlight w:val="none"/>
          <w:u w:val="none"/>
          <w:lang w:eastAsia="zh-CN"/>
        </w:rPr>
        <w:t>按规定调整退休人员基本养老金，逐步提高城乡居民基本养老保险基础养老金，确保养老待遇按时足额发放。发挥养老保险第二、三支柱的补充作用，多渠道提高退休人员养老保障水平。</w:t>
      </w:r>
    </w:p>
    <w:p w14:paraId="16099F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color w:val="auto"/>
          <w:sz w:val="32"/>
          <w:szCs w:val="32"/>
          <w:highlight w:val="none"/>
        </w:rPr>
      </w:pPr>
      <w:r>
        <w:rPr>
          <w:rFonts w:hint="default" w:ascii="仿宋_GB2312" w:hAnsi="仿宋_GB2312" w:eastAsia="仿宋_GB2312" w:cs="仿宋_GB2312"/>
          <w:b/>
          <w:bCs/>
          <w:color w:val="auto"/>
          <w:sz w:val="32"/>
          <w:szCs w:val="32"/>
          <w:highlight w:val="none"/>
          <w:u w:val="none"/>
          <w:lang w:eastAsia="zh-CN"/>
        </w:rPr>
        <w:t>落实失业、工伤保险待遇合理调整机制。</w:t>
      </w:r>
      <w:r>
        <w:rPr>
          <w:rFonts w:hint="default" w:ascii="仿宋_GB2312" w:hAnsi="仿宋_GB2312" w:eastAsia="仿宋_GB2312" w:cs="仿宋_GB2312"/>
          <w:color w:val="auto"/>
          <w:sz w:val="32"/>
          <w:szCs w:val="32"/>
          <w:highlight w:val="none"/>
          <w:u w:val="none"/>
          <w:lang w:eastAsia="zh-CN"/>
        </w:rPr>
        <w:t>落实失业保险待遇标准与物价上涨挂钩联动机制，及时调整失业保险金标准，做好失业保险支持参保企业稳岗、参保职工提升技能等工作，更好保障失业人员基本生活。联动经济社会发展水平，落实工伤保险待遇合理调整机制，科学合理提高工伤保险待遇水平。</w:t>
      </w:r>
    </w:p>
    <w:p w14:paraId="0803F35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楷体_GB2312" w:hAnsi="楷体_GB2312" w:eastAsia="楷体_GB2312" w:cs="楷体_GB2312"/>
          <w:color w:val="auto"/>
          <w:sz w:val="32"/>
          <w:szCs w:val="32"/>
          <w:highlight w:val="none"/>
        </w:rPr>
      </w:pPr>
      <w:bookmarkStart w:id="62" w:name="_Toc25879"/>
      <w:bookmarkStart w:id="63" w:name="_Toc28109"/>
      <w:bookmarkStart w:id="64" w:name="_Toc768"/>
      <w:r>
        <w:rPr>
          <w:rFonts w:hint="eastAsia" w:ascii="楷体_GB2312" w:hAnsi="楷体_GB2312" w:eastAsia="楷体_GB2312" w:cs="楷体_GB2312"/>
          <w:color w:val="auto"/>
          <w:sz w:val="32"/>
          <w:szCs w:val="32"/>
          <w:highlight w:val="none"/>
        </w:rPr>
        <w:t xml:space="preserve">第四节 </w:t>
      </w:r>
      <w:r>
        <w:rPr>
          <w:rFonts w:hint="default" w:ascii="楷体_GB2312" w:hAnsi="楷体_GB2312" w:eastAsia="楷体_GB2312" w:cs="楷体_GB2312"/>
          <w:color w:val="auto"/>
          <w:sz w:val="32"/>
          <w:szCs w:val="32"/>
          <w:highlight w:val="none"/>
          <w:lang w:val="zh-CN"/>
        </w:rPr>
        <w:t>健全社保基金监管</w:t>
      </w:r>
      <w:r>
        <w:rPr>
          <w:rFonts w:hint="eastAsia" w:ascii="楷体_GB2312" w:hAnsi="楷体_GB2312" w:eastAsia="楷体_GB2312" w:cs="楷体_GB2312"/>
          <w:color w:val="auto"/>
          <w:sz w:val="32"/>
          <w:szCs w:val="32"/>
          <w:highlight w:val="none"/>
          <w:lang w:val="en-US" w:eastAsia="zh-CN"/>
        </w:rPr>
        <w:t>管理</w:t>
      </w:r>
      <w:r>
        <w:rPr>
          <w:rFonts w:hint="default" w:ascii="楷体_GB2312" w:hAnsi="楷体_GB2312" w:eastAsia="楷体_GB2312" w:cs="楷体_GB2312"/>
          <w:color w:val="auto"/>
          <w:sz w:val="32"/>
          <w:szCs w:val="32"/>
          <w:highlight w:val="none"/>
          <w:lang w:val="zh-CN"/>
        </w:rPr>
        <w:t>体系</w:t>
      </w:r>
      <w:bookmarkEnd w:id="62"/>
      <w:bookmarkEnd w:id="63"/>
      <w:bookmarkEnd w:id="64"/>
    </w:p>
    <w:p w14:paraId="6A978A4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sz w:val="32"/>
          <w:szCs w:val="32"/>
          <w:highlight w:val="none"/>
          <w:u w:val="none"/>
          <w:lang w:val="en-US" w:eastAsia="zh-CN"/>
        </w:rPr>
      </w:pPr>
      <w:r>
        <w:rPr>
          <w:rFonts w:hint="default" w:ascii="仿宋_GB2312" w:hAnsi="仿宋_GB2312" w:eastAsia="仿宋_GB2312" w:cs="仿宋_GB2312"/>
          <w:b/>
          <w:bCs/>
          <w:color w:val="auto"/>
          <w:sz w:val="32"/>
          <w:szCs w:val="32"/>
          <w:highlight w:val="none"/>
          <w:u w:val="none"/>
          <w:lang w:val="en-US" w:eastAsia="zh-CN"/>
        </w:rPr>
        <w:t>完善社保基金监管体系。</w:t>
      </w:r>
      <w:r>
        <w:rPr>
          <w:rFonts w:hint="default" w:ascii="仿宋_GB2312" w:hAnsi="仿宋_GB2312" w:eastAsia="仿宋_GB2312" w:cs="仿宋_GB2312"/>
          <w:b w:val="0"/>
          <w:bCs w:val="0"/>
          <w:color w:val="auto"/>
          <w:sz w:val="32"/>
          <w:szCs w:val="32"/>
          <w:highlight w:val="none"/>
          <w:u w:val="none"/>
          <w:lang w:val="en-US" w:eastAsia="zh-CN"/>
        </w:rPr>
        <w:t>聚焦制度创新、科技赋能和队伍协同，推动加快完善政策、经办、信息、监督“四位一体”风险防控机制，持续完善社保基金监督制度，全面提升社保基金管理监督法治水平。持续实施社保基金管理巩固提升行动，深入推进社保基金监督全覆盖，着力提升社保基金管理监督效能。完善风险分析排查机制，逐步加大现场和非现场监督力度，积极落实“订单式”社保基金疑点数据核查机制。积极做好社保基金人工智能系统应用试点工作，着力优化系统规则，筑牢基金安全技术防线。深化整治骗取套取社保基金问题。健全社保基金要情闭环管理机制，严厉打击欺诈骗保、套保或挪用贪占各类社会保障资金的违法行为。完善行政监督工作机制，畅通社会监督及举报渠道，常态化开展社保基金安全警示和反欺诈教育。突出专业化、廉洁化、智能化导向，强化基金监督队伍建设。</w:t>
      </w:r>
    </w:p>
    <w:p w14:paraId="4515C1E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sz w:val="32"/>
          <w:szCs w:val="32"/>
          <w:highlight w:val="none"/>
          <w:u w:val="none"/>
          <w:lang w:val="en-US" w:eastAsia="zh-CN"/>
        </w:rPr>
      </w:pPr>
      <w:r>
        <w:rPr>
          <w:rFonts w:hint="default" w:ascii="仿宋_GB2312" w:hAnsi="仿宋_GB2312" w:eastAsia="仿宋_GB2312" w:cs="仿宋_GB2312"/>
          <w:b/>
          <w:bCs/>
          <w:color w:val="auto"/>
          <w:sz w:val="32"/>
          <w:szCs w:val="32"/>
          <w:highlight w:val="none"/>
          <w:u w:val="none"/>
          <w:lang w:val="en-US" w:eastAsia="zh-CN"/>
        </w:rPr>
        <w:t>提升社保基金风险防控能力。</w:t>
      </w:r>
      <w:r>
        <w:rPr>
          <w:rFonts w:hint="default" w:ascii="仿宋_GB2312" w:hAnsi="仿宋_GB2312" w:eastAsia="仿宋_GB2312" w:cs="仿宋_GB2312"/>
          <w:b w:val="0"/>
          <w:bCs w:val="0"/>
          <w:color w:val="auto"/>
          <w:sz w:val="32"/>
          <w:szCs w:val="32"/>
          <w:highlight w:val="none"/>
          <w:u w:val="none"/>
          <w:lang w:val="en-US" w:eastAsia="zh-CN"/>
        </w:rPr>
        <w:t>健全覆盖全险种、贯通全流程的社保基金风险防控体系，强化社保基金监督信息化建设。应用全省社保经办风险防控智慧监控系统，探索人工智能技术在稽核风控方面的应用，推进社会保险经办稽核风控数字化转型。强化大数据监督运用，常态化开展经办风险自查及疑点数据筛查核查，对内加强人社系统各职能机构协同，推动监督端口前移并及时识别异常情况；对外强化跨部门数据共享和比对协查，优化社保数据质量。完善业务经办管理、联防联控、系统权限清单化管理等措施。发挥司法介入作用，提高基金追回效能。推动跨省合作开展风险防控，建立社保业务数据批量比对核查机制。</w:t>
      </w:r>
    </w:p>
    <w:p w14:paraId="7875F3F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val="en-US" w:eastAsia="zh-CN"/>
        </w:rPr>
        <w:t>提升社保基金</w:t>
      </w:r>
      <w:r>
        <w:rPr>
          <w:rFonts w:hint="eastAsia" w:ascii="仿宋_GB2312" w:hAnsi="仿宋_GB2312" w:eastAsia="仿宋_GB2312" w:cs="仿宋_GB2312"/>
          <w:b/>
          <w:bCs/>
          <w:color w:val="auto"/>
          <w:sz w:val="32"/>
          <w:szCs w:val="32"/>
          <w:highlight w:val="none"/>
          <w:u w:val="single"/>
          <w:lang w:val="en-US" w:eastAsia="zh-CN"/>
        </w:rPr>
        <w:t>保值增值</w:t>
      </w:r>
      <w:r>
        <w:rPr>
          <w:rFonts w:hint="default" w:ascii="仿宋_GB2312" w:hAnsi="仿宋_GB2312" w:eastAsia="仿宋_GB2312" w:cs="仿宋_GB2312"/>
          <w:b/>
          <w:bCs/>
          <w:color w:val="auto"/>
          <w:sz w:val="32"/>
          <w:szCs w:val="32"/>
          <w:highlight w:val="none"/>
          <w:u w:val="none"/>
          <w:lang w:val="en-US" w:eastAsia="zh-CN"/>
        </w:rPr>
        <w:t>能力</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eastAsia="zh-CN"/>
        </w:rPr>
        <w:t>参与制定本市社保基金保值增值计划，参与基本养老保险基金委托投资工作，推进社保基金保值增值。</w:t>
      </w:r>
    </w:p>
    <w:p w14:paraId="46E1B5B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65" w:name="_Toc25108"/>
      <w:bookmarkStart w:id="66" w:name="_Toc6188"/>
      <w:bookmarkStart w:id="67" w:name="_Toc15593"/>
      <w:r>
        <w:rPr>
          <w:rFonts w:hint="eastAsia" w:ascii="楷体_GB2312" w:hAnsi="楷体_GB2312" w:eastAsia="楷体_GB2312" w:cs="楷体_GB2312"/>
          <w:color w:val="auto"/>
          <w:sz w:val="32"/>
          <w:szCs w:val="32"/>
          <w:highlight w:val="none"/>
          <w:lang w:val="en-US" w:eastAsia="zh-CN"/>
        </w:rPr>
        <w:t>第五节 完善</w:t>
      </w:r>
      <w:r>
        <w:rPr>
          <w:rFonts w:hint="eastAsia" w:ascii="楷体_GB2312" w:hAnsi="楷体_GB2312" w:eastAsia="楷体_GB2312" w:cs="楷体_GB2312"/>
          <w:color w:val="auto"/>
          <w:sz w:val="32"/>
          <w:szCs w:val="32"/>
          <w:highlight w:val="none"/>
        </w:rPr>
        <w:t>社会保险经办服务体系</w:t>
      </w:r>
      <w:bookmarkEnd w:id="65"/>
      <w:bookmarkEnd w:id="66"/>
      <w:bookmarkEnd w:id="67"/>
    </w:p>
    <w:p w14:paraId="462B69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lang w:eastAsia="zh-CN"/>
        </w:rPr>
        <w:t>加强社会保障精细化管理。</w:t>
      </w:r>
      <w:r>
        <w:rPr>
          <w:rFonts w:hint="default" w:ascii="仿宋_GB2312" w:hAnsi="仿宋_GB2312" w:eastAsia="仿宋_GB2312" w:cs="仿宋_GB2312"/>
          <w:color w:val="auto"/>
          <w:sz w:val="32"/>
          <w:szCs w:val="32"/>
          <w:highlight w:val="none"/>
          <w:u w:val="none"/>
          <w:lang w:eastAsia="zh-CN"/>
        </w:rPr>
        <w:t>落实</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社会保险经办条例</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，创新社保经办管理服务模式，提升管理精细化水平与服务效能。依托全国统一的社保公共服务平台，优化社保关系转移接续、社会保险待遇申领等高频服务事项流程。</w:t>
      </w:r>
      <w:r>
        <w:rPr>
          <w:rFonts w:hint="eastAsia" w:ascii="仿宋_GB2312" w:hAnsi="仿宋_GB2312" w:eastAsia="仿宋_GB2312" w:cs="仿宋_GB2312"/>
          <w:color w:val="auto"/>
          <w:sz w:val="32"/>
          <w:szCs w:val="32"/>
          <w:highlight w:val="none"/>
          <w:u w:val="none"/>
          <w:lang w:val="en-US" w:eastAsia="zh-CN"/>
        </w:rPr>
        <w:t>按上级部署，</w:t>
      </w:r>
      <w:r>
        <w:rPr>
          <w:rFonts w:hint="eastAsia" w:ascii="仿宋_GB2312" w:hAnsi="仿宋_GB2312" w:eastAsia="仿宋_GB2312" w:cs="仿宋_GB2312"/>
          <w:color w:val="auto"/>
          <w:sz w:val="32"/>
          <w:szCs w:val="32"/>
          <w:highlight w:val="none"/>
          <w:u w:val="none"/>
        </w:rPr>
        <w:t>推进高频社保事项“全市通办”，积极推动高频业务“全省通办”</w:t>
      </w:r>
      <w:r>
        <w:rPr>
          <w:rFonts w:hint="default" w:ascii="仿宋_GB2312" w:hAnsi="仿宋_GB2312" w:eastAsia="仿宋_GB2312" w:cs="仿宋_GB2312"/>
          <w:color w:val="auto"/>
          <w:sz w:val="32"/>
          <w:szCs w:val="32"/>
          <w:highlight w:val="none"/>
          <w:u w:val="none"/>
          <w:lang w:eastAsia="zh-CN"/>
        </w:rPr>
        <w:t>。规范社保经办服务事项服务标准，实现</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同一事项、同一标准、同一编码</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深入推进</w:t>
      </w:r>
      <w:r>
        <w:rPr>
          <w:rFonts w:hint="eastAsia" w:ascii="仿宋" w:hAnsi="仿宋" w:eastAsia="仿宋" w:cs="仿宋"/>
          <w:bCs/>
          <w:color w:val="auto"/>
          <w:sz w:val="32"/>
          <w:szCs w:val="32"/>
          <w:highlight w:val="none"/>
          <w:lang w:val="en-US" w:eastAsia="zh-CN"/>
        </w:rPr>
        <w:t>“一窗通办”社保服务模式，</w:t>
      </w:r>
      <w:r>
        <w:rPr>
          <w:rFonts w:hint="default" w:ascii="仿宋_GB2312" w:hAnsi="仿宋_GB2312" w:eastAsia="仿宋_GB2312" w:cs="仿宋_GB2312"/>
          <w:color w:val="auto"/>
          <w:sz w:val="32"/>
          <w:szCs w:val="32"/>
          <w:highlight w:val="none"/>
          <w:u w:val="none"/>
          <w:lang w:eastAsia="zh-CN"/>
        </w:rPr>
        <w:t>推进线下办事</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只进一门</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、线上办事</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一网通办</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，持续提升社保服务的便捷性和满意度。关注新就业形态劳动者及老年、残疾等特殊群体，推进社保志愿者服务，深化</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社银合作</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服务模式。</w:t>
      </w:r>
    </w:p>
    <w:p w14:paraId="45191E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推进社保智能经办。</w:t>
      </w:r>
      <w:r>
        <w:rPr>
          <w:rFonts w:hint="default" w:ascii="仿宋_GB2312" w:hAnsi="仿宋_GB2312" w:eastAsia="仿宋_GB2312" w:cs="仿宋_GB2312"/>
          <w:color w:val="auto"/>
          <w:sz w:val="32"/>
          <w:szCs w:val="32"/>
          <w:highlight w:val="none"/>
          <w:u w:val="none"/>
          <w:lang w:eastAsia="zh-CN"/>
        </w:rPr>
        <w:t>按照“深化一体化、发展数字化、迈向智能化”的目标方向，</w:t>
      </w:r>
      <w:r>
        <w:rPr>
          <w:rFonts w:hint="default" w:ascii="仿宋_GB2312" w:hAnsi="仿宋_GB2312" w:eastAsia="仿宋_GB2312" w:cs="仿宋_GB2312"/>
          <w:color w:val="auto"/>
          <w:sz w:val="32"/>
          <w:szCs w:val="32"/>
          <w:highlight w:val="none"/>
          <w:u w:val="none"/>
          <w:lang w:val="en-US" w:eastAsia="zh-CN"/>
        </w:rPr>
        <w:t>强化社保信息化数字化</w:t>
      </w:r>
      <w:r>
        <w:rPr>
          <w:rFonts w:hint="eastAsia" w:ascii="仿宋_GB2312" w:hAnsi="仿宋_GB2312" w:eastAsia="仿宋_GB2312" w:cs="仿宋_GB2312"/>
          <w:color w:val="auto"/>
          <w:sz w:val="32"/>
          <w:szCs w:val="32"/>
          <w:highlight w:val="none"/>
          <w:u w:val="none"/>
          <w:lang w:val="en-US" w:eastAsia="zh-CN"/>
        </w:rPr>
        <w:t>，根据上级统一部署安排，</w:t>
      </w:r>
      <w:r>
        <w:rPr>
          <w:rFonts w:hint="default" w:ascii="仿宋_GB2312" w:hAnsi="仿宋_GB2312" w:eastAsia="仿宋_GB2312" w:cs="仿宋_GB2312"/>
          <w:color w:val="auto"/>
          <w:sz w:val="32"/>
          <w:szCs w:val="32"/>
          <w:highlight w:val="none"/>
          <w:u w:val="none"/>
          <w:lang w:eastAsia="zh-CN"/>
        </w:rPr>
        <w:t>探索开展大数据、人工智能等新技术应用，提升智能经办、智能审核、智能服务、智能分析水平，</w:t>
      </w:r>
      <w:r>
        <w:rPr>
          <w:rFonts w:hint="eastAsia" w:ascii="仿宋_GB2312" w:hAnsi="仿宋_GB2312" w:eastAsia="仿宋_GB2312" w:cs="仿宋_GB2312"/>
          <w:color w:val="auto"/>
          <w:sz w:val="32"/>
          <w:szCs w:val="32"/>
          <w:highlight w:val="none"/>
          <w:u w:val="none"/>
          <w:lang w:val="en-US" w:eastAsia="zh-CN"/>
        </w:rPr>
        <w:t>努力</w:t>
      </w:r>
      <w:r>
        <w:rPr>
          <w:rFonts w:hint="default" w:ascii="仿宋_GB2312" w:hAnsi="仿宋_GB2312" w:eastAsia="仿宋_GB2312" w:cs="仿宋_GB2312"/>
          <w:color w:val="auto"/>
          <w:sz w:val="32"/>
          <w:szCs w:val="32"/>
          <w:highlight w:val="none"/>
          <w:u w:val="none"/>
          <w:lang w:eastAsia="zh-CN"/>
        </w:rPr>
        <w:t>实现</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全程网办</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推广应用省集中式人力资源和社会保障一体化信息系统智能经办功能，以“智答、智办、智审、智控”为核心，完善“线上+线下”服务模式，推动更多本地高频事项实现智能秒批，提升服务精准度。大力开展失业保险待遇</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畅通领、安全办</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行动，积极推进失业保险金申请与失业登记集成办理。推动个人养老金、职业伤害保障等更多服务事项线上办理，推进工伤保险跨省异地就医直接结算试点扩围工作。依法依规开展社会保险数据与跨部门数据共享比对。</w:t>
      </w:r>
    </w:p>
    <w:p w14:paraId="5AC0A2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建立健全社保领域信用体系。</w:t>
      </w:r>
      <w:r>
        <w:rPr>
          <w:rFonts w:hint="default" w:ascii="仿宋_GB2312" w:hAnsi="仿宋_GB2312" w:eastAsia="仿宋_GB2312" w:cs="仿宋_GB2312"/>
          <w:color w:val="auto"/>
          <w:sz w:val="32"/>
          <w:szCs w:val="32"/>
          <w:highlight w:val="none"/>
          <w:u w:val="none"/>
          <w:lang w:eastAsia="zh-CN"/>
        </w:rPr>
        <w:t>严格落实社保领域严重失信主体名单管理制度，做好严重失信主体名单列入和移出、信用修复等工作。对信用度低的企业单位实施更严格管控，管制或者限制部分业务的办理。向相关部门共享严重失信主体名单信息，并依照法律法规和有关规定对严重失信主体予以失信惩戒。</w:t>
      </w:r>
    </w:p>
    <w:p w14:paraId="17A6BA36">
      <w:pPr>
        <w:pStyle w:val="2"/>
        <w:rPr>
          <w:rFonts w:hint="default"/>
        </w:rPr>
      </w:pPr>
    </w:p>
    <w:tbl>
      <w:tblPr>
        <w:tblStyle w:val="11"/>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14:paraId="33DF4B8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99" w:hRule="atLeast"/>
          <w:jc w:val="center"/>
        </w:trPr>
        <w:tc>
          <w:tcPr>
            <w:tcW w:w="8880" w:type="dxa"/>
            <w:tcBorders>
              <w:top w:val="outset" w:color="000000" w:sz="6" w:space="0"/>
              <w:left w:val="outset" w:color="000000" w:sz="6" w:space="0"/>
              <w:bottom w:val="outset" w:color="000000" w:sz="6" w:space="0"/>
              <w:right w:val="outset" w:color="000000" w:sz="6" w:space="0"/>
            </w:tcBorders>
            <w:shd w:val="clear" w:color="auto" w:fill="FFCC00"/>
            <w:noWrap w:val="0"/>
            <w:vAlign w:val="center"/>
          </w:tcPr>
          <w:p w14:paraId="0F5CEF55">
            <w:pPr>
              <w:widowControl/>
              <w:spacing w:line="360" w:lineRule="exact"/>
              <w:jc w:val="center"/>
              <w:rPr>
                <w:rFonts w:hint="default" w:ascii="Times New Roman" w:hAnsi="Times New Roman" w:eastAsia="黑体" w:cs="Times New Roman"/>
                <w:color w:val="auto"/>
                <w:kern w:val="0"/>
                <w:sz w:val="28"/>
                <w:szCs w:val="28"/>
                <w:highlight w:val="none"/>
                <w:u w:val="none" w:color="auto"/>
              </w:rPr>
            </w:pPr>
            <w:r>
              <w:rPr>
                <w:rFonts w:hint="eastAsia" w:ascii="黑体" w:hAnsi="黑体" w:eastAsia="黑体" w:cs="黑体"/>
                <w:b w:val="0"/>
                <w:bCs/>
                <w:color w:val="auto"/>
                <w:kern w:val="0"/>
                <w:sz w:val="32"/>
                <w:szCs w:val="32"/>
                <w:highlight w:val="none"/>
                <w:u w:val="none" w:color="auto"/>
              </w:rPr>
              <w:t>专栏  开展社保智能经办三年行动</w:t>
            </w:r>
          </w:p>
        </w:tc>
      </w:tr>
      <w:tr w14:paraId="3D4554A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44" w:hRule="atLeast"/>
          <w:jc w:val="center"/>
        </w:trPr>
        <w:tc>
          <w:tcPr>
            <w:tcW w:w="8880" w:type="dxa"/>
            <w:tcBorders>
              <w:top w:val="outset" w:color="000000" w:sz="6" w:space="0"/>
              <w:left w:val="outset" w:color="000000" w:sz="6" w:space="0"/>
              <w:bottom w:val="outset" w:color="000000" w:sz="6" w:space="0"/>
              <w:right w:val="outset" w:color="000000" w:sz="6" w:space="0"/>
            </w:tcBorders>
            <w:noWrap w:val="0"/>
            <w:vAlign w:val="center"/>
          </w:tcPr>
          <w:p w14:paraId="59350AB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color w:val="auto"/>
                <w:highlight w:val="none"/>
                <w:u w:val="none" w:color="auto"/>
              </w:rPr>
            </w:pPr>
            <w:r>
              <w:rPr>
                <w:rFonts w:hint="eastAsia" w:ascii="仿宋_GB2312" w:hAnsi="仿宋_GB2312" w:eastAsia="仿宋_GB2312" w:cs="仿宋_GB2312"/>
                <w:color w:val="auto"/>
                <w:sz w:val="28"/>
                <w:szCs w:val="28"/>
                <w:highlight w:val="none"/>
                <w:u w:val="none"/>
                <w:lang w:val="en-US" w:eastAsia="zh-CN"/>
              </w:rPr>
              <w:t>落实智能经办配套管理制度，按上级统一部署，</w:t>
            </w:r>
            <w:r>
              <w:rPr>
                <w:rFonts w:hint="default" w:ascii="仿宋_GB2312" w:hAnsi="仿宋_GB2312" w:eastAsia="仿宋_GB2312" w:cs="仿宋_GB2312"/>
                <w:color w:val="auto"/>
                <w:sz w:val="28"/>
                <w:szCs w:val="28"/>
                <w:highlight w:val="none"/>
                <w:u w:val="none"/>
                <w:lang w:val="en-US" w:eastAsia="zh-CN"/>
              </w:rPr>
              <w:t>积极探索运用大数据、人工智能等新兴技术，推广使用省大集中系统开展智能经办，推动社保经办智能化，打造经办审核、服务、监管新形态</w:t>
            </w:r>
            <w:r>
              <w:rPr>
                <w:rFonts w:hint="eastAsia" w:ascii="仿宋_GB2312" w:hAnsi="仿宋_GB2312" w:eastAsia="仿宋_GB2312" w:cs="仿宋_GB2312"/>
                <w:color w:val="auto"/>
                <w:sz w:val="28"/>
                <w:szCs w:val="28"/>
                <w:highlight w:val="none"/>
                <w:u w:val="none"/>
                <w:lang w:val="en-US" w:eastAsia="zh-CN"/>
              </w:rPr>
              <w:t>。积极探索智能办事和智能材料预审的有机融合，</w:t>
            </w:r>
            <w:r>
              <w:rPr>
                <w:rFonts w:hint="default" w:ascii="仿宋_GB2312" w:hAnsi="仿宋_GB2312" w:eastAsia="仿宋_GB2312" w:cs="仿宋_GB2312"/>
                <w:color w:val="auto"/>
                <w:sz w:val="28"/>
                <w:szCs w:val="28"/>
                <w:highlight w:val="none"/>
                <w:u w:val="none"/>
                <w:lang w:val="en-US" w:eastAsia="zh-CN"/>
              </w:rPr>
              <w:t>构建智能、高效、便捷的经办新格局，融合形成</w:t>
            </w:r>
            <w:r>
              <w:rPr>
                <w:rFonts w:hint="eastAsia" w:ascii="仿宋_GB2312" w:hAnsi="仿宋_GB2312" w:eastAsia="仿宋_GB2312" w:cs="仿宋_GB2312"/>
                <w:color w:val="auto"/>
                <w:sz w:val="28"/>
                <w:szCs w:val="28"/>
                <w:highlight w:val="none"/>
                <w:u w:val="none"/>
                <w:lang w:val="en-US" w:eastAsia="zh-CN"/>
              </w:rPr>
              <w:t>“</w:t>
            </w:r>
            <w:r>
              <w:rPr>
                <w:rFonts w:hint="default" w:ascii="仿宋_GB2312" w:hAnsi="仿宋_GB2312" w:eastAsia="仿宋_GB2312" w:cs="仿宋_GB2312"/>
                <w:color w:val="auto"/>
                <w:sz w:val="28"/>
                <w:szCs w:val="28"/>
                <w:highlight w:val="none"/>
                <w:u w:val="none"/>
                <w:lang w:val="en-US" w:eastAsia="zh-CN"/>
              </w:rPr>
              <w:t>线上+线下</w:t>
            </w:r>
            <w:r>
              <w:rPr>
                <w:rFonts w:hint="eastAsia" w:ascii="仿宋_GB2312" w:hAnsi="仿宋_GB2312" w:eastAsia="仿宋_GB2312" w:cs="仿宋_GB2312"/>
                <w:color w:val="auto"/>
                <w:sz w:val="28"/>
                <w:szCs w:val="28"/>
                <w:highlight w:val="none"/>
                <w:u w:val="none"/>
                <w:lang w:val="en-US" w:eastAsia="zh-CN"/>
              </w:rPr>
              <w:t>”“</w:t>
            </w:r>
            <w:r>
              <w:rPr>
                <w:rFonts w:hint="default" w:ascii="仿宋_GB2312" w:hAnsi="仿宋_GB2312" w:eastAsia="仿宋_GB2312" w:cs="仿宋_GB2312"/>
                <w:color w:val="auto"/>
                <w:sz w:val="28"/>
                <w:szCs w:val="28"/>
                <w:highlight w:val="none"/>
                <w:u w:val="none"/>
                <w:lang w:val="en-US" w:eastAsia="zh-CN"/>
              </w:rPr>
              <w:t>人工+机器人</w:t>
            </w:r>
            <w:r>
              <w:rPr>
                <w:rFonts w:hint="eastAsia" w:ascii="仿宋_GB2312" w:hAnsi="仿宋_GB2312" w:eastAsia="仿宋_GB2312" w:cs="仿宋_GB2312"/>
                <w:color w:val="auto"/>
                <w:sz w:val="28"/>
                <w:szCs w:val="28"/>
                <w:highlight w:val="none"/>
                <w:u w:val="none"/>
                <w:lang w:val="en-US" w:eastAsia="zh-CN"/>
              </w:rPr>
              <w:t>”</w:t>
            </w:r>
            <w:r>
              <w:rPr>
                <w:rFonts w:hint="default" w:ascii="仿宋_GB2312" w:hAnsi="仿宋_GB2312" w:eastAsia="仿宋_GB2312" w:cs="仿宋_GB2312"/>
                <w:color w:val="auto"/>
                <w:sz w:val="28"/>
                <w:szCs w:val="28"/>
                <w:highlight w:val="none"/>
                <w:u w:val="none"/>
                <w:lang w:val="en-US" w:eastAsia="zh-CN"/>
              </w:rPr>
              <w:t>社保公共服务新生态。</w:t>
            </w:r>
          </w:p>
        </w:tc>
      </w:tr>
    </w:tbl>
    <w:p w14:paraId="5C141607">
      <w:pPr>
        <w:pStyle w:val="2"/>
        <w:rPr>
          <w:color w:val="auto"/>
          <w:highlight w:val="none"/>
        </w:rPr>
      </w:pPr>
    </w:p>
    <w:p w14:paraId="304D04A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仿宋_GB2312" w:hAnsi="仿宋_GB2312" w:eastAsia="仿宋_GB2312" w:cs="仿宋_GB2312"/>
          <w:color w:val="auto"/>
          <w:sz w:val="32"/>
          <w:szCs w:val="32"/>
          <w:highlight w:val="none"/>
        </w:rPr>
      </w:pPr>
      <w:bookmarkStart w:id="68" w:name="_Toc5690"/>
      <w:bookmarkStart w:id="69" w:name="_Toc8017"/>
      <w:bookmarkStart w:id="70" w:name="_Toc16543"/>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 xml:space="preserve">章 加强人才资源有效供给 </w:t>
      </w:r>
      <w:r>
        <w:rPr>
          <w:rFonts w:hint="default" w:ascii="黑体" w:hAnsi="黑体" w:eastAsia="黑体" w:cs="黑体"/>
          <w:color w:val="auto"/>
          <w:sz w:val="32"/>
          <w:szCs w:val="32"/>
          <w:highlight w:val="none"/>
        </w:rPr>
        <w:t>引领支撑现代化产业体系建设</w:t>
      </w:r>
      <w:bookmarkEnd w:id="68"/>
      <w:bookmarkEnd w:id="69"/>
      <w:bookmarkEnd w:id="70"/>
    </w:p>
    <w:p w14:paraId="5FEAD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u w:val="none" w:color="auto"/>
        </w:rPr>
        <w:t>完善人才发展体制机制，壮大专业技术、技能人才队伍，完善以职称、职业资格、职业技能等级为核心的人才评价制度，建设高素质专业化的事业单位工作人员队伍，加快塑造现代化人力资源。</w:t>
      </w:r>
    </w:p>
    <w:p w14:paraId="4BEF66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color w:val="auto"/>
          <w:sz w:val="32"/>
          <w:szCs w:val="32"/>
          <w:highlight w:val="none"/>
        </w:rPr>
      </w:pPr>
      <w:bookmarkStart w:id="71" w:name="_Toc15615"/>
      <w:bookmarkStart w:id="72" w:name="_Toc14228"/>
      <w:bookmarkStart w:id="73" w:name="_Toc30318"/>
      <w:r>
        <w:rPr>
          <w:rFonts w:hint="eastAsia" w:ascii="楷体_GB2312" w:hAnsi="楷体_GB2312" w:eastAsia="楷体_GB2312" w:cs="楷体_GB2312"/>
          <w:color w:val="auto"/>
          <w:sz w:val="32"/>
          <w:szCs w:val="32"/>
          <w:highlight w:val="none"/>
        </w:rPr>
        <w:t>第一节 加快建设高层次专业技术人才队伍</w:t>
      </w:r>
      <w:bookmarkEnd w:id="71"/>
      <w:bookmarkEnd w:id="72"/>
      <w:bookmarkEnd w:id="73"/>
    </w:p>
    <w:p w14:paraId="47BA6E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深化专业技术职称制度改革。</w:t>
      </w:r>
      <w:r>
        <w:rPr>
          <w:rFonts w:hint="default" w:ascii="仿宋_GB2312" w:hAnsi="仿宋_GB2312" w:eastAsia="仿宋_GB2312" w:cs="仿宋_GB2312"/>
          <w:color w:val="auto"/>
          <w:sz w:val="32"/>
          <w:szCs w:val="32"/>
          <w:highlight w:val="none"/>
          <w:u w:val="none"/>
          <w:lang w:eastAsia="zh-CN"/>
        </w:rPr>
        <w:t>持续推进</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破四维、立新标</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，与时俱进优化评价标准，全面落实代表性成果评价和</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菜单式</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人才评价指标体系，</w:t>
      </w:r>
      <w:r>
        <w:rPr>
          <w:rFonts w:hint="eastAsia" w:ascii="仿宋_GB2312" w:hAnsi="仿宋_GB2312" w:eastAsia="仿宋_GB2312" w:cs="仿宋_GB2312"/>
          <w:color w:val="auto"/>
          <w:sz w:val="32"/>
          <w:szCs w:val="32"/>
          <w:highlight w:val="none"/>
          <w:u w:val="none"/>
          <w:lang w:val="en-US" w:eastAsia="zh-CN"/>
        </w:rPr>
        <w:t>贯彻执行</w:t>
      </w:r>
      <w:r>
        <w:rPr>
          <w:rFonts w:hint="default" w:ascii="仿宋_GB2312" w:hAnsi="仿宋_GB2312" w:eastAsia="仿宋_GB2312" w:cs="仿宋_GB2312"/>
          <w:color w:val="auto"/>
          <w:sz w:val="32"/>
          <w:szCs w:val="32"/>
          <w:highlight w:val="none"/>
          <w:u w:val="none"/>
          <w:lang w:eastAsia="zh-CN"/>
        </w:rPr>
        <w:t>以同行专家评审为基础、多种评价方式相结合的业内评价机制，促进职称政策与人事人才政策相衔接。落实基层一线职称评价制度，实施职称评审</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定向评价、定向使用</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机制，贯通长期服务基层一线职称评审</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绿色通道</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，鼓励人才向基层一线流动。加强职称评审事前、事中、事后全过程监管。</w:t>
      </w:r>
      <w:r>
        <w:rPr>
          <w:rFonts w:hint="eastAsia" w:ascii="仿宋_GB2312" w:hAnsi="仿宋_GB2312" w:eastAsia="仿宋_GB2312" w:cs="仿宋_GB2312"/>
          <w:color w:val="auto"/>
          <w:sz w:val="32"/>
          <w:szCs w:val="32"/>
          <w:highlight w:val="none"/>
          <w:u w:val="none"/>
          <w:lang w:eastAsia="zh-CN"/>
        </w:rPr>
        <w:t>持续落实</w:t>
      </w:r>
      <w:r>
        <w:rPr>
          <w:rFonts w:hint="default" w:ascii="仿宋_GB2312" w:hAnsi="仿宋_GB2312" w:eastAsia="仿宋_GB2312" w:cs="仿宋_GB2312"/>
          <w:color w:val="auto"/>
          <w:sz w:val="32"/>
          <w:szCs w:val="32"/>
          <w:highlight w:val="none"/>
          <w:u w:val="none"/>
          <w:lang w:eastAsia="zh-CN"/>
        </w:rPr>
        <w:t>专业技术人才知识更新工程</w:t>
      </w:r>
      <w:r>
        <w:rPr>
          <w:rFonts w:hint="eastAsia" w:ascii="仿宋_GB2312" w:hAnsi="仿宋_GB2312" w:eastAsia="仿宋_GB2312" w:cs="仿宋_GB2312"/>
          <w:color w:val="auto"/>
          <w:sz w:val="32"/>
          <w:szCs w:val="32"/>
          <w:highlight w:val="none"/>
          <w:u w:val="none"/>
          <w:lang w:eastAsia="zh-CN"/>
        </w:rPr>
        <w:t>，针对新能源、新材料、新一代电子信息、高端装备制造、机器人等重点领域</w:t>
      </w:r>
      <w:r>
        <w:rPr>
          <w:rFonts w:hint="eastAsia" w:ascii="仿宋_GB2312" w:hAnsi="仿宋_GB2312" w:eastAsia="仿宋_GB2312" w:cs="仿宋_GB2312"/>
          <w:color w:val="auto"/>
          <w:sz w:val="32"/>
          <w:szCs w:val="32"/>
          <w:highlight w:val="none"/>
          <w:u w:val="none"/>
          <w:lang w:val="en-US" w:eastAsia="zh-CN"/>
        </w:rPr>
        <w:t>配合</w:t>
      </w:r>
      <w:r>
        <w:rPr>
          <w:rFonts w:hint="eastAsia" w:ascii="仿宋_GB2312" w:hAnsi="仿宋_GB2312" w:eastAsia="仿宋_GB2312" w:cs="仿宋_GB2312"/>
          <w:color w:val="auto"/>
          <w:sz w:val="32"/>
          <w:szCs w:val="32"/>
          <w:highlight w:val="none"/>
          <w:u w:val="none"/>
          <w:lang w:eastAsia="zh-CN"/>
        </w:rPr>
        <w:t>实施大规模、广覆盖、高质量的知识更新继续教育。</w:t>
      </w:r>
    </w:p>
    <w:p w14:paraId="3AE398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集聚急需紧缺博士人才队伍。</w:t>
      </w:r>
      <w:r>
        <w:rPr>
          <w:rFonts w:hint="default" w:ascii="仿宋_GB2312" w:hAnsi="仿宋_GB2312" w:eastAsia="仿宋_GB2312" w:cs="仿宋_GB2312"/>
          <w:color w:val="auto"/>
          <w:sz w:val="32"/>
          <w:szCs w:val="32"/>
          <w:highlight w:val="none"/>
          <w:u w:val="none"/>
          <w:lang w:eastAsia="zh-CN"/>
        </w:rPr>
        <w:t>持续推进博士博士后集聚计划，强化博士博士后</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引育用留</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政策保障。</w:t>
      </w:r>
      <w:r>
        <w:rPr>
          <w:rFonts w:hint="eastAsia" w:ascii="仿宋_GB2312" w:hAnsi="仿宋_GB2312" w:eastAsia="仿宋_GB2312" w:cs="仿宋_GB2312"/>
          <w:color w:val="auto"/>
          <w:sz w:val="32"/>
          <w:szCs w:val="32"/>
          <w:highlight w:val="none"/>
          <w:u w:val="none"/>
        </w:rPr>
        <w:t>鼓励企业结合自身科研发展需求，建设博士博士后科研平台。</w:t>
      </w:r>
      <w:r>
        <w:rPr>
          <w:rFonts w:hint="default" w:ascii="仿宋_GB2312" w:hAnsi="仿宋_GB2312" w:eastAsia="仿宋_GB2312" w:cs="仿宋_GB2312"/>
          <w:color w:val="auto"/>
          <w:sz w:val="32"/>
          <w:szCs w:val="32"/>
          <w:highlight w:val="none"/>
          <w:u w:val="none"/>
          <w:lang w:eastAsia="zh-CN"/>
        </w:rPr>
        <w:t>充分发挥科研平台综合评价的指挥棒作用，</w:t>
      </w:r>
      <w:r>
        <w:rPr>
          <w:rFonts w:hint="eastAsia" w:ascii="仿宋_GB2312" w:hAnsi="仿宋_GB2312" w:eastAsia="仿宋_GB2312" w:cs="仿宋_GB2312"/>
          <w:color w:val="auto"/>
          <w:sz w:val="32"/>
          <w:szCs w:val="32"/>
          <w:highlight w:val="none"/>
          <w:u w:val="none"/>
          <w:lang w:eastAsia="zh-CN"/>
        </w:rPr>
        <w:t>配合上级及有关部门</w:t>
      </w:r>
      <w:r>
        <w:rPr>
          <w:rFonts w:hint="default" w:ascii="仿宋_GB2312" w:hAnsi="仿宋_GB2312" w:eastAsia="仿宋_GB2312" w:cs="仿宋_GB2312"/>
          <w:color w:val="auto"/>
          <w:sz w:val="32"/>
          <w:szCs w:val="32"/>
          <w:highlight w:val="none"/>
          <w:u w:val="none"/>
          <w:lang w:eastAsia="zh-CN"/>
        </w:rPr>
        <w:t>开展博士后综合评估工作，</w:t>
      </w:r>
      <w:r>
        <w:rPr>
          <w:rFonts w:hint="eastAsia" w:ascii="仿宋_GB2312" w:hAnsi="仿宋_GB2312" w:eastAsia="仿宋_GB2312" w:cs="仿宋_GB2312"/>
          <w:color w:val="auto"/>
          <w:sz w:val="32"/>
          <w:szCs w:val="32"/>
          <w:highlight w:val="none"/>
          <w:u w:val="none"/>
        </w:rPr>
        <w:t>提升博士博士后科研平台建站质量</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加强对现有博士博士后科研平台服务管理</w:t>
      </w:r>
      <w:r>
        <w:rPr>
          <w:rFonts w:hint="eastAsia" w:ascii="仿宋_GB2312" w:hAnsi="仿宋_GB2312" w:eastAsia="仿宋_GB2312" w:cs="仿宋_GB2312"/>
          <w:color w:val="auto"/>
          <w:sz w:val="32"/>
          <w:szCs w:val="32"/>
          <w:highlight w:val="none"/>
          <w:u w:val="none"/>
          <w:lang w:eastAsia="zh-CN"/>
        </w:rPr>
        <w:t>。征集</w:t>
      </w:r>
      <w:r>
        <w:rPr>
          <w:rFonts w:hint="eastAsia" w:ascii="仿宋_GB2312" w:hAnsi="仿宋_GB2312" w:eastAsia="仿宋_GB2312" w:cs="仿宋_GB2312"/>
          <w:color w:val="auto"/>
          <w:sz w:val="32"/>
          <w:szCs w:val="32"/>
          <w:highlight w:val="none"/>
          <w:u w:val="none"/>
        </w:rPr>
        <w:t>企业技术和人才需求，拓展和利用高校资源，</w:t>
      </w:r>
      <w:r>
        <w:rPr>
          <w:rFonts w:hint="default" w:ascii="仿宋_GB2312" w:hAnsi="仿宋_GB2312" w:eastAsia="仿宋_GB2312" w:cs="仿宋_GB2312"/>
          <w:color w:val="auto"/>
          <w:sz w:val="32"/>
          <w:szCs w:val="32"/>
          <w:highlight w:val="none"/>
          <w:u w:val="none"/>
          <w:lang w:eastAsia="zh-CN"/>
        </w:rPr>
        <w:t>积极开展博士博士后人才招引活动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引进急需紧缺博士博士后人才。</w:t>
      </w:r>
      <w:r>
        <w:rPr>
          <w:rFonts w:hint="eastAsia" w:ascii="仿宋_GB2312" w:hAnsi="仿宋_GB2312" w:eastAsia="仿宋_GB2312" w:cs="仿宋_GB2312"/>
          <w:color w:val="auto"/>
          <w:sz w:val="32"/>
          <w:szCs w:val="32"/>
          <w:highlight w:val="none"/>
          <w:u w:val="none"/>
          <w:lang w:eastAsia="zh-CN"/>
        </w:rPr>
        <w:t>积极发动</w:t>
      </w:r>
      <w:r>
        <w:rPr>
          <w:rFonts w:hint="default" w:ascii="仿宋_GB2312" w:hAnsi="仿宋_GB2312" w:eastAsia="仿宋_GB2312" w:cs="仿宋_GB2312"/>
          <w:color w:val="auto"/>
          <w:sz w:val="32"/>
          <w:szCs w:val="32"/>
          <w:highlight w:val="none"/>
          <w:u w:val="none"/>
          <w:lang w:eastAsia="zh-CN"/>
        </w:rPr>
        <w:t>博士博士后人才参与国家级、省级创新创业大赛</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贯彻</w:t>
      </w:r>
      <w:r>
        <w:rPr>
          <w:rFonts w:hint="default" w:ascii="仿宋_GB2312" w:hAnsi="仿宋_GB2312" w:eastAsia="仿宋_GB2312" w:cs="仿宋_GB2312"/>
          <w:color w:val="auto"/>
          <w:sz w:val="32"/>
          <w:szCs w:val="32"/>
          <w:highlight w:val="none"/>
          <w:u w:val="none"/>
          <w:lang w:eastAsia="zh-CN"/>
        </w:rPr>
        <w:t>以强化工作业绩和实际贡献为导向的高层次人才认定、评定体系，年均新增认定、评定高层次人才不少于</w:t>
      </w:r>
      <w:r>
        <w:rPr>
          <w:rFonts w:hint="eastAsia" w:ascii="仿宋_GB2312" w:hAnsi="仿宋_GB2312" w:eastAsia="仿宋_GB2312" w:cs="仿宋_GB2312"/>
          <w:color w:val="auto"/>
          <w:sz w:val="32"/>
          <w:szCs w:val="32"/>
          <w:highlight w:val="none"/>
          <w:u w:val="none"/>
          <w:lang w:val="en-US" w:eastAsia="zh-CN"/>
        </w:rPr>
        <w:t>100</w:t>
      </w:r>
      <w:r>
        <w:rPr>
          <w:rFonts w:hint="default" w:ascii="仿宋_GB2312" w:hAnsi="仿宋_GB2312" w:eastAsia="仿宋_GB2312" w:cs="仿宋_GB2312"/>
          <w:color w:val="auto"/>
          <w:sz w:val="32"/>
          <w:szCs w:val="32"/>
          <w:highlight w:val="none"/>
          <w:u w:val="none"/>
          <w:lang w:eastAsia="zh-CN"/>
        </w:rPr>
        <w:t>人次。</w:t>
      </w:r>
    </w:p>
    <w:p w14:paraId="587E70A5">
      <w:pPr>
        <w:pStyle w:val="2"/>
        <w:rPr>
          <w:rFonts w:hint="default"/>
        </w:rPr>
      </w:pPr>
    </w:p>
    <w:tbl>
      <w:tblPr>
        <w:tblStyle w:val="11"/>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14:paraId="06A6AB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99" w:hRule="atLeast"/>
          <w:jc w:val="center"/>
        </w:trPr>
        <w:tc>
          <w:tcPr>
            <w:tcW w:w="8880" w:type="dxa"/>
            <w:tcBorders>
              <w:top w:val="outset" w:color="000000" w:sz="6" w:space="0"/>
              <w:left w:val="outset" w:color="000000" w:sz="6" w:space="0"/>
              <w:bottom w:val="outset" w:color="000000" w:sz="6" w:space="0"/>
              <w:right w:val="outset" w:color="000000" w:sz="6" w:space="0"/>
            </w:tcBorders>
            <w:shd w:val="clear" w:color="auto" w:fill="FFCC00"/>
            <w:noWrap w:val="0"/>
            <w:vAlign w:val="center"/>
          </w:tcPr>
          <w:p w14:paraId="69B29912">
            <w:pPr>
              <w:widowControl/>
              <w:spacing w:line="360" w:lineRule="exact"/>
              <w:jc w:val="center"/>
              <w:rPr>
                <w:rFonts w:hint="default" w:ascii="Times New Roman" w:hAnsi="Times New Roman" w:eastAsia="黑体" w:cs="Times New Roman"/>
                <w:color w:val="auto"/>
                <w:kern w:val="0"/>
                <w:sz w:val="28"/>
                <w:szCs w:val="28"/>
                <w:highlight w:val="none"/>
                <w:u w:val="none" w:color="auto"/>
              </w:rPr>
            </w:pPr>
            <w:r>
              <w:rPr>
                <w:rFonts w:hint="eastAsia" w:ascii="黑体" w:hAnsi="黑体" w:eastAsia="黑体" w:cs="黑体"/>
                <w:b w:val="0"/>
                <w:bCs/>
                <w:color w:val="auto"/>
                <w:kern w:val="0"/>
                <w:sz w:val="32"/>
                <w:szCs w:val="32"/>
                <w:highlight w:val="none"/>
                <w:u w:val="none" w:color="auto"/>
              </w:rPr>
              <w:t>专栏 　</w:t>
            </w:r>
            <w:r>
              <w:rPr>
                <w:rFonts w:hint="eastAsia" w:ascii="黑体" w:hAnsi="黑体" w:eastAsia="黑体" w:cs="黑体"/>
                <w:b w:val="0"/>
                <w:bCs/>
                <w:color w:val="auto"/>
                <w:kern w:val="0"/>
                <w:sz w:val="32"/>
                <w:szCs w:val="32"/>
                <w:highlight w:val="none"/>
                <w:u w:val="none" w:color="auto"/>
                <w:lang w:val="en-US" w:eastAsia="zh-CN"/>
              </w:rPr>
              <w:t>配合</w:t>
            </w:r>
            <w:r>
              <w:rPr>
                <w:rFonts w:hint="eastAsia" w:ascii="黑体" w:hAnsi="黑体" w:eastAsia="黑体" w:cs="黑体"/>
                <w:b w:val="0"/>
                <w:bCs/>
                <w:color w:val="auto"/>
                <w:kern w:val="0"/>
                <w:sz w:val="32"/>
                <w:szCs w:val="32"/>
                <w:highlight w:val="none"/>
                <w:u w:val="none" w:color="auto"/>
              </w:rPr>
              <w:t>实施产业工程师卓越提升项目</w:t>
            </w:r>
          </w:p>
        </w:tc>
      </w:tr>
      <w:tr w14:paraId="163D7B9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44" w:hRule="atLeast"/>
          <w:jc w:val="center"/>
        </w:trPr>
        <w:tc>
          <w:tcPr>
            <w:tcW w:w="8880" w:type="dxa"/>
            <w:tcBorders>
              <w:top w:val="outset" w:color="000000" w:sz="6" w:space="0"/>
              <w:left w:val="outset" w:color="000000" w:sz="6" w:space="0"/>
              <w:bottom w:val="outset" w:color="000000" w:sz="6" w:space="0"/>
              <w:right w:val="outset" w:color="000000" w:sz="6" w:space="0"/>
            </w:tcBorders>
            <w:noWrap w:val="0"/>
            <w:vAlign w:val="center"/>
          </w:tcPr>
          <w:p w14:paraId="69D4B4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kern w:val="2"/>
                <w:sz w:val="28"/>
                <w:szCs w:val="28"/>
                <w:highlight w:val="none"/>
                <w:u w:val="none" w:color="auto"/>
                <w:vertAlign w:val="baseline"/>
                <w:lang w:val="en-US" w:eastAsia="zh-CN" w:bidi="ar-SA"/>
              </w:rPr>
            </w:pPr>
            <w:r>
              <w:rPr>
                <w:rFonts w:hint="default" w:ascii="仿宋_GB2312" w:hAnsi="仿宋_GB2312" w:eastAsia="仿宋_GB2312" w:cs="仿宋_GB2312"/>
                <w:color w:val="auto"/>
                <w:sz w:val="28"/>
                <w:szCs w:val="28"/>
                <w:highlight w:val="none"/>
                <w:u w:val="none"/>
                <w:lang w:val="en-US" w:eastAsia="zh-CN"/>
              </w:rPr>
              <w:t>围绕创新驱动发展、粤港澳大湾区建设、</w:t>
            </w:r>
            <w:r>
              <w:rPr>
                <w:rFonts w:hint="eastAsia" w:ascii="仿宋_GB2312" w:hAnsi="仿宋_GB2312" w:eastAsia="仿宋_GB2312" w:cs="仿宋_GB2312"/>
                <w:color w:val="auto"/>
                <w:sz w:val="28"/>
                <w:szCs w:val="28"/>
                <w:highlight w:val="none"/>
                <w:u w:val="none"/>
                <w:lang w:val="en-US" w:eastAsia="zh-CN"/>
              </w:rPr>
              <w:t>“百千万工程”</w:t>
            </w:r>
            <w:r>
              <w:rPr>
                <w:rFonts w:hint="default" w:ascii="仿宋_GB2312" w:hAnsi="仿宋_GB2312" w:eastAsia="仿宋_GB2312" w:cs="仿宋_GB2312"/>
                <w:color w:val="auto"/>
                <w:sz w:val="28"/>
                <w:szCs w:val="28"/>
                <w:highlight w:val="none"/>
                <w:u w:val="none"/>
                <w:lang w:val="en-US" w:eastAsia="zh-CN"/>
              </w:rPr>
              <w:t>等国家和省重大发展战略，服务战略性支柱产业和战略性新兴产业发展，重点在新一代</w:t>
            </w:r>
            <w:r>
              <w:rPr>
                <w:rFonts w:hint="eastAsia" w:ascii="仿宋_GB2312" w:hAnsi="仿宋_GB2312" w:eastAsia="仿宋_GB2312" w:cs="仿宋_GB2312"/>
                <w:color w:val="auto"/>
                <w:sz w:val="28"/>
                <w:szCs w:val="28"/>
                <w:highlight w:val="none"/>
                <w:u w:val="none"/>
                <w:lang w:val="en-US" w:eastAsia="zh-CN"/>
              </w:rPr>
              <w:t>电子</w:t>
            </w:r>
            <w:r>
              <w:rPr>
                <w:rFonts w:hint="default" w:ascii="仿宋_GB2312" w:hAnsi="仿宋_GB2312" w:eastAsia="仿宋_GB2312" w:cs="仿宋_GB2312"/>
                <w:color w:val="auto"/>
                <w:sz w:val="28"/>
                <w:szCs w:val="28"/>
                <w:highlight w:val="none"/>
                <w:u w:val="none"/>
                <w:lang w:val="en-US" w:eastAsia="zh-CN"/>
              </w:rPr>
              <w:t>信息、生物技术、新能源、新材料、高端装备、新能源汽车、绿色环保、纺织、食品、金属制品等重点领域，依托江门市产业工程师联盟</w:t>
            </w:r>
            <w:r>
              <w:rPr>
                <w:rFonts w:hint="eastAsia" w:ascii="仿宋_GB2312" w:hAnsi="仿宋_GB2312" w:eastAsia="仿宋_GB2312" w:cs="仿宋_GB2312"/>
                <w:color w:val="auto"/>
                <w:sz w:val="28"/>
                <w:szCs w:val="28"/>
                <w:highlight w:val="none"/>
                <w:u w:val="none"/>
                <w:lang w:val="en-US" w:eastAsia="zh-CN"/>
              </w:rPr>
              <w:t>与高校、科研机构、重点企业建立人才联合培养机制，配合</w:t>
            </w:r>
            <w:r>
              <w:rPr>
                <w:rFonts w:hint="default" w:ascii="仿宋_GB2312" w:hAnsi="仿宋_GB2312" w:eastAsia="仿宋_GB2312" w:cs="仿宋_GB2312"/>
                <w:color w:val="auto"/>
                <w:sz w:val="28"/>
                <w:szCs w:val="28"/>
                <w:highlight w:val="none"/>
                <w:u w:val="none"/>
                <w:lang w:val="en-US" w:eastAsia="zh-CN"/>
              </w:rPr>
              <w:t>举办产业工程师卓越匠心班</w:t>
            </w:r>
            <w:r>
              <w:rPr>
                <w:rFonts w:hint="eastAsia" w:ascii="仿宋_GB2312" w:hAnsi="仿宋_GB2312" w:eastAsia="仿宋_GB2312" w:cs="仿宋_GB2312"/>
                <w:color w:val="auto"/>
                <w:sz w:val="28"/>
                <w:szCs w:val="28"/>
                <w:highlight w:val="none"/>
                <w:u w:val="none"/>
                <w:lang w:val="en-US" w:eastAsia="zh-CN"/>
              </w:rPr>
              <w:t>、</w:t>
            </w:r>
            <w:r>
              <w:rPr>
                <w:rFonts w:hint="default" w:ascii="仿宋_GB2312" w:hAnsi="仿宋_GB2312" w:eastAsia="仿宋_GB2312" w:cs="仿宋_GB2312"/>
                <w:color w:val="auto"/>
                <w:sz w:val="28"/>
                <w:szCs w:val="28"/>
                <w:highlight w:val="none"/>
                <w:u w:val="none"/>
                <w:lang w:val="en-US" w:eastAsia="zh-CN"/>
              </w:rPr>
              <w:t>产业工程师高级研修培训班、学术论坛等活动。</w:t>
            </w:r>
          </w:p>
        </w:tc>
      </w:tr>
    </w:tbl>
    <w:p w14:paraId="2C1BA41D">
      <w:pPr>
        <w:pStyle w:val="2"/>
        <w:rPr>
          <w:rFonts w:hint="default"/>
          <w:color w:val="auto"/>
          <w:highlight w:val="none"/>
          <w:u w:val="none" w:color="auto"/>
        </w:rPr>
      </w:pPr>
    </w:p>
    <w:p w14:paraId="778805B1">
      <w:pPr>
        <w:pStyle w:val="3"/>
        <w:rPr>
          <w:rFonts w:hint="default"/>
        </w:rPr>
      </w:pPr>
    </w:p>
    <w:tbl>
      <w:tblPr>
        <w:tblStyle w:val="11"/>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14:paraId="0604809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99" w:hRule="atLeast"/>
          <w:jc w:val="center"/>
        </w:trPr>
        <w:tc>
          <w:tcPr>
            <w:tcW w:w="8880" w:type="dxa"/>
            <w:tcBorders>
              <w:top w:val="outset" w:color="000000" w:sz="6" w:space="0"/>
              <w:left w:val="outset" w:color="000000" w:sz="6" w:space="0"/>
              <w:bottom w:val="outset" w:color="000000" w:sz="6" w:space="0"/>
              <w:right w:val="outset" w:color="000000" w:sz="6" w:space="0"/>
            </w:tcBorders>
            <w:shd w:val="clear" w:color="auto" w:fill="FFCC00"/>
            <w:noWrap w:val="0"/>
            <w:vAlign w:val="center"/>
          </w:tcPr>
          <w:p w14:paraId="2BDAE6EE">
            <w:pPr>
              <w:widowControl/>
              <w:spacing w:line="360" w:lineRule="exact"/>
              <w:jc w:val="center"/>
              <w:rPr>
                <w:rFonts w:hint="eastAsia" w:ascii="Times New Roman" w:hAnsi="Times New Roman" w:eastAsia="方正黑体_GBK" w:cs="Times New Roman"/>
                <w:color w:val="auto"/>
                <w:kern w:val="0"/>
                <w:sz w:val="28"/>
                <w:szCs w:val="28"/>
                <w:highlight w:val="none"/>
                <w:u w:val="none" w:color="auto"/>
                <w:lang w:eastAsia="zh-CN"/>
              </w:rPr>
            </w:pPr>
            <w:r>
              <w:rPr>
                <w:rFonts w:hint="default" w:ascii="方正黑体_GBK" w:hAnsi="方正黑体_GBK" w:eastAsia="方正黑体_GBK" w:cs="方正黑体_GBK"/>
                <w:b w:val="0"/>
                <w:bCs/>
                <w:color w:val="auto"/>
                <w:kern w:val="0"/>
                <w:sz w:val="32"/>
                <w:szCs w:val="32"/>
                <w:highlight w:val="none"/>
                <w:u w:val="none" w:color="auto"/>
              </w:rPr>
              <w:t>专栏 全国博士后创新（江门）示范中心</w:t>
            </w:r>
            <w:r>
              <w:rPr>
                <w:rFonts w:hint="eastAsia" w:ascii="方正黑体_GBK" w:hAnsi="方正黑体_GBK" w:eastAsia="方正黑体_GBK" w:cs="方正黑体_GBK"/>
                <w:b w:val="0"/>
                <w:bCs/>
                <w:color w:val="auto"/>
                <w:kern w:val="0"/>
                <w:sz w:val="32"/>
                <w:szCs w:val="32"/>
                <w:highlight w:val="none"/>
                <w:u w:val="none" w:color="auto"/>
                <w:lang w:val="en-US" w:eastAsia="zh-CN"/>
              </w:rPr>
              <w:t>开平分中心</w:t>
            </w:r>
            <w:r>
              <w:rPr>
                <w:rFonts w:hint="default" w:ascii="方正黑体_GBK" w:hAnsi="方正黑体_GBK" w:eastAsia="方正黑体_GBK" w:cs="方正黑体_GBK"/>
                <w:b w:val="0"/>
                <w:bCs/>
                <w:color w:val="auto"/>
                <w:kern w:val="0"/>
                <w:sz w:val="32"/>
                <w:szCs w:val="32"/>
                <w:highlight w:val="none"/>
                <w:u w:val="none" w:color="auto"/>
              </w:rPr>
              <w:t>赋能提质行动</w:t>
            </w:r>
          </w:p>
        </w:tc>
      </w:tr>
      <w:tr w14:paraId="7534C14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44" w:hRule="atLeast"/>
          <w:jc w:val="center"/>
        </w:trPr>
        <w:tc>
          <w:tcPr>
            <w:tcW w:w="8880" w:type="dxa"/>
            <w:tcBorders>
              <w:top w:val="outset" w:color="000000" w:sz="6" w:space="0"/>
              <w:left w:val="outset" w:color="000000" w:sz="6" w:space="0"/>
              <w:bottom w:val="outset" w:color="000000" w:sz="6" w:space="0"/>
              <w:right w:val="outset" w:color="000000" w:sz="6" w:space="0"/>
            </w:tcBorders>
            <w:noWrap w:val="0"/>
            <w:vAlign w:val="center"/>
          </w:tcPr>
          <w:p w14:paraId="5C432A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kern w:val="2"/>
                <w:sz w:val="28"/>
                <w:szCs w:val="28"/>
                <w:highlight w:val="none"/>
                <w:u w:val="wave" w:color="auto"/>
                <w:vertAlign w:val="baseline"/>
                <w:lang w:val="en-US" w:eastAsia="zh-CN" w:bidi="ar-SA"/>
              </w:rPr>
            </w:pPr>
            <w:r>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全面提升人才服务效能</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，擦亮“侨才荟”人才服务品牌，持续优化人才服务体系</w:t>
            </w:r>
            <w:r>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配合推动</w:t>
            </w:r>
            <w:r>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政校企人才对接交流</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活动，为</w:t>
            </w:r>
            <w:r>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博士后开展科学研究、成果转化和交流合作提供服务、便利，推动产才融合发展</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；引导博士博士后科研平台积极参与“百万英才汇南粤”“十城百校”城市推介和引才专项活动</w:t>
            </w:r>
            <w:r>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进一步整合“侨才荟”人才服务联盟、引才驿站、江门市（国际）人才“一站式”服务专区开平分中心等资源，为各类来开人才提供多领域服务。推动“十五五”期间全市引进博士博士后45人。</w:t>
            </w:r>
          </w:p>
        </w:tc>
      </w:tr>
    </w:tbl>
    <w:p w14:paraId="4E89E79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仿宋_GB2312" w:hAnsi="仿宋_GB2312" w:eastAsia="仿宋_GB2312" w:cs="仿宋_GB2312"/>
          <w:b/>
          <w:bCs/>
          <w:color w:val="auto"/>
          <w:sz w:val="32"/>
          <w:szCs w:val="32"/>
          <w:highlight w:val="none"/>
          <w:u w:val="none"/>
          <w:lang w:eastAsia="zh-CN"/>
        </w:rPr>
      </w:pPr>
      <w:bookmarkStart w:id="74" w:name="_Toc1971905854"/>
      <w:bookmarkStart w:id="75" w:name="_Toc583"/>
      <w:bookmarkStart w:id="76" w:name="_Toc23702"/>
      <w:bookmarkStart w:id="77" w:name="_Toc18726"/>
      <w:r>
        <w:rPr>
          <w:rFonts w:hint="eastAsia" w:ascii="楷体" w:hAnsi="楷体" w:eastAsia="楷体" w:cs="楷体"/>
          <w:b w:val="0"/>
          <w:bCs w:val="0"/>
          <w:color w:val="auto"/>
          <w:sz w:val="32"/>
          <w:szCs w:val="32"/>
          <w:highlight w:val="none"/>
          <w:u w:val="none" w:color="auto"/>
          <w:lang w:val="en-US" w:eastAsia="zh-CN"/>
        </w:rPr>
        <w:t>第二节 打造进一步满足产业发展需求的技能人才队伍</w:t>
      </w:r>
      <w:bookmarkEnd w:id="74"/>
      <w:bookmarkEnd w:id="75"/>
      <w:bookmarkEnd w:id="76"/>
      <w:bookmarkEnd w:id="77"/>
    </w:p>
    <w:p w14:paraId="460AB6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构建终身职业技能培训体系。</w:t>
      </w:r>
      <w:r>
        <w:rPr>
          <w:rFonts w:hint="eastAsia" w:ascii="仿宋_GB2312" w:hAnsi="仿宋_GB2312" w:eastAsia="仿宋_GB2312" w:cs="仿宋_GB2312"/>
          <w:b w:val="0"/>
          <w:bCs w:val="0"/>
          <w:color w:val="auto"/>
          <w:sz w:val="32"/>
          <w:szCs w:val="32"/>
          <w:highlight w:val="none"/>
          <w:u w:val="none"/>
          <w:lang w:val="en-US" w:eastAsia="zh-CN"/>
        </w:rPr>
        <w:t>配合</w:t>
      </w:r>
      <w:r>
        <w:rPr>
          <w:rFonts w:hint="default" w:ascii="仿宋_GB2312" w:hAnsi="仿宋_GB2312" w:eastAsia="仿宋_GB2312" w:cs="仿宋_GB2312"/>
          <w:b w:val="0"/>
          <w:bCs w:val="0"/>
          <w:color w:val="auto"/>
          <w:sz w:val="32"/>
          <w:szCs w:val="32"/>
          <w:highlight w:val="none"/>
          <w:u w:val="none"/>
          <w:lang w:eastAsia="zh-CN"/>
        </w:rPr>
        <w:t>落</w:t>
      </w:r>
      <w:r>
        <w:rPr>
          <w:rFonts w:hint="default" w:ascii="仿宋_GB2312" w:hAnsi="仿宋_GB2312" w:eastAsia="仿宋_GB2312" w:cs="仿宋_GB2312"/>
          <w:color w:val="auto"/>
          <w:sz w:val="32"/>
          <w:szCs w:val="32"/>
          <w:highlight w:val="none"/>
          <w:u w:val="none"/>
          <w:lang w:eastAsia="zh-CN"/>
        </w:rPr>
        <w:t>实</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技能照亮前程</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职业培训行动，</w:t>
      </w:r>
      <w:r>
        <w:rPr>
          <w:rFonts w:hint="eastAsia" w:ascii="仿宋_GB2312" w:hAnsi="仿宋_GB2312" w:eastAsia="仿宋_GB2312" w:cs="仿宋_GB2312"/>
          <w:color w:val="auto"/>
          <w:sz w:val="32"/>
          <w:szCs w:val="32"/>
          <w:highlight w:val="none"/>
          <w:u w:val="none"/>
          <w:lang w:val="en-US" w:eastAsia="zh-CN"/>
        </w:rPr>
        <w:t>高质量</w:t>
      </w:r>
      <w:r>
        <w:rPr>
          <w:rFonts w:hint="default" w:ascii="仿宋_GB2312" w:hAnsi="仿宋_GB2312" w:eastAsia="仿宋_GB2312" w:cs="仿宋_GB2312"/>
          <w:color w:val="auto"/>
          <w:sz w:val="32"/>
          <w:szCs w:val="32"/>
          <w:highlight w:val="none"/>
          <w:u w:val="none"/>
          <w:lang w:eastAsia="zh-CN"/>
        </w:rPr>
        <w:t>实施侨都产业技能根基工程，聚焦就业导向与产业需求统筹兼顾、培训效果与技能评价提质增效，推行</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岗位需求+技能培训+技能评价+就业推荐</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项目化培训模式。</w:t>
      </w:r>
      <w:r>
        <w:rPr>
          <w:rFonts w:hint="eastAsia" w:ascii="仿宋_GB2312" w:hAnsi="仿宋_GB2312" w:eastAsia="仿宋_GB2312" w:cs="仿宋_GB2312"/>
          <w:color w:val="auto"/>
          <w:sz w:val="32"/>
          <w:szCs w:val="32"/>
          <w:highlight w:val="none"/>
          <w:u w:val="none"/>
          <w:lang w:val="en-US" w:eastAsia="zh-CN"/>
        </w:rPr>
        <w:t>面向现代产业核心技术发展，进一步加强产教融合，打造问题导向、能力导向的技能实践培育体系，建设开平市公共实训基地。</w:t>
      </w:r>
      <w:r>
        <w:rPr>
          <w:rFonts w:hint="default" w:ascii="仿宋_GB2312" w:hAnsi="仿宋_GB2312" w:eastAsia="仿宋_GB2312" w:cs="仿宋_GB2312"/>
          <w:color w:val="auto"/>
          <w:sz w:val="32"/>
          <w:szCs w:val="32"/>
          <w:highlight w:val="none"/>
          <w:u w:val="none"/>
          <w:lang w:eastAsia="zh-CN"/>
        </w:rPr>
        <w:t>推进技能强企行动，围绕先进制造业、数字经济、低空经济、现代服务业等重点领域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精准对接农文旅、先进制造业等产业需求，</w:t>
      </w:r>
      <w:r>
        <w:rPr>
          <w:rFonts w:hint="default" w:ascii="仿宋_GB2312" w:hAnsi="仿宋_GB2312" w:eastAsia="仿宋_GB2312" w:cs="仿宋_GB2312"/>
          <w:color w:val="auto"/>
          <w:sz w:val="32"/>
          <w:szCs w:val="32"/>
          <w:highlight w:val="none"/>
          <w:u w:val="none"/>
          <w:lang w:eastAsia="zh-CN"/>
        </w:rPr>
        <w:t>开发小型化、模块化、标准化培训课程，开展大规模职业技能培训。推动培训资源供给侧改革，建设培训项目库和师资库，</w:t>
      </w:r>
      <w:r>
        <w:rPr>
          <w:rFonts w:hint="eastAsia" w:ascii="仿宋_GB2312" w:hAnsi="仿宋_GB2312" w:eastAsia="仿宋_GB2312" w:cs="仿宋_GB2312"/>
          <w:color w:val="auto"/>
          <w:sz w:val="32"/>
          <w:szCs w:val="32"/>
          <w:highlight w:val="none"/>
          <w:u w:val="none"/>
          <w:lang w:val="en-US" w:eastAsia="zh-CN"/>
        </w:rPr>
        <w:t>配合</w:t>
      </w:r>
      <w:r>
        <w:rPr>
          <w:rFonts w:hint="default" w:ascii="仿宋_GB2312" w:hAnsi="仿宋_GB2312" w:eastAsia="仿宋_GB2312" w:cs="仿宋_GB2312"/>
          <w:color w:val="auto"/>
          <w:sz w:val="32"/>
          <w:szCs w:val="32"/>
          <w:highlight w:val="none"/>
          <w:u w:val="none"/>
          <w:lang w:eastAsia="zh-CN"/>
        </w:rPr>
        <w:t>发布</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技能照亮前程</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项目化培训指导目录，推送</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技能服务包</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。推动形成市场化培训为主导、行业企业自主培训为主体的职业技能培训供给体系</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支持职业</w:t>
      </w:r>
      <w:r>
        <w:rPr>
          <w:rFonts w:hint="eastAsia" w:ascii="仿宋_GB2312" w:hAnsi="仿宋_GB2312" w:eastAsia="仿宋_GB2312" w:cs="仿宋_GB2312"/>
          <w:color w:val="auto"/>
          <w:sz w:val="32"/>
          <w:szCs w:val="32"/>
          <w:highlight w:val="none"/>
          <w:u w:val="none"/>
          <w:lang w:eastAsia="zh-CN"/>
        </w:rPr>
        <w:t>（技工）</w:t>
      </w:r>
      <w:r>
        <w:rPr>
          <w:rFonts w:hint="default" w:ascii="仿宋_GB2312" w:hAnsi="仿宋_GB2312" w:eastAsia="仿宋_GB2312" w:cs="仿宋_GB2312"/>
          <w:color w:val="auto"/>
          <w:sz w:val="32"/>
          <w:szCs w:val="32"/>
          <w:highlight w:val="none"/>
          <w:u w:val="none"/>
          <w:lang w:eastAsia="zh-CN"/>
        </w:rPr>
        <w:t>院校</w:t>
      </w:r>
      <w:r>
        <w:rPr>
          <w:rFonts w:hint="eastAsia" w:ascii="仿宋_GB2312" w:hAnsi="仿宋_GB2312" w:eastAsia="仿宋_GB2312" w:cs="仿宋_GB2312"/>
          <w:color w:val="auto"/>
          <w:sz w:val="32"/>
          <w:szCs w:val="32"/>
          <w:highlight w:val="none"/>
          <w:u w:val="none"/>
          <w:lang w:eastAsia="zh-CN"/>
        </w:rPr>
        <w:t>开设微专业、开展社会化职业技能培训，</w:t>
      </w:r>
      <w:r>
        <w:rPr>
          <w:rFonts w:hint="default" w:ascii="仿宋_GB2312" w:hAnsi="仿宋_GB2312" w:eastAsia="仿宋_GB2312" w:cs="仿宋_GB2312"/>
          <w:color w:val="auto"/>
          <w:sz w:val="32"/>
          <w:szCs w:val="32"/>
          <w:highlight w:val="none"/>
          <w:u w:val="none"/>
          <w:lang w:eastAsia="zh-CN"/>
        </w:rPr>
        <w:t>鼓励民办培训机构开展高质量</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短平快</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职业技能培训项目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高质量</w:t>
      </w:r>
      <w:r>
        <w:rPr>
          <w:rFonts w:hint="eastAsia" w:ascii="仿宋_GB2312" w:hAnsi="仿宋_GB2312" w:eastAsia="仿宋_GB2312" w:cs="仿宋_GB2312"/>
          <w:color w:val="auto"/>
          <w:sz w:val="32"/>
          <w:szCs w:val="32"/>
          <w:highlight w:val="none"/>
        </w:rPr>
        <w:t>打造“职教-产业”融合体，强化“企业导师制”在职校学生培养的作用</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深化</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园区技校</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项目，</w:t>
      </w:r>
      <w:r>
        <w:rPr>
          <w:rFonts w:hint="eastAsia" w:ascii="仿宋_GB2312" w:hAnsi="仿宋_GB2312" w:eastAsia="仿宋_GB2312" w:cs="仿宋_GB2312"/>
          <w:color w:val="auto"/>
          <w:sz w:val="32"/>
          <w:szCs w:val="32"/>
          <w:highlight w:val="none"/>
          <w:u w:val="none"/>
          <w:lang w:eastAsia="zh-CN"/>
        </w:rPr>
        <w:t>引导行业企业与学校合作实施</w:t>
      </w:r>
      <w:r>
        <w:rPr>
          <w:rFonts w:hint="default" w:ascii="仿宋_GB2312" w:hAnsi="仿宋_GB2312" w:eastAsia="仿宋_GB2312" w:cs="仿宋_GB2312"/>
          <w:color w:val="auto"/>
          <w:sz w:val="32"/>
          <w:szCs w:val="32"/>
          <w:highlight w:val="none"/>
          <w:u w:val="none"/>
          <w:lang w:eastAsia="zh-CN"/>
        </w:rPr>
        <w:t>精准化、订单式培训</w:t>
      </w:r>
      <w:r>
        <w:rPr>
          <w:rFonts w:hint="eastAsia" w:ascii="仿宋_GB2312" w:hAnsi="仿宋_GB2312" w:eastAsia="仿宋_GB2312" w:cs="仿宋_GB2312"/>
          <w:color w:val="auto"/>
          <w:sz w:val="32"/>
          <w:szCs w:val="32"/>
          <w:highlight w:val="none"/>
          <w:u w:val="none"/>
          <w:lang w:eastAsia="zh-CN"/>
        </w:rPr>
        <w:t>，推动培训从供给驱动向需求驱动转变</w:t>
      </w:r>
      <w:r>
        <w:rPr>
          <w:rFonts w:hint="default" w:ascii="仿宋_GB2312" w:hAnsi="仿宋_GB2312" w:eastAsia="仿宋_GB2312" w:cs="仿宋_GB2312"/>
          <w:color w:val="auto"/>
          <w:sz w:val="32"/>
          <w:szCs w:val="32"/>
          <w:highlight w:val="none"/>
          <w:u w:val="none"/>
          <w:lang w:eastAsia="zh-CN"/>
        </w:rPr>
        <w:t>。大力实施高技能领军人才培育计划，建设</w:t>
      </w:r>
      <w:r>
        <w:rPr>
          <w:rFonts w:hint="eastAsia" w:ascii="仿宋_GB2312" w:hAnsi="仿宋_GB2312" w:eastAsia="仿宋_GB2312" w:cs="仿宋_GB2312"/>
          <w:color w:val="auto"/>
          <w:sz w:val="32"/>
          <w:szCs w:val="32"/>
          <w:highlight w:val="none"/>
          <w:u w:val="none"/>
          <w:lang w:val="en-US" w:eastAsia="zh-CN"/>
        </w:rPr>
        <w:t>江门市</w:t>
      </w:r>
      <w:r>
        <w:rPr>
          <w:rFonts w:hint="default" w:ascii="仿宋_GB2312" w:hAnsi="仿宋_GB2312" w:eastAsia="仿宋_GB2312" w:cs="仿宋_GB2312"/>
          <w:color w:val="auto"/>
          <w:sz w:val="32"/>
          <w:szCs w:val="32"/>
          <w:highlight w:val="none"/>
          <w:u w:val="none"/>
          <w:lang w:eastAsia="zh-CN"/>
        </w:rPr>
        <w:t>技能大师工作室。推动家政服务职业化建设，开展家政服务职业技能专项培训行动，鼓励家政企业与院校、培训机构合作开发线上培训课程，推进家政培训进社区。</w:t>
      </w:r>
    </w:p>
    <w:p w14:paraId="0A01E0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深化技能人才多元评价机制改革。</w:t>
      </w:r>
      <w:r>
        <w:rPr>
          <w:rFonts w:hint="default" w:ascii="仿宋_GB2312" w:hAnsi="仿宋_GB2312" w:eastAsia="仿宋_GB2312" w:cs="仿宋_GB2312"/>
          <w:color w:val="auto"/>
          <w:sz w:val="32"/>
          <w:szCs w:val="32"/>
          <w:highlight w:val="none"/>
          <w:u w:val="none"/>
          <w:lang w:eastAsia="zh-CN"/>
        </w:rPr>
        <w:t>全面实施</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新八级工</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制度，加强职业技能等级认定载体建设，鼓励用人单位建立健全技能岗位等级设置，</w:t>
      </w:r>
      <w:r>
        <w:rPr>
          <w:rFonts w:hint="eastAsia" w:ascii="仿宋_GB2312" w:hAnsi="仿宋_GB2312" w:eastAsia="仿宋_GB2312" w:cs="仿宋_GB2312"/>
          <w:color w:val="auto"/>
          <w:sz w:val="32"/>
          <w:szCs w:val="32"/>
          <w:highlight w:val="none"/>
          <w:u w:val="none"/>
          <w:lang w:val="en-US" w:eastAsia="zh-CN"/>
        </w:rPr>
        <w:t>发动</w:t>
      </w:r>
      <w:r>
        <w:rPr>
          <w:rFonts w:hint="default" w:ascii="仿宋_GB2312" w:hAnsi="仿宋_GB2312" w:eastAsia="仿宋_GB2312" w:cs="仿宋_GB2312"/>
          <w:color w:val="auto"/>
          <w:sz w:val="32"/>
          <w:szCs w:val="32"/>
          <w:highlight w:val="none"/>
          <w:u w:val="none"/>
          <w:lang w:val="en-US" w:eastAsia="zh-CN"/>
        </w:rPr>
        <w:t>用人单位自主开展职业技能等级认定</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eastAsia="zh-CN"/>
        </w:rPr>
        <w:t>支持有条件的企业</w:t>
      </w:r>
      <w:r>
        <w:rPr>
          <w:rFonts w:hint="eastAsia" w:ascii="仿宋_GB2312" w:hAnsi="仿宋_GB2312" w:eastAsia="仿宋_GB2312" w:cs="仿宋_GB2312"/>
          <w:color w:val="auto"/>
          <w:sz w:val="32"/>
          <w:szCs w:val="32"/>
          <w:highlight w:val="none"/>
          <w:u w:val="none"/>
          <w:lang w:eastAsia="zh-CN"/>
        </w:rPr>
        <w:t>评聘</w:t>
      </w:r>
      <w:r>
        <w:rPr>
          <w:rFonts w:hint="default" w:ascii="仿宋_GB2312" w:hAnsi="仿宋_GB2312" w:eastAsia="仿宋_GB2312" w:cs="仿宋_GB2312"/>
          <w:color w:val="auto"/>
          <w:sz w:val="32"/>
          <w:szCs w:val="32"/>
          <w:highlight w:val="none"/>
          <w:u w:val="none"/>
          <w:lang w:eastAsia="zh-CN"/>
        </w:rPr>
        <w:t>特级技师和首席技师。</w:t>
      </w:r>
      <w:r>
        <w:rPr>
          <w:rFonts w:hint="eastAsia" w:ascii="仿宋_GB2312" w:hAnsi="仿宋_GB2312" w:eastAsia="仿宋_GB2312" w:cs="仿宋_GB2312"/>
          <w:color w:val="auto"/>
          <w:sz w:val="32"/>
          <w:szCs w:val="32"/>
          <w:highlight w:val="none"/>
          <w:u w:val="none"/>
          <w:lang w:eastAsia="zh-CN"/>
        </w:rPr>
        <w:t>结合产业需求</w:t>
      </w:r>
      <w:r>
        <w:rPr>
          <w:rFonts w:hint="eastAsia" w:ascii="仿宋_GB2312" w:hAnsi="仿宋_GB2312" w:eastAsia="仿宋_GB2312" w:cs="仿宋_GB2312"/>
          <w:color w:val="auto"/>
          <w:sz w:val="32"/>
          <w:szCs w:val="32"/>
          <w:highlight w:val="none"/>
          <w:u w:val="none"/>
          <w:lang w:val="en-US" w:eastAsia="zh-CN"/>
        </w:rPr>
        <w:t>推进</w:t>
      </w:r>
      <w:r>
        <w:rPr>
          <w:rFonts w:hint="default" w:ascii="仿宋_GB2312" w:hAnsi="仿宋_GB2312" w:eastAsia="仿宋_GB2312" w:cs="仿宋_GB2312"/>
          <w:color w:val="auto"/>
          <w:sz w:val="32"/>
          <w:szCs w:val="32"/>
          <w:highlight w:val="none"/>
          <w:u w:val="none"/>
          <w:lang w:val="en-US" w:eastAsia="zh-CN"/>
        </w:rPr>
        <w:t>新职业工种开发。</w:t>
      </w:r>
      <w:r>
        <w:rPr>
          <w:rFonts w:hint="default" w:ascii="仿宋_GB2312" w:hAnsi="仿宋_GB2312" w:eastAsia="仿宋_GB2312" w:cs="仿宋_GB2312"/>
          <w:color w:val="auto"/>
          <w:sz w:val="32"/>
          <w:szCs w:val="32"/>
          <w:highlight w:val="none"/>
          <w:u w:val="none"/>
          <w:lang w:eastAsia="zh-CN"/>
        </w:rPr>
        <w:t>实施专业技术和职业技能双贯通计划。强化技能人才评价全链条监管</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健全评价活动、实施、监管和退出机制。</w:t>
      </w:r>
    </w:p>
    <w:p w14:paraId="71C888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推动职业技能竞赛成果转化应用。</w:t>
      </w:r>
      <w:r>
        <w:rPr>
          <w:rFonts w:hint="default" w:ascii="仿宋_GB2312" w:hAnsi="仿宋_GB2312" w:eastAsia="仿宋_GB2312" w:cs="仿宋_GB2312"/>
          <w:color w:val="auto"/>
          <w:sz w:val="32"/>
          <w:szCs w:val="32"/>
          <w:highlight w:val="none"/>
          <w:u w:val="none"/>
          <w:lang w:val="en-US" w:eastAsia="zh-CN"/>
        </w:rPr>
        <w:t>实施</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以赛促培</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行动，</w:t>
      </w:r>
      <w:r>
        <w:rPr>
          <w:rFonts w:hint="default" w:ascii="仿宋_GB2312" w:hAnsi="仿宋_GB2312" w:eastAsia="仿宋_GB2312" w:cs="仿宋_GB2312"/>
          <w:color w:val="auto"/>
          <w:sz w:val="32"/>
          <w:szCs w:val="32"/>
          <w:highlight w:val="none"/>
          <w:u w:val="none"/>
          <w:lang w:eastAsia="zh-CN"/>
        </w:rPr>
        <w:t>积极参加国家、省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江门市</w:t>
      </w:r>
      <w:r>
        <w:rPr>
          <w:rFonts w:hint="default" w:ascii="仿宋_GB2312" w:hAnsi="仿宋_GB2312" w:eastAsia="仿宋_GB2312" w:cs="仿宋_GB2312"/>
          <w:color w:val="auto"/>
          <w:sz w:val="32"/>
          <w:szCs w:val="32"/>
          <w:highlight w:val="none"/>
          <w:u w:val="none"/>
          <w:lang w:eastAsia="zh-CN"/>
        </w:rPr>
        <w:t>职业技能大赛，</w:t>
      </w:r>
      <w:r>
        <w:rPr>
          <w:rFonts w:hint="default" w:ascii="仿宋_GB2312" w:hAnsi="仿宋_GB2312" w:eastAsia="仿宋_GB2312" w:cs="仿宋_GB2312"/>
          <w:color w:val="auto"/>
          <w:sz w:val="32"/>
          <w:szCs w:val="32"/>
          <w:highlight w:val="none"/>
          <w:u w:val="none"/>
          <w:lang w:val="en-US" w:eastAsia="zh-CN"/>
        </w:rPr>
        <w:t>发动行业、企业、院校练兵比武</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val="en-US" w:eastAsia="zh-CN"/>
        </w:rPr>
        <w:t>打造产业特色竞赛品牌，支持重点行业领域、行业主管部门、社会组织开展职业技能竞赛</w:t>
      </w:r>
      <w:r>
        <w:rPr>
          <w:rFonts w:hint="default" w:ascii="仿宋_GB2312" w:hAnsi="仿宋_GB2312" w:eastAsia="仿宋_GB2312" w:cs="仿宋_GB2312"/>
          <w:color w:val="auto"/>
          <w:sz w:val="32"/>
          <w:szCs w:val="32"/>
          <w:highlight w:val="none"/>
          <w:u w:val="none"/>
          <w:lang w:eastAsia="zh-CN"/>
        </w:rPr>
        <w:t>。组织竞赛成果转化课题研究、资源开发</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加强竞赛成果转化经验总结及宣传推广，全面推动竞赛成果在</w:t>
      </w:r>
      <w:r>
        <w:rPr>
          <w:rFonts w:hint="eastAsia" w:ascii="仿宋_GB2312" w:hAnsi="仿宋_GB2312" w:eastAsia="仿宋_GB2312" w:cs="仿宋_GB2312"/>
          <w:color w:val="auto"/>
          <w:sz w:val="32"/>
          <w:szCs w:val="32"/>
          <w:highlight w:val="none"/>
          <w:u w:val="none"/>
          <w:lang w:val="en-US" w:eastAsia="zh-CN"/>
        </w:rPr>
        <w:t>职业</w:t>
      </w:r>
      <w:r>
        <w:rPr>
          <w:rFonts w:hint="default" w:ascii="仿宋_GB2312" w:hAnsi="仿宋_GB2312" w:eastAsia="仿宋_GB2312" w:cs="仿宋_GB2312"/>
          <w:color w:val="auto"/>
          <w:sz w:val="32"/>
          <w:szCs w:val="32"/>
          <w:highlight w:val="none"/>
          <w:u w:val="none"/>
          <w:lang w:eastAsia="zh-CN"/>
        </w:rPr>
        <w:t>教育高质量发展、产业技术升级、高技能人才培养等领域的转化应用。</w:t>
      </w:r>
    </w:p>
    <w:p w14:paraId="15B8EB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构建共建共享共育技能筑梦体系。</w:t>
      </w:r>
      <w:r>
        <w:rPr>
          <w:rFonts w:hint="default" w:ascii="仿宋_GB2312" w:hAnsi="仿宋_GB2312" w:eastAsia="仿宋_GB2312" w:cs="仿宋_GB2312"/>
          <w:color w:val="auto"/>
          <w:sz w:val="32"/>
          <w:szCs w:val="32"/>
          <w:highlight w:val="none"/>
          <w:u w:val="none"/>
          <w:lang w:val="en-US" w:eastAsia="zh-CN"/>
        </w:rPr>
        <w:t>以产业链链主企业、行业龙头企业、专精特新中小企业为主体，推动企业加大培养投入。</w:t>
      </w:r>
      <w:r>
        <w:rPr>
          <w:rFonts w:hint="eastAsia" w:ascii="仿宋_GB2312" w:hAnsi="仿宋_GB2312" w:eastAsia="仿宋_GB2312" w:cs="仿宋_GB2312"/>
          <w:color w:val="auto"/>
          <w:sz w:val="32"/>
          <w:szCs w:val="32"/>
          <w:highlight w:val="none"/>
          <w:u w:val="none"/>
          <w:lang w:val="en-US" w:eastAsia="zh-CN"/>
        </w:rPr>
        <w:t>面向</w:t>
      </w:r>
      <w:r>
        <w:rPr>
          <w:rFonts w:hint="default" w:ascii="仿宋_GB2312" w:hAnsi="仿宋_GB2312" w:eastAsia="仿宋_GB2312" w:cs="仿宋_GB2312"/>
          <w:color w:val="auto"/>
          <w:sz w:val="32"/>
          <w:szCs w:val="32"/>
          <w:highlight w:val="none"/>
          <w:u w:val="none"/>
          <w:lang w:val="en-US" w:eastAsia="zh-CN"/>
        </w:rPr>
        <w:t>社会提供公益性和低成本的公共实训资源，</w:t>
      </w:r>
      <w:r>
        <w:rPr>
          <w:rFonts w:hint="eastAsia" w:ascii="仿宋_GB2312" w:hAnsi="仿宋_GB2312" w:eastAsia="仿宋_GB2312" w:cs="仿宋_GB2312"/>
          <w:color w:val="auto"/>
          <w:sz w:val="32"/>
          <w:szCs w:val="32"/>
          <w:highlight w:val="none"/>
          <w:u w:val="none"/>
          <w:lang w:val="en-US" w:eastAsia="zh-CN"/>
        </w:rPr>
        <w:t>为</w:t>
      </w:r>
      <w:r>
        <w:rPr>
          <w:rFonts w:hint="eastAsia" w:ascii="仿宋_GB2312" w:hAnsi="仿宋_GB2312" w:eastAsia="仿宋_GB2312" w:cs="仿宋_GB2312"/>
          <w:color w:val="auto"/>
          <w:sz w:val="32"/>
          <w:szCs w:val="32"/>
          <w:highlight w:val="none"/>
          <w:u w:val="none"/>
          <w:lang w:eastAsia="zh-CN"/>
        </w:rPr>
        <w:t>高校</w:t>
      </w:r>
      <w:r>
        <w:rPr>
          <w:rFonts w:hint="default" w:ascii="仿宋_GB2312" w:hAnsi="仿宋_GB2312" w:eastAsia="仿宋_GB2312" w:cs="仿宋_GB2312"/>
          <w:color w:val="auto"/>
          <w:sz w:val="32"/>
          <w:szCs w:val="32"/>
          <w:highlight w:val="none"/>
          <w:u w:val="none"/>
          <w:lang w:eastAsia="zh-CN"/>
        </w:rPr>
        <w:t>毕业生、退役</w:t>
      </w:r>
      <w:r>
        <w:rPr>
          <w:rFonts w:hint="eastAsia" w:ascii="仿宋_GB2312" w:hAnsi="仿宋_GB2312" w:eastAsia="仿宋_GB2312" w:cs="仿宋_GB2312"/>
          <w:color w:val="auto"/>
          <w:sz w:val="32"/>
          <w:szCs w:val="32"/>
          <w:highlight w:val="none"/>
          <w:u w:val="none"/>
          <w:lang w:eastAsia="zh-CN"/>
        </w:rPr>
        <w:t>军人</w:t>
      </w:r>
      <w:r>
        <w:rPr>
          <w:rFonts w:hint="default" w:ascii="仿宋_GB2312" w:hAnsi="仿宋_GB2312" w:eastAsia="仿宋_GB2312" w:cs="仿宋_GB2312"/>
          <w:color w:val="auto"/>
          <w:sz w:val="32"/>
          <w:szCs w:val="32"/>
          <w:highlight w:val="none"/>
          <w:u w:val="none"/>
          <w:lang w:eastAsia="zh-CN"/>
        </w:rPr>
        <w:t>、就业困难人员等</w:t>
      </w:r>
      <w:r>
        <w:rPr>
          <w:rFonts w:hint="eastAsia" w:ascii="仿宋_GB2312" w:hAnsi="仿宋_GB2312" w:eastAsia="仿宋_GB2312" w:cs="仿宋_GB2312"/>
          <w:color w:val="auto"/>
          <w:sz w:val="32"/>
          <w:szCs w:val="32"/>
          <w:highlight w:val="none"/>
          <w:u w:val="none"/>
          <w:lang w:eastAsia="zh-CN"/>
        </w:rPr>
        <w:t>重点人群提供公益</w:t>
      </w:r>
      <w:r>
        <w:rPr>
          <w:rFonts w:hint="default" w:ascii="仿宋_GB2312" w:hAnsi="仿宋_GB2312" w:eastAsia="仿宋_GB2312" w:cs="仿宋_GB2312"/>
          <w:color w:val="auto"/>
          <w:sz w:val="32"/>
          <w:szCs w:val="32"/>
          <w:highlight w:val="none"/>
          <w:u w:val="none"/>
          <w:lang w:eastAsia="zh-CN"/>
        </w:rPr>
        <w:t>技能培训服务。</w:t>
      </w:r>
      <w:r>
        <w:rPr>
          <w:rFonts w:hint="eastAsia" w:ascii="仿宋_GB2312" w:hAnsi="仿宋_GB2312" w:eastAsia="仿宋_GB2312" w:cs="仿宋_GB2312"/>
          <w:color w:val="auto"/>
          <w:sz w:val="32"/>
          <w:szCs w:val="32"/>
          <w:highlight w:val="none"/>
          <w:u w:val="none"/>
          <w:lang w:val="en-US" w:eastAsia="zh-CN"/>
        </w:rPr>
        <w:t>积极参与“</w:t>
      </w:r>
      <w:r>
        <w:rPr>
          <w:rFonts w:hint="default" w:ascii="仿宋_GB2312" w:hAnsi="仿宋_GB2312" w:eastAsia="仿宋_GB2312" w:cs="仿宋_GB2312"/>
          <w:color w:val="auto"/>
          <w:sz w:val="32"/>
          <w:szCs w:val="32"/>
          <w:highlight w:val="none"/>
          <w:u w:val="none"/>
          <w:lang w:val="en-US" w:eastAsia="zh-CN"/>
        </w:rPr>
        <w:t>侨都工匠</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评选，</w:t>
      </w:r>
      <w:r>
        <w:rPr>
          <w:rFonts w:hint="default" w:ascii="仿宋_GB2312" w:hAnsi="仿宋_GB2312" w:eastAsia="仿宋_GB2312" w:cs="仿宋_GB2312"/>
          <w:color w:val="auto"/>
          <w:sz w:val="32"/>
          <w:szCs w:val="32"/>
          <w:highlight w:val="none"/>
          <w:u w:val="none"/>
          <w:lang w:eastAsia="zh-CN"/>
        </w:rPr>
        <w:t>将劳模精神、劳动精神、工匠精神融入技能人才培养始终，营造技能成才、技能就业的社会氛围，涵养有利于技能人才成长成才的社会环境。</w:t>
      </w:r>
    </w:p>
    <w:p w14:paraId="5E52059A">
      <w:pPr>
        <w:pStyle w:val="2"/>
        <w:rPr>
          <w:rFonts w:hint="eastAsia"/>
        </w:rPr>
      </w:pPr>
    </w:p>
    <w:tbl>
      <w:tblPr>
        <w:tblStyle w:val="11"/>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14:paraId="7EC9E91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99" w:hRule="atLeast"/>
          <w:jc w:val="center"/>
        </w:trPr>
        <w:tc>
          <w:tcPr>
            <w:tcW w:w="8880" w:type="dxa"/>
            <w:tcBorders>
              <w:top w:val="outset" w:color="000000" w:sz="6" w:space="0"/>
              <w:left w:val="outset" w:color="000000" w:sz="6" w:space="0"/>
              <w:bottom w:val="outset" w:color="000000" w:sz="6" w:space="0"/>
              <w:right w:val="outset" w:color="000000" w:sz="6" w:space="0"/>
            </w:tcBorders>
            <w:shd w:val="clear" w:color="auto" w:fill="FFCC00"/>
            <w:noWrap w:val="0"/>
            <w:vAlign w:val="center"/>
          </w:tcPr>
          <w:p w14:paraId="5EBFC112">
            <w:pPr>
              <w:widowControl/>
              <w:spacing w:line="360" w:lineRule="exact"/>
              <w:jc w:val="center"/>
              <w:rPr>
                <w:rFonts w:hint="default" w:ascii="Times New Roman" w:hAnsi="Times New Roman" w:eastAsia="黑体" w:cs="Times New Roman"/>
                <w:color w:val="auto"/>
                <w:kern w:val="0"/>
                <w:sz w:val="28"/>
                <w:szCs w:val="28"/>
                <w:highlight w:val="none"/>
                <w:u w:val="none" w:color="auto"/>
                <w:lang w:val="en-US"/>
              </w:rPr>
            </w:pPr>
            <w:r>
              <w:rPr>
                <w:rFonts w:hint="eastAsia" w:ascii="黑体" w:hAnsi="黑体" w:eastAsia="黑体" w:cs="黑体"/>
                <w:b w:val="0"/>
                <w:bCs/>
                <w:color w:val="auto"/>
                <w:kern w:val="0"/>
                <w:sz w:val="32"/>
                <w:szCs w:val="32"/>
                <w:highlight w:val="none"/>
                <w:u w:val="none" w:color="auto"/>
              </w:rPr>
              <w:t>专栏 　</w:t>
            </w:r>
            <w:r>
              <w:rPr>
                <w:rFonts w:hint="eastAsia" w:ascii="黑体" w:hAnsi="黑体" w:eastAsia="黑体" w:cs="黑体"/>
                <w:b w:val="0"/>
                <w:bCs/>
                <w:color w:val="auto"/>
                <w:kern w:val="0"/>
                <w:sz w:val="32"/>
                <w:szCs w:val="32"/>
                <w:highlight w:val="none"/>
                <w:u w:val="none" w:color="auto"/>
                <w:lang w:val="en-US" w:eastAsia="zh-CN"/>
              </w:rPr>
              <w:t>配合</w:t>
            </w:r>
            <w:r>
              <w:rPr>
                <w:rFonts w:hint="eastAsia" w:ascii="黑体" w:hAnsi="黑体" w:eastAsia="黑体" w:cs="黑体"/>
                <w:b w:val="0"/>
                <w:bCs/>
                <w:color w:val="auto"/>
                <w:kern w:val="0"/>
                <w:sz w:val="32"/>
                <w:szCs w:val="32"/>
                <w:highlight w:val="none"/>
                <w:u w:val="none" w:color="auto"/>
              </w:rPr>
              <w:t>实施</w:t>
            </w:r>
            <w:r>
              <w:rPr>
                <w:rFonts w:hint="eastAsia" w:ascii="黑体" w:hAnsi="黑体" w:eastAsia="黑体" w:cs="黑体"/>
                <w:b w:val="0"/>
                <w:bCs/>
                <w:color w:val="auto"/>
                <w:kern w:val="0"/>
                <w:sz w:val="32"/>
                <w:szCs w:val="32"/>
                <w:highlight w:val="none"/>
                <w:u w:val="none" w:color="auto"/>
                <w:lang w:eastAsia="zh-CN"/>
              </w:rPr>
              <w:t>“</w:t>
            </w:r>
            <w:r>
              <w:rPr>
                <w:rFonts w:hint="eastAsia" w:ascii="黑体" w:hAnsi="黑体" w:eastAsia="黑体" w:cs="黑体"/>
                <w:b w:val="0"/>
                <w:bCs/>
                <w:color w:val="auto"/>
                <w:kern w:val="0"/>
                <w:sz w:val="32"/>
                <w:szCs w:val="32"/>
                <w:highlight w:val="none"/>
                <w:u w:val="none" w:color="auto"/>
                <w:lang w:val="en-US" w:eastAsia="zh-CN"/>
              </w:rPr>
              <w:t>技能照亮前程  人才赋能产业</w:t>
            </w:r>
            <w:r>
              <w:rPr>
                <w:rFonts w:hint="eastAsia" w:ascii="黑体" w:hAnsi="黑体" w:eastAsia="黑体" w:cs="黑体"/>
                <w:b w:val="0"/>
                <w:bCs/>
                <w:color w:val="auto"/>
                <w:kern w:val="0"/>
                <w:sz w:val="32"/>
                <w:szCs w:val="32"/>
                <w:highlight w:val="none"/>
                <w:u w:val="none" w:color="auto"/>
                <w:lang w:eastAsia="zh-CN"/>
              </w:rPr>
              <w:t>”</w:t>
            </w:r>
            <w:r>
              <w:rPr>
                <w:rFonts w:hint="eastAsia" w:ascii="黑体" w:hAnsi="黑体" w:eastAsia="黑体" w:cs="黑体"/>
                <w:b w:val="0"/>
                <w:bCs/>
                <w:color w:val="auto"/>
                <w:kern w:val="0"/>
                <w:sz w:val="32"/>
                <w:szCs w:val="32"/>
                <w:highlight w:val="none"/>
                <w:u w:val="none" w:color="auto"/>
                <w:lang w:val="en-US" w:eastAsia="zh-CN"/>
              </w:rPr>
              <w:t>行动</w:t>
            </w:r>
          </w:p>
        </w:tc>
      </w:tr>
      <w:tr w14:paraId="6D0390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44" w:hRule="atLeast"/>
          <w:jc w:val="center"/>
        </w:trPr>
        <w:tc>
          <w:tcPr>
            <w:tcW w:w="8880" w:type="dxa"/>
            <w:tcBorders>
              <w:top w:val="outset" w:color="000000" w:sz="6" w:space="0"/>
              <w:left w:val="outset" w:color="000000" w:sz="6" w:space="0"/>
              <w:bottom w:val="outset" w:color="000000" w:sz="6" w:space="0"/>
              <w:right w:val="outset" w:color="000000" w:sz="6" w:space="0"/>
            </w:tcBorders>
            <w:noWrap w:val="0"/>
            <w:vAlign w:val="center"/>
          </w:tcPr>
          <w:p w14:paraId="09709A19">
            <w:pPr>
              <w:spacing w:line="400" w:lineRule="exact"/>
              <w:ind w:firstLine="560" w:firstLineChars="200"/>
              <w:rPr>
                <w:rFonts w:hint="default" w:ascii="Times New Roman" w:hAnsi="Times New Roman" w:cs="Times New Roman"/>
                <w:color w:val="auto"/>
                <w:highlight w:val="none"/>
                <w:u w:val="none" w:color="auto"/>
              </w:rPr>
            </w:pPr>
            <w:r>
              <w:rPr>
                <w:rFonts w:hint="eastAsia" w:ascii="仿宋_GB2312" w:hAnsi="仿宋_GB2312" w:eastAsia="仿宋_GB2312" w:cs="仿宋_GB2312"/>
                <w:color w:val="auto"/>
                <w:sz w:val="28"/>
                <w:szCs w:val="28"/>
                <w:highlight w:val="none"/>
                <w:u w:val="none"/>
                <w:lang w:val="en-US" w:eastAsia="zh-CN"/>
              </w:rPr>
              <w:t>针对产业园区主导产业开展校企合作</w:t>
            </w:r>
            <w:r>
              <w:rPr>
                <w:rFonts w:hint="default"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val="en-US" w:eastAsia="zh-CN"/>
              </w:rPr>
              <w:t>联合江门市内外职业技工院校为企业新技能、新工种培养新型学徒</w:t>
            </w:r>
            <w:r>
              <w:rPr>
                <w:rFonts w:hint="default"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val="en-US" w:eastAsia="zh-CN"/>
              </w:rPr>
              <w:t>每年</w:t>
            </w:r>
            <w:r>
              <w:rPr>
                <w:rFonts w:hint="default" w:ascii="仿宋_GB2312" w:hAnsi="仿宋_GB2312" w:eastAsia="仿宋_GB2312" w:cs="仿宋_GB2312"/>
                <w:color w:val="auto"/>
                <w:sz w:val="28"/>
                <w:szCs w:val="28"/>
                <w:highlight w:val="none"/>
                <w:u w:val="none"/>
                <w:lang w:val="en-US" w:eastAsia="zh-CN"/>
              </w:rPr>
              <w:t>开展学徒制培养</w:t>
            </w:r>
            <w:r>
              <w:rPr>
                <w:rFonts w:hint="eastAsia" w:ascii="仿宋_GB2312" w:hAnsi="仿宋_GB2312" w:eastAsia="仿宋_GB2312" w:cs="仿宋_GB2312"/>
                <w:color w:val="auto"/>
                <w:sz w:val="28"/>
                <w:szCs w:val="28"/>
                <w:highlight w:val="none"/>
                <w:u w:val="none"/>
                <w:lang w:val="en-US" w:eastAsia="zh-CN"/>
              </w:rPr>
              <w:t>不少于       100</w:t>
            </w:r>
            <w:r>
              <w:rPr>
                <w:rFonts w:hint="default" w:ascii="仿宋_GB2312" w:hAnsi="仿宋_GB2312" w:eastAsia="仿宋_GB2312" w:cs="仿宋_GB2312"/>
                <w:color w:val="auto"/>
                <w:sz w:val="28"/>
                <w:szCs w:val="28"/>
                <w:highlight w:val="none"/>
                <w:u w:val="none"/>
                <w:lang w:val="en-US" w:eastAsia="zh-CN"/>
              </w:rPr>
              <w:t>人次。深化实施“园区技校”项目，每年服务不少于50家次企业，培训产业技术工人不少于500人次</w:t>
            </w:r>
            <w:r>
              <w:rPr>
                <w:rFonts w:hint="eastAsia" w:ascii="仿宋_GB2312" w:hAnsi="仿宋_GB2312" w:eastAsia="仿宋_GB2312" w:cs="仿宋_GB2312"/>
                <w:color w:val="auto"/>
                <w:sz w:val="28"/>
                <w:szCs w:val="28"/>
                <w:highlight w:val="none"/>
                <w:u w:val="none"/>
                <w:lang w:val="en-US" w:eastAsia="zh-CN"/>
              </w:rPr>
              <w:t>。</w:t>
            </w:r>
          </w:p>
        </w:tc>
      </w:tr>
    </w:tbl>
    <w:p w14:paraId="4E5F95B1">
      <w:pPr>
        <w:ind w:firstLine="320" w:firstLineChars="100"/>
        <w:jc w:val="center"/>
        <w:rPr>
          <w:rFonts w:hint="eastAsia" w:ascii="楷体_GB2312" w:hAnsi="楷体_GB2312" w:eastAsia="楷体_GB2312" w:cs="楷体_GB2312"/>
          <w:color w:val="auto"/>
          <w:sz w:val="32"/>
          <w:szCs w:val="32"/>
          <w:highlight w:val="none"/>
          <w:lang w:val="en-US" w:eastAsia="zh-CN"/>
        </w:rPr>
      </w:pPr>
    </w:p>
    <w:p w14:paraId="0D7521D6">
      <w:pPr>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default" w:ascii="楷体_GB2312" w:hAnsi="楷体_GB2312" w:eastAsia="楷体_GB2312" w:cs="楷体_GB2312"/>
          <w:color w:val="auto"/>
          <w:sz w:val="32"/>
          <w:szCs w:val="32"/>
          <w:highlight w:val="none"/>
          <w:lang w:val="en-US" w:eastAsia="zh-CN"/>
        </w:rPr>
      </w:pPr>
      <w:bookmarkStart w:id="78" w:name="_Toc26260"/>
      <w:bookmarkStart w:id="79" w:name="_Toc7693"/>
      <w:bookmarkStart w:id="80" w:name="_Toc18075"/>
      <w:r>
        <w:rPr>
          <w:rFonts w:hint="eastAsia" w:ascii="楷体_GB2312" w:hAnsi="楷体_GB2312" w:eastAsia="楷体_GB2312" w:cs="楷体_GB2312"/>
          <w:color w:val="auto"/>
          <w:sz w:val="32"/>
          <w:szCs w:val="32"/>
          <w:highlight w:val="none"/>
          <w:lang w:val="en-US" w:eastAsia="zh-CN"/>
        </w:rPr>
        <w:t>第三节 深化事业单位人事制度改革</w:t>
      </w:r>
      <w:bookmarkEnd w:id="78"/>
      <w:bookmarkEnd w:id="79"/>
      <w:bookmarkEnd w:id="80"/>
    </w:p>
    <w:p w14:paraId="272F59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完善岗位设置管理。</w:t>
      </w:r>
      <w:r>
        <w:rPr>
          <w:rFonts w:hint="default" w:ascii="仿宋_GB2312" w:hAnsi="仿宋_GB2312" w:eastAsia="仿宋_GB2312" w:cs="仿宋_GB2312"/>
          <w:color w:val="auto"/>
          <w:sz w:val="32"/>
          <w:szCs w:val="32"/>
          <w:highlight w:val="none"/>
          <w:u w:val="none"/>
          <w:lang w:eastAsia="zh-CN"/>
        </w:rPr>
        <w:t>完善事业单位岗位设置动态调整机制，优化事业单位中高级专业技术岗位结构比例。建立事业单位岗位统筹调剂机制，</w:t>
      </w:r>
      <w:r>
        <w:rPr>
          <w:rFonts w:hint="eastAsia" w:ascii="仿宋_GB2312" w:hAnsi="仿宋_GB2312" w:eastAsia="仿宋_GB2312" w:cs="仿宋_GB2312"/>
          <w:color w:val="auto"/>
          <w:sz w:val="32"/>
          <w:szCs w:val="32"/>
          <w:highlight w:val="none"/>
          <w:u w:val="none"/>
          <w:lang w:eastAsia="zh-CN"/>
        </w:rPr>
        <w:t>结合我市教育集团和医共体建设推进步伐，</w:t>
      </w:r>
      <w:r>
        <w:rPr>
          <w:rFonts w:hint="default" w:ascii="仿宋_GB2312" w:hAnsi="仿宋_GB2312" w:eastAsia="仿宋_GB2312" w:cs="仿宋_GB2312"/>
          <w:color w:val="auto"/>
          <w:sz w:val="32"/>
          <w:szCs w:val="32"/>
          <w:highlight w:val="none"/>
          <w:u w:val="none"/>
          <w:lang w:eastAsia="zh-CN"/>
        </w:rPr>
        <w:t>重点围绕教育系统县管校聘、医疗卫生系统县管镇聘村用等用人改革事项</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落实聘用合同管理</w:t>
      </w:r>
      <w:r>
        <w:rPr>
          <w:rFonts w:hint="eastAsia" w:ascii="仿宋_GB2312" w:hAnsi="仿宋_GB2312" w:eastAsia="仿宋_GB2312" w:cs="仿宋_GB2312"/>
          <w:color w:val="auto"/>
          <w:sz w:val="32"/>
          <w:szCs w:val="32"/>
          <w:highlight w:val="none"/>
          <w:u w:val="none"/>
          <w:lang w:eastAsia="zh-CN"/>
        </w:rPr>
        <w:t>政策</w:t>
      </w:r>
      <w:r>
        <w:rPr>
          <w:rFonts w:hint="default" w:ascii="仿宋_GB2312" w:hAnsi="仿宋_GB2312" w:eastAsia="仿宋_GB2312" w:cs="仿宋_GB2312"/>
          <w:color w:val="auto"/>
          <w:sz w:val="32"/>
          <w:szCs w:val="32"/>
          <w:highlight w:val="none"/>
          <w:u w:val="none"/>
          <w:lang w:eastAsia="zh-CN"/>
        </w:rPr>
        <w:t>，规范岗位聘用。支持科研类事业单位科研人员开展创新创业活动。</w:t>
      </w:r>
    </w:p>
    <w:p w14:paraId="67C753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规范公开招聘工作。</w:t>
      </w:r>
      <w:r>
        <w:rPr>
          <w:rFonts w:hint="default" w:ascii="仿宋_GB2312" w:hAnsi="仿宋_GB2312" w:eastAsia="仿宋_GB2312" w:cs="仿宋_GB2312"/>
          <w:color w:val="auto"/>
          <w:sz w:val="32"/>
          <w:szCs w:val="32"/>
          <w:highlight w:val="none"/>
          <w:u w:val="none"/>
          <w:lang w:eastAsia="zh-CN"/>
        </w:rPr>
        <w:t>严格落实国家</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江门市</w:t>
      </w:r>
      <w:r>
        <w:rPr>
          <w:rFonts w:hint="default" w:ascii="仿宋_GB2312" w:hAnsi="仿宋_GB2312" w:eastAsia="仿宋_GB2312" w:cs="仿宋_GB2312"/>
          <w:color w:val="auto"/>
          <w:sz w:val="32"/>
          <w:szCs w:val="32"/>
          <w:highlight w:val="none"/>
          <w:u w:val="none"/>
          <w:lang w:eastAsia="zh-CN"/>
        </w:rPr>
        <w:t>的事业单位公开招聘规定，完善公开招聘工作</w:t>
      </w:r>
      <w:r>
        <w:rPr>
          <w:rFonts w:hint="eastAsia" w:ascii="仿宋_GB2312" w:hAnsi="仿宋_GB2312" w:eastAsia="仿宋_GB2312" w:cs="仿宋_GB2312"/>
          <w:color w:val="auto"/>
          <w:sz w:val="32"/>
          <w:szCs w:val="32"/>
          <w:highlight w:val="none"/>
          <w:u w:val="none"/>
          <w:lang w:eastAsia="zh-CN"/>
        </w:rPr>
        <w:t>流程和组织方式。</w:t>
      </w:r>
      <w:r>
        <w:rPr>
          <w:rFonts w:hint="eastAsia" w:ascii="仿宋_GB2312" w:hAnsi="仿宋_GB2312" w:eastAsia="仿宋_GB2312" w:cs="仿宋_GB2312"/>
          <w:color w:val="auto"/>
          <w:sz w:val="32"/>
          <w:szCs w:val="32"/>
          <w:highlight w:val="none"/>
          <w:u w:val="none"/>
          <w:lang w:val="en-US" w:eastAsia="zh-CN"/>
        </w:rPr>
        <w:t>配合</w:t>
      </w:r>
      <w:r>
        <w:rPr>
          <w:rFonts w:hint="default" w:ascii="仿宋_GB2312" w:hAnsi="仿宋_GB2312" w:eastAsia="仿宋_GB2312" w:cs="仿宋_GB2312"/>
          <w:color w:val="auto"/>
          <w:sz w:val="32"/>
          <w:szCs w:val="32"/>
          <w:highlight w:val="none"/>
          <w:u w:val="none"/>
          <w:lang w:eastAsia="zh-CN"/>
        </w:rPr>
        <w:t>建立高层次人才和急需紧缺人才目录动态更新机制，完善事业单位采用直接业务考核方式精准引进高层次人才、急需紧缺人才工作指引。</w:t>
      </w:r>
    </w:p>
    <w:p w14:paraId="7C38A1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b/>
          <w:bCs/>
          <w:color w:val="auto"/>
          <w:sz w:val="32"/>
          <w:szCs w:val="32"/>
          <w:highlight w:val="none"/>
          <w:u w:val="none"/>
          <w:lang w:eastAsia="zh-CN"/>
        </w:rPr>
        <w:t>畅通人员交流渠道。</w:t>
      </w:r>
      <w:r>
        <w:rPr>
          <w:rFonts w:hint="default" w:ascii="仿宋_GB2312" w:hAnsi="仿宋_GB2312" w:eastAsia="仿宋_GB2312" w:cs="仿宋_GB2312"/>
          <w:color w:val="auto"/>
          <w:sz w:val="32"/>
          <w:szCs w:val="32"/>
          <w:highlight w:val="none"/>
          <w:u w:val="none"/>
          <w:lang w:eastAsia="zh-CN"/>
        </w:rPr>
        <w:t>按照国家</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江门市</w:t>
      </w:r>
      <w:r>
        <w:rPr>
          <w:rFonts w:hint="default" w:ascii="仿宋_GB2312" w:hAnsi="仿宋_GB2312" w:eastAsia="仿宋_GB2312" w:cs="仿宋_GB2312"/>
          <w:color w:val="auto"/>
          <w:sz w:val="32"/>
          <w:szCs w:val="32"/>
          <w:highlight w:val="none"/>
          <w:u w:val="none"/>
          <w:lang w:eastAsia="zh-CN"/>
        </w:rPr>
        <w:t>有关人才交流的政策，完善事业单位工作人员有序流动机制，</w:t>
      </w:r>
      <w:r>
        <w:rPr>
          <w:rFonts w:hint="eastAsia" w:ascii="仿宋_GB2312" w:hAnsi="仿宋_GB2312" w:eastAsia="仿宋_GB2312" w:cs="仿宋_GB2312"/>
          <w:color w:val="auto"/>
          <w:sz w:val="32"/>
          <w:szCs w:val="32"/>
          <w:highlight w:val="none"/>
          <w:u w:val="none"/>
          <w:lang w:eastAsia="zh-CN"/>
        </w:rPr>
        <w:t>研究</w:t>
      </w:r>
      <w:r>
        <w:rPr>
          <w:rFonts w:hint="default" w:ascii="仿宋_GB2312" w:hAnsi="仿宋_GB2312" w:eastAsia="仿宋_GB2312" w:cs="仿宋_GB2312"/>
          <w:color w:val="auto"/>
          <w:sz w:val="32"/>
          <w:szCs w:val="32"/>
          <w:highlight w:val="none"/>
          <w:u w:val="none"/>
          <w:lang w:eastAsia="zh-CN"/>
        </w:rPr>
        <w:t>畅通不同财政拨款方式、不同层级、不同地域、不同部门、不同类型单位工作人员交流渠道。探索开展基层事业单位人员通过遴选方式从下往上交流工作。</w:t>
      </w:r>
    </w:p>
    <w:p w14:paraId="6CBECE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highlight w:val="none"/>
        </w:rPr>
      </w:pPr>
      <w:r>
        <w:rPr>
          <w:rFonts w:hint="default" w:ascii="仿宋_GB2312" w:hAnsi="仿宋_GB2312" w:eastAsia="仿宋_GB2312" w:cs="仿宋_GB2312"/>
          <w:b/>
          <w:bCs/>
          <w:color w:val="auto"/>
          <w:sz w:val="32"/>
          <w:szCs w:val="32"/>
          <w:highlight w:val="none"/>
          <w:u w:val="none"/>
          <w:lang w:eastAsia="zh-CN"/>
        </w:rPr>
        <w:t>深化人事管理</w:t>
      </w:r>
      <w:r>
        <w:rPr>
          <w:rFonts w:hint="eastAsia" w:ascii="仿宋_GB2312" w:hAnsi="仿宋_GB2312" w:eastAsia="仿宋_GB2312" w:cs="仿宋_GB2312"/>
          <w:b/>
          <w:bCs/>
          <w:color w:val="auto"/>
          <w:sz w:val="32"/>
          <w:szCs w:val="32"/>
          <w:highlight w:val="none"/>
          <w:u w:val="none"/>
          <w:lang w:eastAsia="zh-CN"/>
        </w:rPr>
        <w:t>“</w:t>
      </w:r>
      <w:r>
        <w:rPr>
          <w:rFonts w:hint="default" w:ascii="仿宋_GB2312" w:hAnsi="仿宋_GB2312" w:eastAsia="仿宋_GB2312" w:cs="仿宋_GB2312"/>
          <w:b/>
          <w:bCs/>
          <w:color w:val="auto"/>
          <w:sz w:val="32"/>
          <w:szCs w:val="32"/>
          <w:highlight w:val="none"/>
          <w:u w:val="none"/>
          <w:lang w:eastAsia="zh-CN"/>
        </w:rPr>
        <w:t>放管服</w:t>
      </w:r>
      <w:r>
        <w:rPr>
          <w:rFonts w:hint="eastAsia" w:ascii="仿宋_GB2312" w:hAnsi="仿宋_GB2312" w:eastAsia="仿宋_GB2312" w:cs="仿宋_GB2312"/>
          <w:b/>
          <w:bCs/>
          <w:color w:val="auto"/>
          <w:sz w:val="32"/>
          <w:szCs w:val="32"/>
          <w:highlight w:val="none"/>
          <w:u w:val="none"/>
          <w:lang w:eastAsia="zh-CN"/>
        </w:rPr>
        <w:t>”</w:t>
      </w:r>
      <w:r>
        <w:rPr>
          <w:rFonts w:hint="default" w:ascii="仿宋_GB2312" w:hAnsi="仿宋_GB2312" w:eastAsia="仿宋_GB2312" w:cs="仿宋_GB2312"/>
          <w:b/>
          <w:bCs/>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建立覆盖人事管理全领域各环节的事中事后监管机制。统一</w:t>
      </w:r>
      <w:r>
        <w:rPr>
          <w:rFonts w:hint="eastAsia" w:ascii="仿宋_GB2312" w:hAnsi="仿宋_GB2312" w:eastAsia="仿宋_GB2312" w:cs="仿宋_GB2312"/>
          <w:color w:val="auto"/>
          <w:sz w:val="32"/>
          <w:szCs w:val="32"/>
          <w:highlight w:val="none"/>
          <w:u w:val="none"/>
          <w:lang w:eastAsia="zh-CN"/>
        </w:rPr>
        <w:t>事业单位</w:t>
      </w:r>
      <w:r>
        <w:rPr>
          <w:rFonts w:hint="default" w:ascii="仿宋_GB2312" w:hAnsi="仿宋_GB2312" w:eastAsia="仿宋_GB2312" w:cs="仿宋_GB2312"/>
          <w:color w:val="auto"/>
          <w:sz w:val="32"/>
          <w:szCs w:val="32"/>
          <w:highlight w:val="none"/>
          <w:u w:val="none"/>
          <w:lang w:eastAsia="zh-CN"/>
        </w:rPr>
        <w:t>人事业务规范，强化事项办理指导。指导事业单位主管部门制定人事管理政事权限清单，清单外的事项下放由事业单位自主决定、自负其责。进一步完善事业单位人事管理信息系统，推进事业单位人事管理</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一件事</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服务，探索智能审核智慧管理模式。完善事业单位新聘用工作人员岗前公共科目培训工作。</w:t>
      </w:r>
    </w:p>
    <w:p w14:paraId="3AAC4B0F">
      <w:pPr>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000000" w:themeColor="text1"/>
          <w:sz w:val="32"/>
          <w:szCs w:val="32"/>
          <w:highlight w:val="none"/>
          <w14:textFill>
            <w14:solidFill>
              <w14:schemeClr w14:val="tx1"/>
            </w14:solidFill>
          </w14:textFill>
        </w:rPr>
      </w:pPr>
      <w:bookmarkStart w:id="81" w:name="_Toc9505"/>
      <w:bookmarkStart w:id="82" w:name="_Toc12208"/>
      <w:bookmarkStart w:id="83" w:name="_Toc14221"/>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第四节</w:t>
      </w:r>
      <w:r>
        <w:rPr>
          <w:rFonts w:hint="eastAsia" w:ascii="楷体_GB2312" w:hAnsi="楷体_GB2312" w:eastAsia="楷体_GB2312" w:cs="楷体_GB2312"/>
          <w:color w:val="000000" w:themeColor="text1"/>
          <w:sz w:val="32"/>
          <w:szCs w:val="32"/>
          <w:highlight w:val="none"/>
          <w14:textFill>
            <w14:solidFill>
              <w14:schemeClr w14:val="tx1"/>
            </w14:solidFill>
          </w14:textFill>
        </w:rPr>
        <w:t xml:space="preserve">  完善人才服务体系</w:t>
      </w:r>
      <w:bookmarkEnd w:id="81"/>
      <w:bookmarkEnd w:id="82"/>
      <w:bookmarkEnd w:id="83"/>
    </w:p>
    <w:p w14:paraId="6E6EC4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优化</w:t>
      </w:r>
      <w:r>
        <w:rPr>
          <w:rFonts w:hint="default"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升级人才服务。</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持续做好“侨才荟”服务宣传，依托“侨才荟”整合人才服务资源、拓展人才服务场景、深化人才服务，提升“侨才荟”人才服务质量。</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衔接广东省人才优粤卡和“侨才通”服务内容，</w:t>
      </w:r>
      <w:r>
        <w:rPr>
          <w:rFonts w:hint="default" w:ascii="仿宋_GB2312" w:hAnsi="仿宋_GB2312" w:eastAsia="仿宋_GB2312" w:cs="仿宋_GB2312"/>
          <w:color w:val="000000" w:themeColor="text1"/>
          <w:sz w:val="32"/>
          <w:szCs w:val="32"/>
          <w:highlight w:val="none"/>
          <w:u w:val="none"/>
          <w:lang w:eastAsia="zh-CN"/>
          <w14:textFill>
            <w14:solidFill>
              <w14:schemeClr w14:val="tx1"/>
            </w14:solidFill>
          </w14:textFill>
        </w:rPr>
        <w:t>为重点人才群体提供专属性、个性化服务。优化流动人员人事档案管理服务，提高档案公共服务数字化水平，高频服务事项实现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u w:val="none"/>
          <w:lang w:eastAsia="zh-CN"/>
          <w14:textFill>
            <w14:solidFill>
              <w14:schemeClr w14:val="tx1"/>
            </w14:solidFill>
          </w14:textFill>
        </w:rPr>
        <w:t>零跑腿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u w:val="none"/>
          <w:lang w:eastAsia="zh-CN"/>
          <w14:textFill>
            <w14:solidFill>
              <w14:schemeClr w14:val="tx1"/>
            </w14:solidFill>
          </w14:textFill>
        </w:rPr>
        <w:t>秒办</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14:paraId="58A0E5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打造便捷高效的人才服务载体</w:t>
      </w:r>
      <w:r>
        <w:rPr>
          <w:rFonts w:hint="default"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深入推进江门市（国际）人才“一站式”服务专区开平服务点使用，为人才提供“一站式”便捷、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高效</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的人才服务。充分发挥市场力量进一步提升人才服务体验，推动人才服务专业化、标准化、市场化。</w:t>
      </w:r>
    </w:p>
    <w:p w14:paraId="78B35438">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lang w:eastAsia="zh-CN"/>
        </w:rPr>
      </w:pPr>
      <w:bookmarkStart w:id="84" w:name="_Toc18734"/>
      <w:bookmarkStart w:id="85" w:name="_Toc26862"/>
      <w:bookmarkStart w:id="86" w:name="_Toc10695"/>
      <w:r>
        <w:rPr>
          <w:rFonts w:hint="eastAsia" w:ascii="黑体" w:hAnsi="黑体" w:eastAsia="黑体" w:cs="黑体"/>
          <w:color w:val="auto"/>
          <w:sz w:val="32"/>
          <w:szCs w:val="32"/>
          <w:highlight w:val="none"/>
        </w:rPr>
        <w:t xml:space="preserve">第七章 </w:t>
      </w:r>
      <w:r>
        <w:rPr>
          <w:rFonts w:hint="default" w:ascii="黑体" w:hAnsi="黑体" w:eastAsia="黑体" w:cs="黑体"/>
          <w:color w:val="auto"/>
          <w:sz w:val="32"/>
          <w:szCs w:val="32"/>
          <w:highlight w:val="none"/>
        </w:rPr>
        <w:t xml:space="preserve">深化工资收入分配制度改革 </w:t>
      </w:r>
      <w:r>
        <w:rPr>
          <w:rFonts w:hint="eastAsia" w:ascii="黑体" w:hAnsi="黑体" w:eastAsia="黑体" w:cs="黑体"/>
          <w:color w:val="auto"/>
          <w:sz w:val="32"/>
          <w:szCs w:val="32"/>
          <w:highlight w:val="none"/>
          <w:lang w:eastAsia="zh-CN"/>
        </w:rPr>
        <w:t>健全劳动报酬合理增长机制</w:t>
      </w:r>
      <w:bookmarkEnd w:id="84"/>
      <w:bookmarkEnd w:id="85"/>
      <w:bookmarkEnd w:id="86"/>
    </w:p>
    <w:p w14:paraId="194C2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color="auto"/>
        </w:rPr>
        <w:t>加强工资宏观调控和指导，</w:t>
      </w:r>
      <w:r>
        <w:rPr>
          <w:rFonts w:hint="eastAsia" w:ascii="仿宋_GB2312" w:hAnsi="仿宋_GB2312" w:eastAsia="仿宋_GB2312" w:cs="仿宋_GB2312"/>
          <w:color w:val="auto"/>
          <w:sz w:val="32"/>
          <w:szCs w:val="32"/>
          <w:highlight w:val="none"/>
          <w:u w:val="none" w:color="auto"/>
          <w:lang w:eastAsia="zh-CN"/>
        </w:rPr>
        <w:t>落实</w:t>
      </w:r>
      <w:r>
        <w:rPr>
          <w:rFonts w:hint="eastAsia" w:ascii="仿宋_GB2312" w:hAnsi="仿宋_GB2312" w:eastAsia="仿宋_GB2312" w:cs="仿宋_GB2312"/>
          <w:color w:val="auto"/>
          <w:sz w:val="32"/>
          <w:szCs w:val="32"/>
          <w:highlight w:val="none"/>
          <w:u w:val="none" w:color="auto"/>
        </w:rPr>
        <w:t>最低工资制度，完善劳动者工资正常增长机制。完善企业薪酬调查和信息发布制度，加大对重点行业、重点群体薪酬分配指引服务。构建以技能为导向的薪酬分配制度，提高技能人才待遇水平。深化国有企业薪酬制度改革，优化国有企业收入分配秩序。深化事业单位薪酬制度改革，强化正向激励。</w:t>
      </w:r>
    </w:p>
    <w:p w14:paraId="2FA4AD2E">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default" w:ascii="方正楷体_GBK" w:hAnsi="方正楷体_GBK" w:eastAsia="方正楷体_GBK" w:cs="方正楷体_GBK"/>
          <w:b/>
          <w:bCs/>
          <w:color w:val="auto"/>
          <w:highlight w:val="none"/>
          <w:u w:val="none" w:color="auto"/>
        </w:rPr>
      </w:pPr>
      <w:bookmarkStart w:id="87" w:name="_Toc22958"/>
      <w:bookmarkStart w:id="88" w:name="_Toc1956010475"/>
      <w:bookmarkStart w:id="89" w:name="_Toc16600"/>
      <w:bookmarkStart w:id="90" w:name="_Toc8223"/>
      <w:bookmarkStart w:id="91" w:name="_Toc3160_WPSOffice_Level2"/>
      <w:bookmarkStart w:id="92" w:name="_Toc5113_WPSOffice_Level2"/>
      <w:bookmarkStart w:id="93" w:name="_Toc9497_WPSOffice_Level2"/>
      <w:r>
        <w:rPr>
          <w:rFonts w:hint="eastAsia" w:ascii="楷体" w:hAnsi="楷体" w:eastAsia="楷体" w:cs="楷体"/>
          <w:b w:val="0"/>
          <w:bCs w:val="0"/>
          <w:color w:val="auto"/>
          <w:highlight w:val="none"/>
          <w:u w:val="none" w:color="auto"/>
        </w:rPr>
        <w:t>第一节  深化企业工资收入分配制度改革</w:t>
      </w:r>
      <w:bookmarkEnd w:id="87"/>
      <w:bookmarkEnd w:id="88"/>
      <w:bookmarkEnd w:id="89"/>
      <w:bookmarkEnd w:id="90"/>
    </w:p>
    <w:p w14:paraId="182977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完善</w:t>
      </w:r>
      <w:r>
        <w:rPr>
          <w:rFonts w:hint="default" w:ascii="仿宋_GB2312" w:hAnsi="仿宋_GB2312" w:eastAsia="仿宋_GB2312" w:cs="仿宋_GB2312"/>
          <w:b/>
          <w:bCs/>
          <w:color w:val="auto"/>
          <w:sz w:val="32"/>
          <w:szCs w:val="32"/>
          <w:highlight w:val="none"/>
          <w:u w:val="none" w:color="auto"/>
        </w:rPr>
        <w:t>工资决定和正常增长机制。</w:t>
      </w:r>
      <w:r>
        <w:rPr>
          <w:rFonts w:hint="default" w:ascii="仿宋_GB2312" w:hAnsi="仿宋_GB2312" w:eastAsia="仿宋_GB2312" w:cs="仿宋_GB2312"/>
          <w:color w:val="auto"/>
          <w:sz w:val="32"/>
          <w:szCs w:val="32"/>
          <w:highlight w:val="none"/>
          <w:u w:val="none" w:color="auto"/>
          <w:lang w:val="en-US" w:eastAsia="zh-CN"/>
        </w:rPr>
        <w:t>落实最低工资制度，根据省政府部署，</w:t>
      </w:r>
      <w:r>
        <w:rPr>
          <w:rFonts w:hint="default" w:ascii="仿宋_GB2312" w:hAnsi="仿宋_GB2312" w:eastAsia="仿宋_GB2312" w:cs="仿宋_GB2312"/>
          <w:color w:val="auto"/>
          <w:sz w:val="32"/>
          <w:szCs w:val="32"/>
          <w:highlight w:val="none"/>
          <w:u w:val="none" w:color="auto"/>
        </w:rPr>
        <w:t>稳妥调整最低工资标准。</w:t>
      </w:r>
      <w:r>
        <w:rPr>
          <w:rFonts w:hint="default" w:ascii="仿宋_GB2312" w:hAnsi="仿宋_GB2312" w:eastAsia="仿宋_GB2312" w:cs="仿宋_GB2312"/>
          <w:color w:val="auto"/>
          <w:sz w:val="32"/>
          <w:szCs w:val="32"/>
          <w:highlight w:val="none"/>
          <w:u w:val="none" w:color="auto"/>
          <w:lang w:val="en-US" w:eastAsia="zh-CN"/>
        </w:rPr>
        <w:t>常态化</w:t>
      </w:r>
      <w:r>
        <w:rPr>
          <w:rFonts w:hint="default" w:ascii="仿宋_GB2312" w:hAnsi="仿宋_GB2312" w:eastAsia="仿宋_GB2312" w:cs="仿宋_GB2312"/>
          <w:color w:val="auto"/>
          <w:sz w:val="32"/>
          <w:szCs w:val="32"/>
          <w:highlight w:val="none"/>
          <w:u w:val="none" w:color="auto"/>
        </w:rPr>
        <w:t>开展企业薪酬调查及企业人工成本监测，适时发布职业薪酬信息和行业人工成本信息，</w:t>
      </w:r>
      <w:r>
        <w:rPr>
          <w:rFonts w:hint="default" w:ascii="仿宋_GB2312" w:hAnsi="仿宋_GB2312" w:eastAsia="仿宋_GB2312" w:cs="仿宋_GB2312"/>
          <w:color w:val="auto"/>
          <w:sz w:val="32"/>
          <w:szCs w:val="32"/>
          <w:highlight w:val="none"/>
          <w:u w:val="none" w:color="auto"/>
          <w:lang w:eastAsia="zh-CN"/>
        </w:rPr>
        <w:t>为企业合理确定工资水平提供更具针对性的信息引导。</w:t>
      </w:r>
    </w:p>
    <w:p w14:paraId="4C0369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_GBK" w:hAnsi="方正楷体_GBK" w:eastAsia="方正楷体_GBK" w:cs="方正楷体_GBK"/>
          <w:b/>
          <w:bCs/>
          <w:color w:val="auto"/>
          <w:highlight w:val="none"/>
          <w:u w:val="none" w:color="auto"/>
        </w:rPr>
      </w:pPr>
      <w:r>
        <w:rPr>
          <w:rFonts w:hint="default" w:ascii="仿宋_GB2312" w:hAnsi="仿宋_GB2312" w:eastAsia="仿宋_GB2312" w:cs="仿宋_GB2312"/>
          <w:b/>
          <w:bCs/>
          <w:color w:val="auto"/>
          <w:sz w:val="32"/>
          <w:szCs w:val="32"/>
          <w:highlight w:val="none"/>
          <w:u w:val="none" w:color="auto"/>
        </w:rPr>
        <w:t>优化国有企业工资分配秩序。</w:t>
      </w:r>
      <w:r>
        <w:rPr>
          <w:rFonts w:hint="default" w:ascii="仿宋_GB2312" w:hAnsi="仿宋_GB2312" w:eastAsia="仿宋_GB2312" w:cs="仿宋_GB2312"/>
          <w:color w:val="auto"/>
          <w:sz w:val="32"/>
          <w:szCs w:val="32"/>
          <w:highlight w:val="none"/>
          <w:u w:val="none" w:color="auto"/>
        </w:rPr>
        <w:t>加强国有企业工资分配宏观指导和调控</w:t>
      </w:r>
      <w:r>
        <w:rPr>
          <w:rFonts w:hint="default"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落实</w:t>
      </w:r>
      <w:r>
        <w:rPr>
          <w:rFonts w:hint="default" w:ascii="仿宋_GB2312" w:hAnsi="仿宋_GB2312" w:eastAsia="仿宋_GB2312" w:cs="仿宋_GB2312"/>
          <w:color w:val="auto"/>
          <w:sz w:val="32"/>
          <w:szCs w:val="32"/>
          <w:highlight w:val="none"/>
          <w:u w:val="none" w:color="auto"/>
          <w:lang w:eastAsia="zh-CN"/>
        </w:rPr>
        <w:t>国有企业薪酬调查制度，强化国有企业薪酬调查成果多元应用。</w:t>
      </w:r>
      <w:r>
        <w:rPr>
          <w:rFonts w:hint="default" w:ascii="仿宋_GB2312" w:hAnsi="仿宋_GB2312" w:eastAsia="仿宋_GB2312" w:cs="仿宋_GB2312"/>
          <w:color w:val="auto"/>
          <w:sz w:val="32"/>
          <w:szCs w:val="32"/>
          <w:highlight w:val="none"/>
          <w:u w:val="none" w:color="auto"/>
        </w:rPr>
        <w:t>按照省国有企业负责人薪酬管理制度要求，</w:t>
      </w:r>
      <w:r>
        <w:rPr>
          <w:rFonts w:hint="eastAsia" w:ascii="仿宋_GB2312" w:hAnsi="仿宋_GB2312" w:eastAsia="仿宋_GB2312" w:cs="仿宋_GB2312"/>
          <w:color w:val="auto"/>
          <w:sz w:val="32"/>
          <w:szCs w:val="32"/>
          <w:highlight w:val="none"/>
          <w:u w:val="none" w:color="auto"/>
          <w:lang w:eastAsia="zh-CN"/>
        </w:rPr>
        <w:t>严格规范</w:t>
      </w:r>
      <w:r>
        <w:rPr>
          <w:rFonts w:hint="default" w:ascii="仿宋_GB2312" w:hAnsi="仿宋_GB2312" w:eastAsia="仿宋_GB2312" w:cs="仿宋_GB2312"/>
          <w:color w:val="auto"/>
          <w:sz w:val="32"/>
          <w:szCs w:val="32"/>
          <w:highlight w:val="none"/>
          <w:u w:val="none" w:color="auto"/>
        </w:rPr>
        <w:t>国有企业负责人</w:t>
      </w:r>
      <w:r>
        <w:rPr>
          <w:rFonts w:hint="eastAsia" w:ascii="仿宋_GB2312" w:hAnsi="仿宋_GB2312" w:eastAsia="仿宋_GB2312" w:cs="仿宋_GB2312"/>
          <w:color w:val="auto"/>
          <w:sz w:val="32"/>
          <w:szCs w:val="32"/>
          <w:highlight w:val="none"/>
          <w:u w:val="none" w:color="auto"/>
          <w:lang w:eastAsia="zh-CN"/>
        </w:rPr>
        <w:t>薪酬分配</w:t>
      </w:r>
      <w:r>
        <w:rPr>
          <w:rFonts w:hint="default" w:ascii="仿宋_GB2312" w:hAnsi="仿宋_GB2312" w:eastAsia="仿宋_GB2312" w:cs="仿宋_GB2312"/>
          <w:color w:val="auto"/>
          <w:sz w:val="32"/>
          <w:szCs w:val="32"/>
          <w:highlight w:val="none"/>
          <w:u w:val="none" w:color="auto"/>
        </w:rPr>
        <w:t>，督促国有企业监管部门监督国有企业严格落实工资总额预算管理和企业负责人薪酬审核兑现，促进国有企业收入分配更加合理有序。</w:t>
      </w:r>
      <w:bookmarkEnd w:id="91"/>
      <w:bookmarkEnd w:id="92"/>
      <w:bookmarkEnd w:id="93"/>
      <w:bookmarkStart w:id="94" w:name="_Toc29144_WPSOffice_Level2"/>
      <w:bookmarkStart w:id="95" w:name="_Toc30877_WPSOffice_Level2"/>
      <w:bookmarkStart w:id="96" w:name="_Toc30711_WPSOffice_Level2"/>
    </w:p>
    <w:bookmarkEnd w:id="94"/>
    <w:bookmarkEnd w:id="95"/>
    <w:bookmarkEnd w:id="96"/>
    <w:p w14:paraId="23B2C8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lang w:val="en-US" w:eastAsia="zh-CN"/>
        </w:rPr>
      </w:pPr>
      <w:r>
        <w:rPr>
          <w:rFonts w:hint="default" w:ascii="仿宋_GB2312" w:hAnsi="仿宋_GB2312" w:eastAsia="仿宋_GB2312" w:cs="仿宋_GB2312"/>
          <w:b/>
          <w:bCs/>
          <w:color w:val="auto"/>
          <w:sz w:val="32"/>
          <w:szCs w:val="32"/>
          <w:highlight w:val="none"/>
          <w:u w:val="none" w:color="auto"/>
          <w:lang w:val="en-US" w:eastAsia="zh-CN"/>
        </w:rPr>
        <w:t>落实</w:t>
      </w:r>
      <w:r>
        <w:rPr>
          <w:rFonts w:hint="default" w:ascii="仿宋_GB2312" w:hAnsi="仿宋_GB2312" w:eastAsia="仿宋_GB2312" w:cs="仿宋_GB2312"/>
          <w:b/>
          <w:bCs/>
          <w:color w:val="auto"/>
          <w:sz w:val="32"/>
          <w:szCs w:val="32"/>
          <w:highlight w:val="none"/>
          <w:u w:val="none" w:color="auto"/>
        </w:rPr>
        <w:t>技术工人薪酬分配激励机制。</w:t>
      </w:r>
      <w:r>
        <w:rPr>
          <w:rFonts w:hint="default" w:ascii="仿宋_GB2312" w:hAnsi="仿宋_GB2312" w:eastAsia="仿宋_GB2312" w:cs="仿宋_GB2312"/>
          <w:color w:val="auto"/>
          <w:sz w:val="32"/>
          <w:szCs w:val="32"/>
          <w:highlight w:val="none"/>
          <w:u w:val="none" w:color="auto"/>
        </w:rPr>
        <w:t>健全技能人才薪酬分配制度，</w:t>
      </w:r>
      <w:r>
        <w:rPr>
          <w:rFonts w:hint="default" w:ascii="仿宋_GB2312" w:hAnsi="仿宋_GB2312" w:eastAsia="仿宋_GB2312" w:cs="仿宋_GB2312"/>
          <w:color w:val="auto"/>
          <w:sz w:val="32"/>
          <w:szCs w:val="32"/>
          <w:highlight w:val="none"/>
          <w:u w:val="none" w:color="auto"/>
          <w:lang w:val="en-US" w:eastAsia="zh-CN"/>
        </w:rPr>
        <w:t>将职业技能等级作为工资分配的重要参考，推动实现多劳者多得、技高者多得、创新者多得。推动区域性、行业性技能人才最低工资集体协商。</w:t>
      </w:r>
      <w:r>
        <w:rPr>
          <w:rFonts w:hint="default" w:ascii="仿宋_GB2312" w:hAnsi="仿宋_GB2312" w:eastAsia="仿宋_GB2312" w:cs="仿宋_GB2312"/>
          <w:color w:val="auto"/>
          <w:sz w:val="32"/>
          <w:szCs w:val="32"/>
          <w:highlight w:val="none"/>
          <w:u w:val="none" w:color="auto"/>
        </w:rPr>
        <w:t>强化薪酬调查数据和企业人工成本信息应用，推动企业提高技术工人待遇，拓宽技术工人上升通道</w:t>
      </w:r>
      <w:r>
        <w:rPr>
          <w:rFonts w:hint="default" w:ascii="仿宋_GB2312" w:hAnsi="仿宋_GB2312" w:eastAsia="仿宋_GB2312" w:cs="仿宋_GB2312"/>
          <w:color w:val="auto"/>
          <w:sz w:val="32"/>
          <w:szCs w:val="32"/>
          <w:highlight w:val="none"/>
          <w:u w:val="none" w:color="auto"/>
          <w:lang w:val="en-US" w:eastAsia="zh-CN"/>
        </w:rPr>
        <w:t>。</w:t>
      </w:r>
      <w:r>
        <w:rPr>
          <w:rFonts w:hint="default" w:ascii="仿宋_GB2312" w:hAnsi="仿宋_GB2312" w:eastAsia="仿宋_GB2312" w:cs="仿宋_GB2312"/>
          <w:color w:val="auto"/>
          <w:sz w:val="32"/>
          <w:szCs w:val="32"/>
          <w:highlight w:val="none"/>
          <w:u w:val="none" w:color="auto"/>
        </w:rPr>
        <w:t>加强重点行业、重点群体薪酬分配指引服务</w:t>
      </w:r>
      <w:r>
        <w:rPr>
          <w:rFonts w:hint="default"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lang w:val="en-US" w:eastAsia="zh-CN"/>
        </w:rPr>
        <w:t>鼓励企业在工资结构中设置体现技术技能价值的工资单元，建立基于岗位价值、能力素质、业绩贡献的工资收入分配制度。</w:t>
      </w:r>
    </w:p>
    <w:p w14:paraId="1A1702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u w:val="none" w:color="auto"/>
          <w:lang w:eastAsia="zh-CN"/>
        </w:rPr>
      </w:pPr>
      <w:r>
        <w:rPr>
          <w:rFonts w:hint="default" w:ascii="仿宋_GB2312" w:hAnsi="仿宋_GB2312" w:eastAsia="仿宋_GB2312" w:cs="仿宋_GB2312"/>
          <w:b/>
          <w:bCs/>
          <w:color w:val="auto"/>
          <w:sz w:val="32"/>
          <w:szCs w:val="32"/>
          <w:highlight w:val="none"/>
          <w:u w:val="none" w:color="auto"/>
        </w:rPr>
        <w:t>加强国有企业技能人才薪酬激励。</w:t>
      </w:r>
      <w:r>
        <w:rPr>
          <w:rFonts w:hint="default" w:ascii="仿宋_GB2312" w:hAnsi="仿宋_GB2312" w:eastAsia="仿宋_GB2312" w:cs="仿宋_GB2312"/>
          <w:color w:val="auto"/>
          <w:sz w:val="32"/>
          <w:szCs w:val="32"/>
          <w:highlight w:val="none"/>
          <w:u w:val="none" w:color="auto"/>
        </w:rPr>
        <w:t>开展技能人才岗位薪酬调查，优化技能岗位薪酬分配，建立体现技能要素价值的国有企业分配制度，</w:t>
      </w:r>
      <w:r>
        <w:rPr>
          <w:rFonts w:hint="eastAsia" w:ascii="仿宋_GB2312" w:hAnsi="仿宋_GB2312" w:eastAsia="仿宋_GB2312" w:cs="仿宋_GB2312"/>
          <w:color w:val="auto"/>
          <w:sz w:val="32"/>
          <w:szCs w:val="32"/>
          <w:highlight w:val="none"/>
          <w:u w:val="none" w:color="auto"/>
          <w:lang w:eastAsia="zh-CN"/>
        </w:rPr>
        <w:t>落实</w:t>
      </w:r>
      <w:r>
        <w:rPr>
          <w:rFonts w:hint="default" w:ascii="仿宋_GB2312" w:hAnsi="仿宋_GB2312" w:eastAsia="仿宋_GB2312" w:cs="仿宋_GB2312"/>
          <w:color w:val="auto"/>
          <w:sz w:val="32"/>
          <w:szCs w:val="32"/>
          <w:highlight w:val="none"/>
          <w:u w:val="none" w:color="auto"/>
        </w:rPr>
        <w:t>技能岗位分类分级价值评估体系，引导国有企业实行岗位薪酬与岗位价值、技能等级双挂钩办法，合理确定技能岗位的起点薪酬。</w:t>
      </w:r>
      <w:r>
        <w:rPr>
          <w:rFonts w:hint="eastAsia" w:ascii="仿宋_GB2312" w:hAnsi="仿宋_GB2312" w:eastAsia="仿宋_GB2312" w:cs="仿宋_GB2312"/>
          <w:color w:val="auto"/>
          <w:sz w:val="32"/>
          <w:szCs w:val="32"/>
          <w:highlight w:val="none"/>
          <w:u w:val="none" w:color="auto"/>
          <w:lang w:val="en-US" w:eastAsia="zh-CN"/>
        </w:rPr>
        <w:t>引导</w:t>
      </w:r>
      <w:r>
        <w:rPr>
          <w:rFonts w:hint="default" w:ascii="仿宋_GB2312" w:hAnsi="仿宋_GB2312" w:eastAsia="仿宋_GB2312" w:cs="仿宋_GB2312"/>
          <w:color w:val="auto"/>
          <w:sz w:val="32"/>
          <w:szCs w:val="32"/>
          <w:highlight w:val="none"/>
          <w:u w:val="none" w:color="auto"/>
        </w:rPr>
        <w:t>国有企业工资总额分配倾斜，设立技能人才专项津贴，建立与技能等级挂钩的能级津贴制度，推广特级技师和首席技师评聘制度，引导技能人才自我提升。建立创新创造奖励制度，探索实行中长期激励办法，创新多元化激励方式，鼓励更多劳动者走技能成才之路，推动建设与产业发展相适应的新时代高素质技能人才队伍。</w:t>
      </w:r>
    </w:p>
    <w:p w14:paraId="5BE2DCD6">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default" w:ascii="方正楷体_GBK" w:hAnsi="方正楷体_GBK" w:eastAsia="方正楷体_GBK" w:cs="方正楷体_GBK"/>
          <w:b/>
          <w:bCs/>
          <w:color w:val="auto"/>
          <w:highlight w:val="none"/>
          <w:u w:val="none" w:color="auto"/>
        </w:rPr>
      </w:pPr>
      <w:bookmarkStart w:id="97" w:name="_Toc6841"/>
      <w:bookmarkStart w:id="98" w:name="_Toc31679"/>
      <w:bookmarkStart w:id="99" w:name="_Toc13809"/>
      <w:bookmarkStart w:id="100" w:name="_Toc1740166162"/>
      <w:r>
        <w:rPr>
          <w:rFonts w:hint="eastAsia" w:ascii="楷体" w:hAnsi="楷体" w:eastAsia="楷体" w:cs="楷体"/>
          <w:b w:val="0"/>
          <w:bCs w:val="0"/>
          <w:color w:val="auto"/>
          <w:highlight w:val="none"/>
          <w:u w:val="none" w:color="auto"/>
        </w:rPr>
        <w:t>第</w:t>
      </w:r>
      <w:r>
        <w:rPr>
          <w:rFonts w:hint="eastAsia" w:ascii="楷体" w:hAnsi="楷体" w:eastAsia="楷体" w:cs="楷体"/>
          <w:b w:val="0"/>
          <w:bCs w:val="0"/>
          <w:color w:val="auto"/>
          <w:highlight w:val="none"/>
          <w:u w:val="none" w:color="auto"/>
          <w:lang w:eastAsia="zh-CN"/>
        </w:rPr>
        <w:t>二</w:t>
      </w:r>
      <w:r>
        <w:rPr>
          <w:rFonts w:hint="eastAsia" w:ascii="楷体" w:hAnsi="楷体" w:eastAsia="楷体" w:cs="楷体"/>
          <w:b w:val="0"/>
          <w:bCs w:val="0"/>
          <w:color w:val="auto"/>
          <w:highlight w:val="none"/>
          <w:u w:val="none" w:color="auto"/>
        </w:rPr>
        <w:t>节  完善事业单位薪酬分配制度</w:t>
      </w:r>
      <w:bookmarkEnd w:id="97"/>
      <w:bookmarkEnd w:id="98"/>
      <w:bookmarkEnd w:id="99"/>
      <w:bookmarkEnd w:id="100"/>
    </w:p>
    <w:p w14:paraId="5D76BA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完善事业单位薪酬分配工作。</w:t>
      </w:r>
      <w:r>
        <w:rPr>
          <w:rFonts w:hint="default" w:ascii="仿宋_GB2312" w:hAnsi="仿宋_GB2312" w:eastAsia="仿宋_GB2312" w:cs="仿宋_GB2312"/>
          <w:color w:val="auto"/>
          <w:sz w:val="32"/>
          <w:szCs w:val="32"/>
          <w:highlight w:val="none"/>
          <w:u w:val="none" w:color="auto"/>
        </w:rPr>
        <w:t>实行薪酬待遇与所在岗位、工作业绩和实际贡献直接挂钩，以岗定薪、岗变薪变、优绩优酬。完善绩效工资总量核定办法，建立健全绩效工资水平动态调整和监管机制。健全事业单位绩效综合考核办法，将绩效考核与工资分配挂钩，合理拉开收入分配差距。鼓励职业院校开展技术服务、社会培训等所得收入适当补充绩效工资。</w:t>
      </w:r>
    </w:p>
    <w:p w14:paraId="5334F8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落实重点领域薪酬制度改革。</w:t>
      </w:r>
      <w:r>
        <w:rPr>
          <w:rFonts w:hint="default" w:ascii="仿宋_GB2312" w:hAnsi="仿宋_GB2312" w:eastAsia="仿宋_GB2312" w:cs="仿宋_GB2312"/>
          <w:color w:val="auto"/>
          <w:sz w:val="32"/>
          <w:szCs w:val="32"/>
          <w:highlight w:val="none"/>
          <w:u w:val="none" w:color="auto"/>
        </w:rPr>
        <w:t>持续推进深化公立医院薪酬制度改革工作，促进公立医院不断优化内部分配机制。根据省的部署，探索推进高校、科研院所等重点领域薪酬制度改革。</w:t>
      </w:r>
    </w:p>
    <w:p w14:paraId="77F1DB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楷体_GB2312" w:eastAsia="楷体_GB2312" w:cs="楷体_GB2312"/>
          <w:color w:val="auto"/>
          <w:sz w:val="32"/>
          <w:szCs w:val="32"/>
          <w:highlight w:val="none"/>
        </w:rPr>
      </w:pPr>
      <w:r>
        <w:rPr>
          <w:rFonts w:hint="default" w:ascii="仿宋_GB2312" w:hAnsi="仿宋_GB2312" w:eastAsia="仿宋_GB2312" w:cs="仿宋_GB2312"/>
          <w:b/>
          <w:bCs/>
          <w:color w:val="auto"/>
          <w:sz w:val="32"/>
          <w:szCs w:val="32"/>
          <w:highlight w:val="none"/>
          <w:u w:val="none" w:color="auto"/>
        </w:rPr>
        <w:t>探索灵活多样薪酬分配办法。</w:t>
      </w:r>
      <w:r>
        <w:rPr>
          <w:rFonts w:hint="default" w:ascii="仿宋_GB2312" w:hAnsi="仿宋_GB2312" w:eastAsia="仿宋_GB2312" w:cs="仿宋_GB2312"/>
          <w:color w:val="auto"/>
          <w:sz w:val="32"/>
          <w:szCs w:val="32"/>
          <w:highlight w:val="none"/>
          <w:u w:val="none" w:color="auto"/>
        </w:rPr>
        <w:t>强化知识价值导向，充分体现技术、知识、管理、数据等要素价值。加大对基础科研、重点建设、知识技术密集、承担重大工作任务等单位的薪酬激励分配倾斜力度。推动单位用好高层次人才、急需紧缺人才薪酬分配激励机制，支持实行协议工资、年薪工资、项目工资等灵活多样的分配方式，支持特殊人才薪酬水平协商确定。贯彻落实工资向基层倾斜政策，做好乡镇工作补贴发放工作。</w:t>
      </w:r>
    </w:p>
    <w:p w14:paraId="22B9F8BB">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p>
    <w:p w14:paraId="017AA0BF">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黑体" w:cs="仿宋_GB2312"/>
          <w:color w:val="auto"/>
          <w:sz w:val="32"/>
          <w:szCs w:val="32"/>
          <w:highlight w:val="none"/>
          <w:lang w:val="en-US" w:eastAsia="zh-CN"/>
        </w:rPr>
      </w:pPr>
      <w:bookmarkStart w:id="101" w:name="_Toc7985"/>
      <w:bookmarkStart w:id="102" w:name="_Toc19666"/>
      <w:bookmarkStart w:id="103" w:name="_Toc5449"/>
      <w:r>
        <w:rPr>
          <w:rFonts w:hint="eastAsia" w:ascii="黑体" w:hAnsi="黑体" w:eastAsia="黑体" w:cs="黑体"/>
          <w:color w:val="auto"/>
          <w:sz w:val="32"/>
          <w:szCs w:val="32"/>
          <w:highlight w:val="none"/>
        </w:rPr>
        <w:t xml:space="preserve">第八章 </w:t>
      </w:r>
      <w:r>
        <w:rPr>
          <w:rFonts w:hint="eastAsia" w:ascii="黑体" w:hAnsi="黑体" w:eastAsia="黑体" w:cs="黑体"/>
          <w:color w:val="auto"/>
          <w:sz w:val="32"/>
          <w:szCs w:val="32"/>
          <w:highlight w:val="none"/>
          <w:lang w:val="en-US" w:eastAsia="zh-CN"/>
        </w:rPr>
        <w:t>完善</w:t>
      </w:r>
      <w:r>
        <w:rPr>
          <w:rFonts w:hint="default" w:ascii="黑体" w:hAnsi="黑体" w:eastAsia="黑体" w:cs="黑体"/>
          <w:color w:val="auto"/>
          <w:sz w:val="32"/>
          <w:szCs w:val="32"/>
          <w:highlight w:val="none"/>
        </w:rPr>
        <w:t>劳动关系治理体系</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val="en-US" w:eastAsia="zh-CN"/>
        </w:rPr>
        <w:t>维护</w:t>
      </w:r>
      <w:r>
        <w:rPr>
          <w:rFonts w:hint="eastAsia" w:ascii="黑体" w:hAnsi="黑体" w:eastAsia="黑体" w:cs="黑体"/>
          <w:color w:val="auto"/>
          <w:sz w:val="32"/>
          <w:szCs w:val="32"/>
          <w:highlight w:val="none"/>
        </w:rPr>
        <w:t>劳动关系和谐</w:t>
      </w:r>
      <w:r>
        <w:rPr>
          <w:rFonts w:hint="eastAsia" w:ascii="黑体" w:hAnsi="黑体" w:eastAsia="黑体" w:cs="黑体"/>
          <w:color w:val="auto"/>
          <w:sz w:val="32"/>
          <w:szCs w:val="32"/>
          <w:highlight w:val="none"/>
          <w:lang w:val="en-US" w:eastAsia="zh-CN"/>
        </w:rPr>
        <w:t>稳定</w:t>
      </w:r>
      <w:bookmarkEnd w:id="101"/>
      <w:bookmarkEnd w:id="102"/>
      <w:bookmarkEnd w:id="103"/>
    </w:p>
    <w:p w14:paraId="7D05E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推进新时代和谐劳动关系创建，</w:t>
      </w:r>
      <w:r>
        <w:rPr>
          <w:rFonts w:hint="eastAsia" w:ascii="仿宋_GB2312" w:hAnsi="仿宋_GB2312" w:eastAsia="仿宋_GB2312" w:cs="仿宋_GB2312"/>
          <w:color w:val="auto"/>
          <w:sz w:val="32"/>
          <w:szCs w:val="32"/>
          <w:highlight w:val="none"/>
          <w:u w:val="none" w:color="auto"/>
          <w:lang w:eastAsia="zh-CN"/>
        </w:rPr>
        <w:t>提高</w:t>
      </w:r>
      <w:r>
        <w:rPr>
          <w:rFonts w:hint="eastAsia" w:ascii="仿宋_GB2312" w:hAnsi="仿宋_GB2312" w:eastAsia="仿宋_GB2312" w:cs="仿宋_GB2312"/>
          <w:color w:val="auto"/>
          <w:sz w:val="32"/>
          <w:szCs w:val="32"/>
          <w:highlight w:val="none"/>
          <w:u w:val="none" w:color="auto"/>
        </w:rPr>
        <w:t>劳动关系协调处理和劳资纠纷预警处置能力，</w:t>
      </w:r>
      <w:r>
        <w:rPr>
          <w:rFonts w:hint="eastAsia" w:ascii="仿宋_GB2312" w:hAnsi="仿宋_GB2312" w:eastAsia="仿宋_GB2312" w:cs="仿宋_GB2312"/>
          <w:color w:val="auto"/>
          <w:sz w:val="32"/>
          <w:szCs w:val="32"/>
          <w:highlight w:val="none"/>
          <w:u w:val="none" w:color="auto"/>
          <w:lang w:eastAsia="zh-CN"/>
        </w:rPr>
        <w:t>提升和谐劳动关系治理效能，</w:t>
      </w:r>
      <w:r>
        <w:rPr>
          <w:rFonts w:hint="eastAsia" w:ascii="仿宋_GB2312" w:hAnsi="仿宋_GB2312" w:eastAsia="仿宋_GB2312" w:cs="仿宋_GB2312"/>
          <w:color w:val="auto"/>
          <w:sz w:val="32"/>
          <w:szCs w:val="32"/>
          <w:highlight w:val="none"/>
          <w:u w:val="none" w:color="auto"/>
        </w:rPr>
        <w:t>有效预防和化解劳资关系风险隐患，</w:t>
      </w:r>
      <w:r>
        <w:rPr>
          <w:rFonts w:hint="eastAsia" w:ascii="仿宋_GB2312" w:hAnsi="仿宋_GB2312" w:eastAsia="仿宋_GB2312" w:cs="仿宋_GB2312"/>
          <w:color w:val="auto"/>
          <w:sz w:val="32"/>
          <w:szCs w:val="32"/>
          <w:highlight w:val="none"/>
          <w:u w:val="none" w:color="auto"/>
          <w:lang w:eastAsia="zh-CN"/>
        </w:rPr>
        <w:t>切实</w:t>
      </w:r>
      <w:r>
        <w:rPr>
          <w:rFonts w:hint="eastAsia" w:ascii="仿宋_GB2312" w:hAnsi="仿宋_GB2312" w:eastAsia="仿宋_GB2312" w:cs="仿宋_GB2312"/>
          <w:color w:val="auto"/>
          <w:sz w:val="32"/>
          <w:szCs w:val="32"/>
          <w:highlight w:val="none"/>
          <w:u w:val="none" w:color="auto"/>
        </w:rPr>
        <w:t>维护劳动者</w:t>
      </w:r>
      <w:r>
        <w:rPr>
          <w:rFonts w:hint="eastAsia" w:ascii="仿宋_GB2312" w:hAnsi="仿宋_GB2312" w:eastAsia="仿宋_GB2312" w:cs="仿宋_GB2312"/>
          <w:color w:val="auto"/>
          <w:sz w:val="32"/>
          <w:szCs w:val="32"/>
          <w:highlight w:val="none"/>
          <w:u w:val="none" w:color="auto"/>
          <w:lang w:eastAsia="zh-CN"/>
        </w:rPr>
        <w:t>合法</w:t>
      </w:r>
      <w:r>
        <w:rPr>
          <w:rFonts w:hint="eastAsia" w:ascii="仿宋_GB2312" w:hAnsi="仿宋_GB2312" w:eastAsia="仿宋_GB2312" w:cs="仿宋_GB2312"/>
          <w:color w:val="auto"/>
          <w:sz w:val="32"/>
          <w:szCs w:val="32"/>
          <w:highlight w:val="none"/>
          <w:u w:val="none" w:color="auto"/>
        </w:rPr>
        <w:t>权益，促进</w:t>
      </w:r>
      <w:r>
        <w:rPr>
          <w:rFonts w:hint="eastAsia" w:ascii="仿宋_GB2312" w:hAnsi="仿宋_GB2312" w:eastAsia="仿宋_GB2312" w:cs="仿宋_GB2312"/>
          <w:color w:val="auto"/>
          <w:sz w:val="32"/>
          <w:szCs w:val="32"/>
          <w:highlight w:val="none"/>
          <w:u w:val="none" w:color="auto"/>
          <w:lang w:eastAsia="zh-CN"/>
        </w:rPr>
        <w:t>用人单位</w:t>
      </w:r>
      <w:r>
        <w:rPr>
          <w:rFonts w:hint="eastAsia" w:ascii="仿宋_GB2312" w:hAnsi="仿宋_GB2312" w:eastAsia="仿宋_GB2312" w:cs="仿宋_GB2312"/>
          <w:color w:val="auto"/>
          <w:sz w:val="32"/>
          <w:szCs w:val="32"/>
          <w:highlight w:val="none"/>
          <w:u w:val="none" w:color="auto"/>
        </w:rPr>
        <w:t>健康发展。坚持劳动关系系统治理、依法治理、源头治理和综合治理，构建规范有序、公正合理、合作共赢、和谐稳定的劳动关系。</w:t>
      </w:r>
    </w:p>
    <w:p w14:paraId="398B09E1">
      <w:pPr>
        <w:pageBreakBefore w:val="0"/>
        <w:widowControl w:val="0"/>
        <w:kinsoku/>
        <w:wordWrap/>
        <w:overflowPunct/>
        <w:topLinePunct w:val="0"/>
        <w:autoSpaceDE/>
        <w:autoSpaceDN/>
        <w:bidi w:val="0"/>
        <w:adjustRightInd/>
        <w:snapToGrid/>
        <w:spacing w:line="560" w:lineRule="exact"/>
        <w:jc w:val="center"/>
        <w:textAlignment w:val="auto"/>
        <w:outlineLvl w:val="0"/>
        <w:rPr>
          <w:rFonts w:ascii="楷体_GB2312" w:hAnsi="楷体_GB2312" w:eastAsia="楷体_GB2312" w:cs="楷体_GB2312"/>
          <w:color w:val="auto"/>
          <w:sz w:val="32"/>
          <w:szCs w:val="32"/>
          <w:highlight w:val="none"/>
        </w:rPr>
      </w:pPr>
      <w:bookmarkStart w:id="104" w:name="_Toc8588"/>
      <w:bookmarkStart w:id="105" w:name="_Toc23470"/>
      <w:bookmarkStart w:id="106" w:name="_Toc2136"/>
      <w:r>
        <w:rPr>
          <w:rFonts w:hint="eastAsia" w:ascii="楷体_GB2312" w:hAnsi="楷体_GB2312" w:eastAsia="楷体_GB2312" w:cs="楷体_GB2312"/>
          <w:color w:val="auto"/>
          <w:sz w:val="32"/>
          <w:szCs w:val="32"/>
          <w:highlight w:val="none"/>
        </w:rPr>
        <w:t>第一节 完善</w:t>
      </w:r>
      <w:r>
        <w:rPr>
          <w:rFonts w:hint="eastAsia" w:ascii="楷体_GB2312" w:hAnsi="楷体_GB2312" w:eastAsia="楷体_GB2312" w:cs="楷体_GB2312"/>
          <w:color w:val="auto"/>
          <w:sz w:val="32"/>
          <w:szCs w:val="32"/>
          <w:highlight w:val="none"/>
          <w:lang w:val="en-US" w:eastAsia="zh-CN"/>
        </w:rPr>
        <w:t>协商</w:t>
      </w:r>
      <w:r>
        <w:rPr>
          <w:rFonts w:hint="eastAsia" w:ascii="楷体_GB2312" w:hAnsi="楷体_GB2312" w:eastAsia="楷体_GB2312" w:cs="楷体_GB2312"/>
          <w:color w:val="auto"/>
          <w:sz w:val="32"/>
          <w:szCs w:val="32"/>
          <w:highlight w:val="none"/>
        </w:rPr>
        <w:t>协调机制</w:t>
      </w:r>
      <w:bookmarkEnd w:id="104"/>
      <w:bookmarkEnd w:id="105"/>
      <w:bookmarkEnd w:id="106"/>
    </w:p>
    <w:p w14:paraId="787260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加强劳动合同用工管理。</w:t>
      </w:r>
      <w:r>
        <w:rPr>
          <w:rFonts w:hint="default" w:ascii="仿宋_GB2312" w:hAnsi="仿宋_GB2312" w:eastAsia="仿宋_GB2312" w:cs="仿宋_GB2312"/>
          <w:color w:val="auto"/>
          <w:sz w:val="32"/>
          <w:szCs w:val="32"/>
          <w:highlight w:val="none"/>
          <w:u w:val="none" w:color="auto"/>
          <w:lang w:val="en-US" w:eastAsia="zh-CN"/>
        </w:rPr>
        <w:t>落实劳动合同制</w:t>
      </w:r>
      <w:r>
        <w:rPr>
          <w:rFonts w:hint="eastAsia" w:ascii="仿宋_GB2312" w:hAnsi="仿宋_GB2312" w:eastAsia="仿宋_GB2312" w:cs="仿宋_GB2312"/>
          <w:color w:val="auto"/>
          <w:sz w:val="32"/>
          <w:szCs w:val="32"/>
          <w:highlight w:val="none"/>
          <w:u w:val="none" w:color="auto"/>
          <w:lang w:val="en-US" w:eastAsia="zh-CN"/>
        </w:rPr>
        <w:t>度，结合日常巡查、“双随机、一公开”抽查以及专项检查等多形式监督用人单位依法签订劳动合同</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000000"/>
          <w:kern w:val="0"/>
          <w:sz w:val="32"/>
          <w:szCs w:val="32"/>
          <w:highlight w:val="none"/>
          <w:u w:val="none"/>
          <w:lang w:val="en-US" w:eastAsia="zh-CN" w:bidi="ar"/>
        </w:rPr>
        <w:t>积极推广新就业形态劳动者通用的劳动合同及用工协议，</w:t>
      </w:r>
      <w:r>
        <w:rPr>
          <w:rStyle w:val="13"/>
          <w:rFonts w:hint="eastAsia" w:ascii="仿宋_GB2312" w:hAnsi="仿宋_GB2312" w:eastAsia="仿宋_GB2312" w:cs="仿宋_GB2312"/>
          <w:b w:val="0"/>
          <w:bCs/>
          <w:color w:val="000000"/>
          <w:kern w:val="0"/>
          <w:sz w:val="32"/>
          <w:szCs w:val="32"/>
          <w:highlight w:val="none"/>
          <w:u w:val="none"/>
          <w:lang w:val="en-US" w:eastAsia="zh-CN" w:bidi="ar"/>
        </w:rPr>
        <w:t>明确新业态用工权利义务，加强新就业形态劳动者劳动权益保障</w:t>
      </w:r>
      <w:r>
        <w:rPr>
          <w:rFonts w:hint="eastAsia" w:ascii="仿宋_GB2312" w:hAnsi="仿宋_GB2312" w:eastAsia="仿宋_GB2312" w:cs="仿宋_GB2312"/>
          <w:kern w:val="0"/>
          <w:sz w:val="32"/>
          <w:szCs w:val="32"/>
          <w:highlight w:val="none"/>
          <w:u w:val="none"/>
          <w:lang w:val="en-US" w:eastAsia="zh-CN" w:bidi="ar"/>
        </w:rPr>
        <w:t>。</w:t>
      </w:r>
      <w:r>
        <w:rPr>
          <w:rFonts w:hint="default" w:ascii="仿宋_GB2312" w:hAnsi="仿宋_GB2312" w:eastAsia="仿宋_GB2312" w:cs="仿宋_GB2312"/>
          <w:color w:val="auto"/>
          <w:sz w:val="32"/>
          <w:szCs w:val="32"/>
          <w:highlight w:val="none"/>
          <w:u w:val="none" w:color="auto"/>
        </w:rPr>
        <w:t>完善集体协商制度</w:t>
      </w:r>
      <w:r>
        <w:rPr>
          <w:rFonts w:hint="eastAsia" w:ascii="仿宋_GB2312" w:hAnsi="仿宋_GB2312" w:eastAsia="仿宋_GB2312" w:cs="仿宋_GB2312"/>
          <w:color w:val="auto"/>
          <w:sz w:val="32"/>
          <w:szCs w:val="32"/>
          <w:highlight w:val="none"/>
          <w:u w:val="none" w:color="auto"/>
          <w:lang w:eastAsia="zh-CN"/>
        </w:rPr>
        <w:t>。推进劳务派遣企业信用等级评价工作，加强劳务派遣单位分类监管，引导劳务派遣单位提升专业化、规范化服务水平，有效维护被派遣劳动者合法权益。</w:t>
      </w:r>
    </w:p>
    <w:p w14:paraId="705172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rPr>
        <w:t>提升劳动关系领域治理效能</w:t>
      </w:r>
      <w:r>
        <w:rPr>
          <w:rFonts w:hint="default" w:ascii="仿宋_GB2312" w:hAnsi="仿宋_GB2312" w:eastAsia="仿宋_GB2312" w:cs="仿宋_GB2312"/>
          <w:b/>
          <w:bCs/>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rPr>
        <w:t>提升和谐劳动关系治理效能</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加大基层服务平台建设力度，逐步形成共建共治共享的劳动关系治理新格局。强化新就业形态劳动者权益保障，推动新业态健康有序发展</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rPr>
        <w:t>推动人社法治化信访工作，全力化解人社信访突出问题，开展领导接访和包案活动，稳步推进集中治理重复信访、化解信访积案专项工作。落实重大活动及重要敏感时间节点特别防护期信访维稳工作任务和措施，强化应急值守和信息“零报告”机制。</w:t>
      </w:r>
    </w:p>
    <w:p w14:paraId="64E2C01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color w:val="auto"/>
          <w:sz w:val="32"/>
          <w:szCs w:val="32"/>
          <w:highlight w:val="none"/>
          <w:lang w:eastAsia="zh-CN"/>
        </w:rPr>
      </w:pPr>
      <w:bookmarkStart w:id="107" w:name="_Toc986"/>
      <w:bookmarkStart w:id="108" w:name="_Toc403"/>
      <w:bookmarkStart w:id="109" w:name="_Toc2384"/>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rPr>
        <w:t xml:space="preserve">节 </w:t>
      </w:r>
      <w:r>
        <w:rPr>
          <w:rFonts w:hint="eastAsia" w:ascii="楷体_GB2312" w:hAnsi="楷体_GB2312" w:eastAsia="楷体_GB2312" w:cs="楷体_GB2312"/>
          <w:color w:val="auto"/>
          <w:sz w:val="32"/>
          <w:szCs w:val="32"/>
          <w:highlight w:val="none"/>
          <w:lang w:eastAsia="zh-CN"/>
        </w:rPr>
        <w:t>提升</w:t>
      </w:r>
      <w:r>
        <w:rPr>
          <w:rFonts w:hint="default" w:ascii="楷体_GB2312" w:hAnsi="楷体_GB2312" w:eastAsia="楷体_GB2312" w:cs="楷体_GB2312"/>
          <w:color w:val="auto"/>
          <w:sz w:val="32"/>
          <w:szCs w:val="32"/>
          <w:highlight w:val="none"/>
        </w:rPr>
        <w:t>争议调解仲裁</w:t>
      </w:r>
      <w:r>
        <w:rPr>
          <w:rFonts w:hint="eastAsia" w:ascii="楷体_GB2312" w:hAnsi="楷体_GB2312" w:eastAsia="楷体_GB2312" w:cs="楷体_GB2312"/>
          <w:color w:val="auto"/>
          <w:sz w:val="32"/>
          <w:szCs w:val="32"/>
          <w:highlight w:val="none"/>
          <w:lang w:eastAsia="zh-CN"/>
        </w:rPr>
        <w:t>效能</w:t>
      </w:r>
      <w:bookmarkEnd w:id="107"/>
      <w:bookmarkEnd w:id="108"/>
      <w:bookmarkEnd w:id="109"/>
    </w:p>
    <w:p w14:paraId="505F40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bookmarkStart w:id="110" w:name="_Toc6175"/>
      <w:bookmarkStart w:id="111" w:name="_Toc4777"/>
      <w:bookmarkStart w:id="112" w:name="_Toc18960"/>
      <w:r>
        <w:rPr>
          <w:rFonts w:hint="eastAsia" w:ascii="仿宋_GB2312" w:hAnsi="仿宋_GB2312" w:eastAsia="仿宋_GB2312" w:cs="仿宋_GB2312"/>
          <w:b/>
          <w:bCs/>
          <w:color w:val="auto"/>
          <w:sz w:val="32"/>
          <w:szCs w:val="32"/>
          <w:highlight w:val="none"/>
          <w:u w:val="none" w:color="auto"/>
          <w:lang w:val="en-US" w:eastAsia="zh-CN"/>
        </w:rPr>
        <w:t>完善</w:t>
      </w:r>
      <w:r>
        <w:rPr>
          <w:rFonts w:hint="default" w:ascii="仿宋_GB2312" w:hAnsi="仿宋_GB2312" w:eastAsia="仿宋_GB2312" w:cs="仿宋_GB2312"/>
          <w:b/>
          <w:bCs/>
          <w:color w:val="auto"/>
          <w:sz w:val="32"/>
          <w:szCs w:val="32"/>
          <w:highlight w:val="none"/>
          <w:u w:val="none" w:color="auto"/>
        </w:rPr>
        <w:t>劳动人事争议预防协商调解机制。</w:t>
      </w:r>
      <w:r>
        <w:rPr>
          <w:rFonts w:hint="eastAsia" w:ascii="仿宋_GB2312" w:hAnsi="仿宋_GB2312" w:eastAsia="仿宋_GB2312" w:cs="仿宋_GB2312"/>
          <w:b w:val="0"/>
          <w:bCs w:val="0"/>
          <w:color w:val="auto"/>
          <w:sz w:val="32"/>
          <w:szCs w:val="32"/>
          <w:highlight w:val="none"/>
          <w:u w:val="none" w:color="auto"/>
          <w:lang w:eastAsia="zh-CN"/>
        </w:rPr>
        <w:t>加强源头治理，</w:t>
      </w:r>
      <w:r>
        <w:rPr>
          <w:rFonts w:hint="eastAsia" w:ascii="仿宋_GB2312" w:hAnsi="仿宋_GB2312" w:eastAsia="仿宋_GB2312" w:cs="仿宋_GB2312"/>
          <w:color w:val="auto"/>
          <w:sz w:val="32"/>
          <w:szCs w:val="32"/>
          <w:highlight w:val="none"/>
          <w:u w:val="none" w:color="auto"/>
          <w:lang w:eastAsia="zh-CN"/>
        </w:rPr>
        <w:t>持续推进</w:t>
      </w:r>
      <w:r>
        <w:rPr>
          <w:rFonts w:hint="default" w:ascii="仿宋_GB2312" w:hAnsi="仿宋_GB2312" w:eastAsia="仿宋_GB2312" w:cs="仿宋_GB2312"/>
          <w:color w:val="auto"/>
          <w:sz w:val="32"/>
          <w:szCs w:val="32"/>
          <w:highlight w:val="none"/>
          <w:u w:val="none" w:color="auto"/>
        </w:rPr>
        <w:t>基层劳动人事争议协商预防机制</w:t>
      </w:r>
      <w:r>
        <w:rPr>
          <w:rFonts w:hint="eastAsia" w:ascii="仿宋_GB2312" w:hAnsi="仿宋_GB2312" w:eastAsia="仿宋_GB2312" w:cs="仿宋_GB2312"/>
          <w:color w:val="auto"/>
          <w:sz w:val="32"/>
          <w:szCs w:val="32"/>
          <w:highlight w:val="none"/>
          <w:u w:val="none" w:color="auto"/>
          <w:lang w:eastAsia="zh-CN"/>
        </w:rPr>
        <w:t>及各类劳动人事争议</w:t>
      </w:r>
      <w:r>
        <w:rPr>
          <w:rFonts w:hint="default" w:ascii="仿宋_GB2312" w:hAnsi="仿宋_GB2312" w:eastAsia="仿宋_GB2312" w:cs="仿宋_GB2312"/>
          <w:color w:val="auto"/>
          <w:sz w:val="32"/>
          <w:szCs w:val="32"/>
          <w:highlight w:val="none"/>
          <w:u w:val="none" w:color="auto"/>
        </w:rPr>
        <w:t>调解组织建设，</w:t>
      </w:r>
      <w:r>
        <w:rPr>
          <w:rFonts w:hint="eastAsia" w:ascii="仿宋_GB2312" w:hAnsi="仿宋_GB2312" w:eastAsia="仿宋_GB2312" w:cs="仿宋_GB2312"/>
          <w:color w:val="auto"/>
          <w:sz w:val="32"/>
          <w:szCs w:val="32"/>
          <w:highlight w:val="none"/>
          <w:u w:val="none" w:color="auto"/>
          <w:lang w:eastAsia="zh-CN"/>
        </w:rPr>
        <w:t>加强三方联调和一站式调解工作</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以</w:t>
      </w:r>
      <w:r>
        <w:rPr>
          <w:rFonts w:hint="default" w:ascii="仿宋_GB2312" w:hAnsi="仿宋_GB2312" w:eastAsia="仿宋_GB2312" w:cs="仿宋_GB2312"/>
          <w:color w:val="auto"/>
          <w:sz w:val="32"/>
          <w:szCs w:val="32"/>
          <w:highlight w:val="none"/>
          <w:u w:val="none" w:color="auto"/>
        </w:rPr>
        <w:t>金牌劳动人事争议调解组织</w:t>
      </w:r>
      <w:r>
        <w:rPr>
          <w:rFonts w:hint="eastAsia" w:ascii="仿宋_GB2312" w:hAnsi="仿宋_GB2312" w:eastAsia="仿宋_GB2312" w:cs="仿宋_GB2312"/>
          <w:color w:val="auto"/>
          <w:sz w:val="32"/>
          <w:szCs w:val="32"/>
          <w:highlight w:val="none"/>
          <w:u w:val="none" w:color="auto"/>
          <w:lang w:eastAsia="zh-CN"/>
        </w:rPr>
        <w:t>为引领，推动各类劳动人事争议调解组织</w:t>
      </w:r>
      <w:r>
        <w:rPr>
          <w:rFonts w:hint="default" w:ascii="仿宋_GB2312" w:hAnsi="仿宋_GB2312" w:eastAsia="仿宋_GB2312" w:cs="仿宋_GB2312"/>
          <w:color w:val="auto"/>
          <w:sz w:val="32"/>
          <w:szCs w:val="32"/>
          <w:highlight w:val="none"/>
          <w:u w:val="none" w:color="auto"/>
        </w:rPr>
        <w:t>提质增效</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sz w:val="32"/>
          <w:szCs w:val="32"/>
          <w:highlight w:val="none"/>
          <w:lang w:eastAsia="zh-CN"/>
        </w:rPr>
        <w:t>健全完善劳动争议“一站式”全周期服务工作机制，</w:t>
      </w:r>
      <w:r>
        <w:rPr>
          <w:rFonts w:hint="default" w:ascii="仿宋_GB2312" w:hAnsi="仿宋_GB2312" w:eastAsia="仿宋_GB2312" w:cs="仿宋_GB2312"/>
          <w:color w:val="auto"/>
          <w:sz w:val="32"/>
          <w:szCs w:val="32"/>
          <w:highlight w:val="none"/>
          <w:u w:val="none" w:color="auto"/>
        </w:rPr>
        <w:t>推</w:t>
      </w:r>
      <w:r>
        <w:rPr>
          <w:rFonts w:hint="eastAsia" w:ascii="仿宋_GB2312" w:hAnsi="仿宋_GB2312" w:eastAsia="仿宋_GB2312" w:cs="仿宋_GB2312"/>
          <w:color w:val="auto"/>
          <w:sz w:val="32"/>
          <w:szCs w:val="32"/>
          <w:highlight w:val="none"/>
          <w:u w:val="none" w:color="auto"/>
          <w:lang w:eastAsia="zh-CN"/>
        </w:rPr>
        <w:t>动</w:t>
      </w:r>
      <w:r>
        <w:rPr>
          <w:rFonts w:hint="default" w:ascii="仿宋_GB2312" w:hAnsi="仿宋_GB2312" w:eastAsia="仿宋_GB2312" w:cs="仿宋_GB2312"/>
          <w:color w:val="auto"/>
          <w:sz w:val="32"/>
          <w:szCs w:val="32"/>
          <w:highlight w:val="none"/>
          <w:u w:val="none" w:color="auto"/>
        </w:rPr>
        <w:t>劳动争议处理各环节的紧密衔接，</w:t>
      </w:r>
      <w:r>
        <w:rPr>
          <w:rFonts w:hint="eastAsia" w:ascii="仿宋_GB2312" w:hAnsi="仿宋_GB2312" w:eastAsia="仿宋_GB2312" w:cs="仿宋_GB2312"/>
          <w:sz w:val="32"/>
          <w:szCs w:val="32"/>
          <w:highlight w:val="none"/>
          <w:lang w:eastAsia="zh-CN"/>
        </w:rPr>
        <w:t>形成劳动争议“预防-调解-法援-仲裁-诉讼-服务”全流程闭环服务</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sz w:val="32"/>
          <w:szCs w:val="32"/>
          <w:highlight w:val="none"/>
          <w:lang w:eastAsia="zh-CN"/>
        </w:rPr>
        <w:t>加大“劳动普法小课堂”宣传力度，常态化开展青年专职仲裁员志愿服务以及深化劳动人事争议仲裁巡回庭活动。赋能社会治安综合治理中心规范化建设。</w:t>
      </w:r>
    </w:p>
    <w:p w14:paraId="5C2A95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提升劳动人事争议仲裁办案质效。</w:t>
      </w:r>
      <w:r>
        <w:rPr>
          <w:rFonts w:hint="eastAsia" w:ascii="仿宋_GB2312" w:hAnsi="仿宋_GB2312" w:eastAsia="仿宋_GB2312" w:cs="仿宋_GB2312"/>
          <w:b w:val="0"/>
          <w:bCs w:val="0"/>
          <w:color w:val="auto"/>
          <w:sz w:val="32"/>
          <w:szCs w:val="32"/>
          <w:highlight w:val="none"/>
          <w:u w:val="none" w:color="auto"/>
          <w:lang w:eastAsia="zh-CN"/>
        </w:rPr>
        <w:t>探索人工智能赋能调解仲裁工作，提高</w:t>
      </w:r>
      <w:r>
        <w:rPr>
          <w:rFonts w:hint="default" w:ascii="仿宋_GB2312" w:hAnsi="仿宋_GB2312" w:eastAsia="仿宋_GB2312" w:cs="仿宋_GB2312"/>
          <w:color w:val="auto"/>
          <w:sz w:val="32"/>
          <w:szCs w:val="32"/>
          <w:highlight w:val="none"/>
          <w:u w:val="none" w:color="auto"/>
        </w:rPr>
        <w:t>调解仲裁信息化、智能化</w:t>
      </w:r>
      <w:r>
        <w:rPr>
          <w:rFonts w:hint="eastAsia" w:ascii="仿宋_GB2312" w:hAnsi="仿宋_GB2312" w:eastAsia="仿宋_GB2312" w:cs="仿宋_GB2312"/>
          <w:color w:val="auto"/>
          <w:sz w:val="32"/>
          <w:szCs w:val="32"/>
          <w:highlight w:val="none"/>
          <w:u w:val="none" w:color="auto"/>
          <w:lang w:eastAsia="zh-CN"/>
        </w:rPr>
        <w:t>建设</w:t>
      </w:r>
      <w:r>
        <w:rPr>
          <w:rFonts w:hint="default" w:ascii="仿宋_GB2312" w:hAnsi="仿宋_GB2312" w:eastAsia="仿宋_GB2312" w:cs="仿宋_GB2312"/>
          <w:color w:val="auto"/>
          <w:sz w:val="32"/>
          <w:szCs w:val="32"/>
          <w:highlight w:val="none"/>
          <w:u w:val="none" w:color="auto"/>
        </w:rPr>
        <w:t>。全面深入推行要素式办案模式，简化优化立案、庭审、送达等具体程序，推动案件分类处理。巩固预防化解重大集体争议专项行动成果，坚持“属地管辖、依法依规、调解为主、裁审一致”原则，</w:t>
      </w:r>
      <w:r>
        <w:rPr>
          <w:rFonts w:hint="eastAsia" w:ascii="仿宋_GB2312" w:hAnsi="仿宋_GB2312" w:eastAsia="仿宋_GB2312" w:cs="仿宋_GB2312"/>
          <w:color w:val="auto"/>
          <w:sz w:val="32"/>
          <w:szCs w:val="32"/>
          <w:highlight w:val="none"/>
          <w:u w:val="none" w:color="auto"/>
          <w:lang w:eastAsia="zh-CN"/>
        </w:rPr>
        <w:t>加强重大集体争议化解工作，完善健全速裁快处机制。持续推进</w:t>
      </w:r>
      <w:r>
        <w:rPr>
          <w:rFonts w:hint="default" w:ascii="仿宋_GB2312" w:hAnsi="仿宋_GB2312" w:eastAsia="仿宋_GB2312" w:cs="仿宋_GB2312"/>
          <w:color w:val="auto"/>
          <w:sz w:val="32"/>
          <w:szCs w:val="32"/>
          <w:highlight w:val="none"/>
          <w:u w:val="none" w:color="auto"/>
        </w:rPr>
        <w:t>劳动</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仲裁+监察</w:t>
      </w:r>
      <w:r>
        <w:rPr>
          <w:rFonts w:hint="eastAsia" w:ascii="仿宋_GB2312" w:hAnsi="仿宋_GB2312" w:eastAsia="仿宋_GB2312" w:cs="仿宋_GB2312"/>
          <w:color w:val="auto"/>
          <w:sz w:val="32"/>
          <w:szCs w:val="32"/>
          <w:highlight w:val="none"/>
          <w:u w:val="none" w:color="auto"/>
          <w:lang w:eastAsia="zh-CN"/>
        </w:rPr>
        <w:t>”工作衔接</w:t>
      </w:r>
      <w:r>
        <w:rPr>
          <w:rFonts w:hint="default" w:ascii="仿宋_GB2312" w:hAnsi="仿宋_GB2312" w:eastAsia="仿宋_GB2312" w:cs="仿宋_GB2312"/>
          <w:color w:val="auto"/>
          <w:sz w:val="32"/>
          <w:szCs w:val="32"/>
          <w:highlight w:val="none"/>
          <w:u w:val="none" w:color="auto"/>
        </w:rPr>
        <w:t>，完善调解仲裁与劳动保障监察联动机制</w:t>
      </w:r>
      <w:r>
        <w:rPr>
          <w:rFonts w:hint="eastAsia" w:ascii="仿宋_GB2312" w:hAnsi="仿宋_GB2312" w:eastAsia="仿宋_GB2312" w:cs="仿宋_GB2312"/>
          <w:color w:val="auto"/>
          <w:sz w:val="32"/>
          <w:szCs w:val="32"/>
          <w:highlight w:val="none"/>
          <w:u w:val="none" w:color="auto"/>
          <w:lang w:eastAsia="zh-CN"/>
        </w:rPr>
        <w:t>。深化</w:t>
      </w:r>
      <w:r>
        <w:rPr>
          <w:rFonts w:hint="default" w:ascii="仿宋_GB2312" w:hAnsi="仿宋_GB2312" w:eastAsia="仿宋_GB2312" w:cs="仿宋_GB2312"/>
          <w:color w:val="auto"/>
          <w:sz w:val="32"/>
          <w:szCs w:val="32"/>
          <w:highlight w:val="none"/>
          <w:u w:val="none" w:color="auto"/>
        </w:rPr>
        <w:t>裁审衔接机制</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统一</w:t>
      </w:r>
      <w:r>
        <w:rPr>
          <w:rFonts w:hint="eastAsia" w:ascii="仿宋_GB2312" w:hAnsi="仿宋_GB2312" w:eastAsia="仿宋_GB2312" w:cs="仿宋_GB2312"/>
          <w:color w:val="auto"/>
          <w:sz w:val="32"/>
          <w:szCs w:val="32"/>
          <w:highlight w:val="none"/>
          <w:u w:val="none" w:color="auto"/>
          <w:lang w:eastAsia="zh-CN"/>
        </w:rPr>
        <w:t>裁审尺度</w:t>
      </w:r>
      <w:r>
        <w:rPr>
          <w:rFonts w:hint="default" w:ascii="仿宋_GB2312" w:hAnsi="仿宋_GB2312" w:eastAsia="仿宋_GB2312" w:cs="仿宋_GB2312"/>
          <w:color w:val="auto"/>
          <w:sz w:val="32"/>
          <w:szCs w:val="32"/>
          <w:highlight w:val="none"/>
          <w:u w:val="none" w:color="auto"/>
        </w:rPr>
        <w:t>。健全完善仲裁建议书制度，指导用人单位提升依法规范用工水平。</w:t>
      </w:r>
    </w:p>
    <w:p w14:paraId="264A0E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color="auto"/>
          <w:lang w:eastAsia="zh-CN"/>
        </w:rPr>
      </w:pPr>
      <w:r>
        <w:rPr>
          <w:rFonts w:hint="default" w:ascii="仿宋_GB2312" w:hAnsi="仿宋_GB2312" w:eastAsia="仿宋_GB2312" w:cs="仿宋_GB2312"/>
          <w:b/>
          <w:bCs/>
          <w:color w:val="auto"/>
          <w:sz w:val="32"/>
          <w:szCs w:val="32"/>
          <w:highlight w:val="none"/>
          <w:u w:val="none" w:color="auto"/>
        </w:rPr>
        <w:t>加强调解仲裁队伍建设。</w:t>
      </w:r>
      <w:r>
        <w:rPr>
          <w:rFonts w:hint="eastAsia" w:ascii="仿宋_GB2312" w:hAnsi="仿宋_GB2312" w:eastAsia="仿宋_GB2312" w:cs="仿宋_GB2312"/>
          <w:color w:val="auto"/>
          <w:sz w:val="32"/>
          <w:szCs w:val="32"/>
          <w:highlight w:val="none"/>
          <w:u w:val="none" w:color="auto"/>
          <w:lang w:eastAsia="zh-CN"/>
        </w:rPr>
        <w:t>强化</w:t>
      </w:r>
      <w:r>
        <w:rPr>
          <w:rFonts w:hint="default" w:ascii="仿宋_GB2312" w:hAnsi="仿宋_GB2312" w:eastAsia="仿宋_GB2312" w:cs="仿宋_GB2312"/>
          <w:color w:val="auto"/>
          <w:sz w:val="32"/>
          <w:szCs w:val="32"/>
          <w:highlight w:val="none"/>
          <w:u w:val="none" w:color="auto"/>
        </w:rPr>
        <w:t>调解仲裁</w:t>
      </w:r>
      <w:r>
        <w:rPr>
          <w:rFonts w:hint="eastAsia" w:ascii="仿宋_GB2312" w:hAnsi="仿宋_GB2312" w:eastAsia="仿宋_GB2312" w:cs="仿宋_GB2312"/>
          <w:color w:val="auto"/>
          <w:sz w:val="32"/>
          <w:szCs w:val="32"/>
          <w:highlight w:val="none"/>
          <w:u w:val="none" w:color="auto"/>
          <w:lang w:eastAsia="zh-CN"/>
        </w:rPr>
        <w:t>队伍</w:t>
      </w:r>
      <w:r>
        <w:rPr>
          <w:rFonts w:hint="default" w:ascii="仿宋_GB2312" w:hAnsi="仿宋_GB2312" w:eastAsia="仿宋_GB2312" w:cs="仿宋_GB2312"/>
          <w:color w:val="auto"/>
          <w:sz w:val="32"/>
          <w:szCs w:val="32"/>
          <w:highlight w:val="none"/>
          <w:u w:val="none" w:color="auto"/>
        </w:rPr>
        <w:t>建设，落实调解员任职培训</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仲裁员聘前培训。大力发展以专职为主体的调解员队伍，鼓励和支持退休法官、律师、专家学者等社会力量参与调解工作。注重行风建设，排查梳理廉政风险，强化调解仲裁机构内部监督。</w:t>
      </w:r>
      <w:r>
        <w:rPr>
          <w:rFonts w:hint="eastAsia" w:ascii="仿宋_GB2312" w:hAnsi="仿宋_GB2312" w:eastAsia="仿宋_GB2312" w:cs="仿宋_GB2312"/>
          <w:color w:val="auto"/>
          <w:sz w:val="32"/>
          <w:szCs w:val="32"/>
          <w:highlight w:val="none"/>
          <w:u w:val="none" w:color="auto"/>
          <w:lang w:eastAsia="zh-CN"/>
        </w:rPr>
        <w:t>组织</w:t>
      </w:r>
      <w:r>
        <w:rPr>
          <w:rFonts w:hint="default" w:ascii="仿宋_GB2312" w:hAnsi="仿宋_GB2312" w:eastAsia="仿宋_GB2312" w:cs="仿宋_GB2312"/>
          <w:color w:val="auto"/>
          <w:sz w:val="32"/>
          <w:szCs w:val="32"/>
          <w:highlight w:val="none"/>
          <w:u w:val="none" w:color="auto"/>
        </w:rPr>
        <w:t>仲裁员</w:t>
      </w:r>
      <w:r>
        <w:rPr>
          <w:rFonts w:hint="eastAsia" w:ascii="仿宋_GB2312" w:hAnsi="仿宋_GB2312" w:eastAsia="仿宋_GB2312" w:cs="仿宋_GB2312"/>
          <w:color w:val="auto"/>
          <w:sz w:val="32"/>
          <w:szCs w:val="32"/>
          <w:highlight w:val="none"/>
          <w:u w:val="none" w:color="auto"/>
          <w:lang w:eastAsia="zh-CN"/>
        </w:rPr>
        <w:t>参与开展</w:t>
      </w:r>
      <w:r>
        <w:rPr>
          <w:rFonts w:hint="default" w:ascii="仿宋_GB2312" w:hAnsi="仿宋_GB2312" w:eastAsia="仿宋_GB2312" w:cs="仿宋_GB2312"/>
          <w:color w:val="auto"/>
          <w:sz w:val="32"/>
          <w:szCs w:val="32"/>
          <w:highlight w:val="none"/>
          <w:u w:val="none" w:color="auto"/>
        </w:rPr>
        <w:t>注册培训</w:t>
      </w:r>
      <w:r>
        <w:rPr>
          <w:rFonts w:hint="eastAsia" w:ascii="仿宋_GB2312" w:hAnsi="仿宋_GB2312" w:eastAsia="仿宋_GB2312" w:cs="仿宋_GB2312"/>
          <w:color w:val="auto"/>
          <w:sz w:val="32"/>
          <w:szCs w:val="32"/>
          <w:highlight w:val="none"/>
          <w:u w:val="none" w:color="auto"/>
          <w:lang w:eastAsia="zh-CN"/>
        </w:rPr>
        <w:t>，提升仲裁办案水平。</w:t>
      </w:r>
    </w:p>
    <w:p w14:paraId="1CB25845">
      <w:pPr>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 xml:space="preserve">节 </w:t>
      </w:r>
      <w:r>
        <w:rPr>
          <w:rFonts w:hint="eastAsia" w:ascii="楷体_GB2312" w:hAnsi="楷体_GB2312" w:eastAsia="楷体_GB2312" w:cs="楷体_GB2312"/>
          <w:color w:val="auto"/>
          <w:sz w:val="32"/>
          <w:szCs w:val="32"/>
          <w:highlight w:val="none"/>
          <w:lang w:eastAsia="zh-CN"/>
        </w:rPr>
        <w:t>强化</w:t>
      </w:r>
      <w:r>
        <w:rPr>
          <w:rFonts w:hint="default" w:ascii="楷体_GB2312" w:hAnsi="楷体_GB2312" w:eastAsia="楷体_GB2312" w:cs="楷体_GB2312"/>
          <w:color w:val="auto"/>
          <w:sz w:val="32"/>
          <w:szCs w:val="32"/>
          <w:highlight w:val="none"/>
        </w:rPr>
        <w:t>劳动保障监察执法</w:t>
      </w:r>
      <w:bookmarkEnd w:id="110"/>
      <w:bookmarkEnd w:id="111"/>
      <w:bookmarkEnd w:id="112"/>
    </w:p>
    <w:p w14:paraId="0601E7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健全治理欠薪长效机制。</w:t>
      </w:r>
      <w:r>
        <w:rPr>
          <w:rFonts w:hint="default" w:ascii="仿宋_GB2312" w:hAnsi="仿宋_GB2312" w:eastAsia="仿宋_GB2312" w:cs="仿宋_GB2312"/>
          <w:color w:val="auto"/>
          <w:sz w:val="32"/>
          <w:szCs w:val="32"/>
          <w:highlight w:val="none"/>
          <w:u w:val="none" w:color="auto"/>
        </w:rPr>
        <w:t>持续</w:t>
      </w:r>
      <w:r>
        <w:rPr>
          <w:rFonts w:hint="eastAsia" w:ascii="仿宋_GB2312" w:hAnsi="仿宋_GB2312" w:eastAsia="仿宋_GB2312" w:cs="仿宋_GB2312"/>
          <w:color w:val="auto"/>
          <w:sz w:val="32"/>
          <w:szCs w:val="32"/>
          <w:highlight w:val="none"/>
          <w:u w:val="none" w:color="auto"/>
        </w:rPr>
        <w:t>推进根治欠薪源头治理</w:t>
      </w:r>
      <w:r>
        <w:rPr>
          <w:rFonts w:hint="default" w:ascii="仿宋_GB2312" w:hAnsi="仿宋_GB2312" w:eastAsia="仿宋_GB2312" w:cs="仿宋_GB2312"/>
          <w:color w:val="auto"/>
          <w:sz w:val="32"/>
          <w:szCs w:val="32"/>
          <w:highlight w:val="none"/>
          <w:u w:val="none" w:color="auto"/>
        </w:rPr>
        <w:t>，全面落实拖欠农民工工资严重违法失信名单管理</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重大劳动保障违法行为社会公布等各项保障工资支付制度。突出建设工程领域欠薪治理，贯彻落实实名制管理、工资专户管理、工资保证金</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总包代发工资等制度措施。深化政府、国企项目欠薪问题专项整治，一体推进形成政府项目、国企项目不能欠薪、不敢欠薪的源头治理新格局。强化风险预警和应急处置，</w:t>
      </w:r>
      <w:r>
        <w:rPr>
          <w:rFonts w:hint="eastAsia" w:ascii="仿宋_GB2312" w:hAnsi="仿宋_GB2312" w:eastAsia="仿宋_GB2312" w:cs="仿宋_GB2312"/>
          <w:color w:val="auto"/>
          <w:sz w:val="32"/>
          <w:szCs w:val="32"/>
          <w:highlight w:val="none"/>
          <w:u w:val="none" w:color="auto"/>
          <w:lang w:eastAsia="zh-CN"/>
        </w:rPr>
        <w:t>落实</w:t>
      </w:r>
      <w:r>
        <w:rPr>
          <w:rFonts w:hint="default" w:ascii="仿宋_GB2312" w:hAnsi="仿宋_GB2312" w:eastAsia="仿宋_GB2312" w:cs="仿宋_GB2312"/>
          <w:color w:val="auto"/>
          <w:sz w:val="32"/>
          <w:szCs w:val="32"/>
          <w:highlight w:val="none"/>
          <w:u w:val="none" w:color="auto"/>
        </w:rPr>
        <w:t>欠薪风险分类评级预警机制，推动欠薪问题</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早发现、早识别、早干预、早处置</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，提高源头治理效能。</w:t>
      </w:r>
      <w:r>
        <w:rPr>
          <w:rFonts w:hint="eastAsia" w:ascii="仿宋_GB2312" w:hAnsi="仿宋" w:eastAsia="仿宋_GB2312" w:cs="仿宋"/>
          <w:color w:val="auto"/>
          <w:sz w:val="32"/>
          <w:szCs w:val="32"/>
          <w:highlight w:val="none"/>
          <w:lang w:val="en-US" w:eastAsia="zh-CN"/>
        </w:rPr>
        <w:t>紧盯重点领域、重点行业、重点企业，</w:t>
      </w:r>
      <w:r>
        <w:rPr>
          <w:rFonts w:hint="eastAsia" w:ascii="仿宋_GB2312" w:hAnsi="仿宋" w:eastAsia="仿宋_GB2312" w:cs="仿宋"/>
          <w:color w:val="auto"/>
          <w:sz w:val="32"/>
          <w:szCs w:val="32"/>
          <w:highlight w:val="none"/>
          <w:lang w:eastAsia="zh-CN"/>
        </w:rPr>
        <w:t>对欠薪高发的劳动密集型制造业、建筑业等，分类精准施策，强化部门联动，定人定责。</w:t>
      </w:r>
    </w:p>
    <w:p w14:paraId="39C80B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提升劳动保障监察执法能力。</w:t>
      </w:r>
      <w:r>
        <w:rPr>
          <w:rFonts w:hint="default" w:ascii="仿宋_GB2312" w:hAnsi="仿宋_GB2312" w:eastAsia="仿宋_GB2312" w:cs="仿宋_GB2312"/>
          <w:color w:val="auto"/>
          <w:sz w:val="32"/>
          <w:szCs w:val="32"/>
          <w:highlight w:val="none"/>
          <w:u w:val="none" w:color="auto"/>
        </w:rPr>
        <w:t>有效发挥劳动保障监察职能作用。开展重点行业、重点地区、重点人群劳动用工风险排查，聚焦公平就业、工资报酬、工时休假等方面突出矛盾问题，加强监察执法和应急处置。加强劳动用工信用监管，推进拖欠农民工工资失信联合惩戒名单管理，开展重大劳动保障违法行为社会公布，重点加大对拖欠工资、虚假招聘等违法行为公布力度。持续推进企业劳动保障守法诚信等级评价，根据评价等级实施分类监管。组织开展劳动保障监察业务培训，切实提高劳动保障监察执法效能。</w:t>
      </w:r>
    </w:p>
    <w:p w14:paraId="1E182D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提升劳动保障监察信息化水平。</w:t>
      </w:r>
      <w:r>
        <w:rPr>
          <w:rFonts w:hint="default" w:ascii="仿宋_GB2312" w:hAnsi="仿宋_GB2312" w:eastAsia="仿宋_GB2312" w:cs="仿宋_GB2312"/>
          <w:color w:val="auto"/>
          <w:sz w:val="32"/>
          <w:szCs w:val="32"/>
          <w:highlight w:val="none"/>
          <w:u w:val="none" w:color="auto"/>
        </w:rPr>
        <w:t>进一步</w:t>
      </w:r>
      <w:r>
        <w:rPr>
          <w:rFonts w:hint="eastAsia" w:ascii="仿宋_GB2312" w:hAnsi="仿宋_GB2312" w:eastAsia="仿宋_GB2312" w:cs="仿宋_GB2312"/>
          <w:color w:val="auto"/>
          <w:sz w:val="32"/>
          <w:szCs w:val="32"/>
          <w:highlight w:val="none"/>
          <w:u w:val="none" w:color="auto"/>
          <w:lang w:eastAsia="zh-CN"/>
        </w:rPr>
        <w:t>推动</w:t>
      </w:r>
      <w:r>
        <w:rPr>
          <w:rFonts w:hint="default" w:ascii="仿宋_GB2312" w:hAnsi="仿宋_GB2312" w:eastAsia="仿宋_GB2312" w:cs="仿宋_GB2312"/>
          <w:color w:val="auto"/>
          <w:sz w:val="32"/>
          <w:szCs w:val="32"/>
          <w:highlight w:val="none"/>
          <w:u w:val="none" w:color="auto"/>
        </w:rPr>
        <w:t>市级工资支付监控预警平台</w:t>
      </w:r>
      <w:r>
        <w:rPr>
          <w:rFonts w:hint="eastAsia" w:ascii="仿宋_GB2312" w:hAnsi="仿宋_GB2312" w:eastAsia="仿宋_GB2312" w:cs="仿宋_GB2312"/>
          <w:color w:val="auto"/>
          <w:sz w:val="32"/>
          <w:szCs w:val="32"/>
          <w:highlight w:val="none"/>
          <w:u w:val="none" w:color="auto"/>
          <w:lang w:eastAsia="zh-CN"/>
        </w:rPr>
        <w:t>落地</w:t>
      </w:r>
      <w:r>
        <w:rPr>
          <w:rFonts w:hint="default" w:ascii="仿宋_GB2312" w:hAnsi="仿宋_GB2312" w:eastAsia="仿宋_GB2312" w:cs="仿宋_GB2312"/>
          <w:color w:val="auto"/>
          <w:sz w:val="32"/>
          <w:szCs w:val="32"/>
          <w:highlight w:val="none"/>
          <w:u w:val="none" w:color="auto"/>
        </w:rPr>
        <w:t>，建立健全人社与发展改革、财政、住房城乡建设、交通、水利、市场监管、金融监管等部门信息数据共享机制，全面归集在建工程项目信息数据，实现建设工程领域工资支付信息化监控预警。推广</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邑码维权</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江门市劳动权益保护平台，实现举报投诉信息化接收处置，促进劳动保障维权</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投诉在当地</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处理在当地</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化解在当地</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，切实保障劳动者合法劳动权益。</w:t>
      </w:r>
    </w:p>
    <w:p w14:paraId="04878247">
      <w:pPr>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楷体_GB2312" w:hAnsi="楷体_GB2312" w:eastAsia="楷体_GB2312" w:cs="楷体_GB2312"/>
          <w:color w:val="auto"/>
          <w:sz w:val="32"/>
          <w:szCs w:val="32"/>
          <w:highlight w:val="none"/>
          <w:lang w:eastAsia="zh-CN"/>
        </w:rPr>
      </w:pPr>
      <w:bookmarkStart w:id="113" w:name="_Toc1689"/>
      <w:bookmarkStart w:id="114" w:name="_Toc993"/>
      <w:bookmarkStart w:id="115" w:name="_Toc10375"/>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 xml:space="preserve">节 </w:t>
      </w:r>
      <w:r>
        <w:rPr>
          <w:rFonts w:hint="eastAsia" w:ascii="楷体_GB2312" w:hAnsi="楷体_GB2312" w:eastAsia="楷体_GB2312" w:cs="楷体_GB2312"/>
          <w:color w:val="auto"/>
          <w:sz w:val="32"/>
          <w:szCs w:val="32"/>
          <w:highlight w:val="none"/>
          <w:lang w:eastAsia="zh-CN"/>
        </w:rPr>
        <w:t>筑牢</w:t>
      </w:r>
      <w:r>
        <w:rPr>
          <w:rFonts w:hint="eastAsia" w:ascii="楷体_GB2312" w:hAnsi="楷体_GB2312" w:eastAsia="楷体_GB2312" w:cs="楷体_GB2312"/>
          <w:color w:val="auto"/>
          <w:sz w:val="32"/>
          <w:szCs w:val="32"/>
          <w:highlight w:val="none"/>
        </w:rPr>
        <w:t>新业态劳动者权益保障</w:t>
      </w:r>
      <w:r>
        <w:rPr>
          <w:rFonts w:hint="eastAsia" w:ascii="楷体_GB2312" w:hAnsi="楷体_GB2312" w:eastAsia="楷体_GB2312" w:cs="楷体_GB2312"/>
          <w:color w:val="auto"/>
          <w:sz w:val="32"/>
          <w:szCs w:val="32"/>
          <w:highlight w:val="none"/>
          <w:lang w:eastAsia="zh-CN"/>
        </w:rPr>
        <w:t>防线</w:t>
      </w:r>
      <w:bookmarkEnd w:id="113"/>
      <w:bookmarkEnd w:id="114"/>
      <w:bookmarkEnd w:id="115"/>
    </w:p>
    <w:p w14:paraId="124B49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持续规范平台企业用工。</w:t>
      </w:r>
      <w:r>
        <w:rPr>
          <w:rFonts w:hint="default" w:ascii="仿宋_GB2312" w:hAnsi="仿宋_GB2312" w:eastAsia="仿宋_GB2312" w:cs="仿宋_GB2312"/>
          <w:color w:val="auto"/>
          <w:sz w:val="32"/>
          <w:szCs w:val="32"/>
          <w:highlight w:val="none"/>
          <w:u w:val="none" w:color="auto"/>
        </w:rPr>
        <w:t>加强对灵活就业、新就业形态的服务管理，</w:t>
      </w:r>
      <w:r>
        <w:rPr>
          <w:rFonts w:hint="eastAsia" w:ascii="仿宋_GB2312" w:hAnsi="仿宋_GB2312" w:eastAsia="仿宋_GB2312" w:cs="仿宋_GB2312"/>
          <w:color w:val="auto"/>
          <w:sz w:val="32"/>
          <w:szCs w:val="32"/>
          <w:highlight w:val="none"/>
          <w:u w:val="none" w:color="auto"/>
          <w:lang w:eastAsia="zh-CN"/>
        </w:rPr>
        <w:t>落实</w:t>
      </w:r>
      <w:r>
        <w:rPr>
          <w:rFonts w:hint="default" w:ascii="仿宋_GB2312" w:hAnsi="仿宋_GB2312" w:eastAsia="仿宋_GB2312" w:cs="仿宋_GB2312"/>
          <w:color w:val="auto"/>
          <w:sz w:val="32"/>
          <w:szCs w:val="32"/>
          <w:highlight w:val="none"/>
          <w:u w:val="none" w:color="auto"/>
        </w:rPr>
        <w:t>灵活就业人员就业失业登记制度。加强企业用工指导，推动依法订立劳动合同和书面协议，压实企业劳动保护责任</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加强行政指导</w:t>
      </w:r>
      <w:r>
        <w:rPr>
          <w:rFonts w:hint="default" w:ascii="仿宋_GB2312" w:hAnsi="仿宋_GB2312" w:eastAsia="仿宋_GB2312" w:cs="仿宋_GB2312"/>
          <w:color w:val="auto"/>
          <w:sz w:val="32"/>
          <w:szCs w:val="32"/>
          <w:highlight w:val="none"/>
          <w:u w:val="none" w:color="auto"/>
          <w:lang w:eastAsia="zh-CN"/>
        </w:rPr>
        <w:t>和检查、执法</w:t>
      </w:r>
      <w:r>
        <w:rPr>
          <w:rFonts w:hint="default" w:ascii="仿宋_GB2312" w:hAnsi="仿宋_GB2312" w:eastAsia="仿宋_GB2312" w:cs="仿宋_GB2312"/>
          <w:color w:val="auto"/>
          <w:sz w:val="32"/>
          <w:szCs w:val="32"/>
          <w:highlight w:val="none"/>
          <w:u w:val="none" w:color="auto"/>
        </w:rPr>
        <w:t>，对企业劳动合同签订、社保缴纳、劳动报酬等权益保障</w:t>
      </w:r>
      <w:r>
        <w:rPr>
          <w:rFonts w:hint="default" w:ascii="仿宋_GB2312" w:hAnsi="仿宋_GB2312" w:eastAsia="仿宋_GB2312" w:cs="仿宋_GB2312"/>
          <w:color w:val="auto"/>
          <w:sz w:val="32"/>
          <w:szCs w:val="32"/>
          <w:highlight w:val="none"/>
          <w:u w:val="none" w:color="auto"/>
          <w:lang w:eastAsia="zh-CN"/>
        </w:rPr>
        <w:t>情况开展</w:t>
      </w:r>
      <w:r>
        <w:rPr>
          <w:rFonts w:hint="default" w:ascii="仿宋_GB2312" w:hAnsi="仿宋_GB2312" w:eastAsia="仿宋_GB2312" w:cs="仿宋_GB2312"/>
          <w:color w:val="auto"/>
          <w:sz w:val="32"/>
          <w:szCs w:val="32"/>
          <w:highlight w:val="none"/>
          <w:u w:val="none" w:color="auto"/>
        </w:rPr>
        <w:t>检查</w:t>
      </w:r>
      <w:r>
        <w:rPr>
          <w:rFonts w:hint="default" w:ascii="仿宋_GB2312" w:hAnsi="仿宋_GB2312" w:eastAsia="仿宋_GB2312" w:cs="仿宋_GB2312"/>
          <w:color w:val="auto"/>
          <w:sz w:val="32"/>
          <w:szCs w:val="32"/>
          <w:highlight w:val="none"/>
          <w:u w:val="none" w:color="auto"/>
          <w:lang w:eastAsia="zh-CN"/>
        </w:rPr>
        <w:t>、调研，</w:t>
      </w:r>
      <w:r>
        <w:rPr>
          <w:rFonts w:hint="default" w:ascii="仿宋_GB2312" w:hAnsi="仿宋_GB2312" w:eastAsia="仿宋_GB2312" w:cs="仿宋_GB2312"/>
          <w:color w:val="auto"/>
          <w:sz w:val="32"/>
          <w:szCs w:val="32"/>
          <w:highlight w:val="none"/>
          <w:u w:val="none" w:color="auto"/>
        </w:rPr>
        <w:t>强化劳动监察执法</w:t>
      </w:r>
      <w:r>
        <w:rPr>
          <w:rFonts w:hint="default" w:ascii="仿宋_GB2312" w:hAnsi="仿宋_GB2312" w:eastAsia="仿宋_GB2312" w:cs="仿宋_GB2312"/>
          <w:color w:val="auto"/>
          <w:sz w:val="32"/>
          <w:szCs w:val="32"/>
          <w:highlight w:val="none"/>
          <w:u w:val="none" w:color="auto"/>
          <w:lang w:eastAsia="zh-CN"/>
        </w:rPr>
        <w:t>。</w:t>
      </w:r>
    </w:p>
    <w:p w14:paraId="7E5400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建设</w:t>
      </w:r>
      <w:r>
        <w:rPr>
          <w:rFonts w:hint="default" w:ascii="仿宋_GB2312" w:hAnsi="仿宋_GB2312" w:eastAsia="仿宋_GB2312" w:cs="仿宋_GB2312"/>
          <w:b/>
          <w:bCs/>
          <w:color w:val="auto"/>
          <w:sz w:val="32"/>
          <w:szCs w:val="32"/>
          <w:highlight w:val="none"/>
          <w:u w:val="none" w:color="auto"/>
        </w:rPr>
        <w:t>新业态就业友好型城市。</w:t>
      </w:r>
      <w:r>
        <w:rPr>
          <w:rFonts w:hint="default" w:ascii="仿宋_GB2312" w:hAnsi="仿宋_GB2312" w:eastAsia="仿宋_GB2312" w:cs="仿宋_GB2312"/>
          <w:color w:val="auto"/>
          <w:sz w:val="32"/>
          <w:szCs w:val="32"/>
          <w:highlight w:val="none"/>
          <w:u w:val="none" w:color="auto"/>
        </w:rPr>
        <w:t>落实</w:t>
      </w:r>
      <w:r>
        <w:rPr>
          <w:rFonts w:hint="eastAsia" w:ascii="仿宋_GB2312" w:hAnsi="仿宋_GB2312" w:eastAsia="仿宋_GB2312" w:cs="仿宋_GB2312"/>
          <w:color w:val="auto"/>
          <w:sz w:val="32"/>
          <w:szCs w:val="32"/>
          <w:highlight w:val="none"/>
          <w:u w:val="none" w:color="auto"/>
          <w:lang w:val="en-US" w:eastAsia="zh-CN"/>
        </w:rPr>
        <w:t>江门</w:t>
      </w:r>
      <w:r>
        <w:rPr>
          <w:rFonts w:hint="default" w:ascii="仿宋_GB2312" w:hAnsi="仿宋_GB2312" w:eastAsia="仿宋_GB2312" w:cs="仿宋_GB2312"/>
          <w:color w:val="auto"/>
          <w:sz w:val="32"/>
          <w:szCs w:val="32"/>
          <w:highlight w:val="none"/>
          <w:u w:val="none" w:color="auto"/>
        </w:rPr>
        <w:t>市维护新就业形态劳动者劳动保障权益</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五十条</w:t>
      </w:r>
      <w:r>
        <w:rPr>
          <w:rFonts w:hint="eastAsia" w:ascii="仿宋_GB2312" w:hAnsi="仿宋_GB2312" w:eastAsia="仿宋_GB2312" w:cs="仿宋_GB2312"/>
          <w:color w:val="auto"/>
          <w:sz w:val="32"/>
          <w:szCs w:val="32"/>
          <w:highlight w:val="none"/>
          <w:u w:val="none" w:color="auto"/>
          <w:lang w:eastAsia="zh-CN"/>
        </w:rPr>
        <w:t>”，深化新业态就业友好型城市建设</w:t>
      </w:r>
      <w:r>
        <w:rPr>
          <w:rFonts w:hint="default" w:ascii="仿宋_GB2312" w:hAnsi="仿宋_GB2312" w:eastAsia="仿宋_GB2312" w:cs="仿宋_GB2312"/>
          <w:color w:val="auto"/>
          <w:sz w:val="32"/>
          <w:szCs w:val="32"/>
          <w:highlight w:val="none"/>
          <w:u w:val="none" w:color="auto"/>
        </w:rPr>
        <w:t>，促进新业态从业人员高质量就业，新业态劳动关系和谐稳定。为用人单位和劳动者提供普法宣传、调解仲裁、法律援助、</w:t>
      </w:r>
      <w:r>
        <w:rPr>
          <w:rFonts w:hint="eastAsia" w:ascii="仿宋_GB2312" w:hAnsi="仿宋_GB2312" w:eastAsia="仿宋_GB2312" w:cs="仿宋_GB2312"/>
          <w:color w:val="auto"/>
          <w:sz w:val="32"/>
          <w:szCs w:val="32"/>
          <w:highlight w:val="none"/>
          <w:u w:val="none" w:color="auto"/>
          <w:lang w:eastAsia="zh-CN"/>
        </w:rPr>
        <w:t>仲裁（</w:t>
      </w:r>
      <w:r>
        <w:rPr>
          <w:rFonts w:hint="default" w:ascii="仿宋_GB2312" w:hAnsi="仿宋_GB2312" w:eastAsia="仿宋_GB2312" w:cs="仿宋_GB2312"/>
          <w:color w:val="auto"/>
          <w:sz w:val="32"/>
          <w:szCs w:val="32"/>
          <w:highlight w:val="none"/>
          <w:u w:val="none" w:color="auto"/>
        </w:rPr>
        <w:t>司法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确认、劳动就业等便民服务。</w:t>
      </w:r>
    </w:p>
    <w:p w14:paraId="686372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有效预防和化解劳动纠纷。</w:t>
      </w:r>
      <w:r>
        <w:rPr>
          <w:rFonts w:hint="default" w:ascii="仿宋_GB2312" w:hAnsi="仿宋_GB2312" w:eastAsia="仿宋_GB2312" w:cs="仿宋_GB2312"/>
          <w:color w:val="auto"/>
          <w:sz w:val="32"/>
          <w:szCs w:val="32"/>
          <w:highlight w:val="none"/>
          <w:u w:val="none" w:color="auto"/>
        </w:rPr>
        <w:t>持续整顿人力资源市场秩序，有效治理欠薪欠保、违法裁员、求职陷阱等乱象。针对新业态用工特点，制定标准化工作流程，提供普法宣传、调解仲裁、劳动就业等便民服务，突出治理拖欠劳动报酬、违法超时加班、违法转嫁劳动权益保障责任等问题。加强舆情跟踪监测，建立健全涉新就业形态风险预防和处置预案，坚决防范化解风险隐患。</w:t>
      </w:r>
    </w:p>
    <w:p w14:paraId="603B513A">
      <w:pPr>
        <w:pStyle w:val="2"/>
        <w:rPr>
          <w:rFonts w:hint="default"/>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1"/>
      </w:tblGrid>
      <w:tr w14:paraId="4057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shd w:val="clear" w:color="auto" w:fill="FFC000"/>
            <w:noWrap w:val="0"/>
            <w:vAlign w:val="top"/>
          </w:tcPr>
          <w:p w14:paraId="0544448F">
            <w:pPr>
              <w:spacing w:line="560" w:lineRule="exact"/>
              <w:jc w:val="center"/>
              <w:rPr>
                <w:rFonts w:hint="default" w:ascii="Times New Roman" w:hAnsi="Times New Roman" w:eastAsia="仿宋_GB2312" w:cs="Times New Roman"/>
                <w:color w:val="auto"/>
                <w:highlight w:val="none"/>
                <w:u w:val="none" w:color="auto"/>
              </w:rPr>
            </w:pPr>
            <w:r>
              <w:rPr>
                <w:rFonts w:hint="eastAsia" w:ascii="黑体" w:hAnsi="黑体" w:eastAsia="黑体" w:cs="黑体"/>
                <w:b w:val="0"/>
                <w:bCs/>
                <w:color w:val="auto"/>
                <w:kern w:val="0"/>
                <w:sz w:val="32"/>
                <w:szCs w:val="32"/>
                <w:highlight w:val="none"/>
                <w:u w:val="none" w:color="auto"/>
              </w:rPr>
              <w:t>专栏 持续开展新就业形态劳动者劳动权益维护行动</w:t>
            </w:r>
          </w:p>
        </w:tc>
      </w:tr>
      <w:tr w14:paraId="7E6D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noWrap w:val="0"/>
            <w:vAlign w:val="top"/>
          </w:tcPr>
          <w:p w14:paraId="17CD7B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color w:val="auto"/>
                <w:highlight w:val="none"/>
                <w:u w:val="none" w:color="auto"/>
              </w:rPr>
            </w:pPr>
            <w:r>
              <w:rPr>
                <w:rFonts w:hint="default" w:ascii="仿宋_GB2312" w:hAnsi="仿宋_GB2312" w:eastAsia="仿宋_GB2312" w:cs="仿宋_GB2312"/>
                <w:color w:val="auto"/>
                <w:sz w:val="28"/>
                <w:szCs w:val="28"/>
                <w:highlight w:val="none"/>
                <w:u w:val="none" w:color="auto"/>
                <w:lang w:val="en-US" w:eastAsia="zh-CN"/>
              </w:rPr>
              <w:t>探索建立新就业形态用工基础信息台账，摸清新就业形态劳动者情况和权益保障短板弱项，加强用工指导和监督，规范平台企业用工管理，有效预防和化解新就业形态领域劳动纠纷。</w:t>
            </w:r>
          </w:p>
        </w:tc>
      </w:tr>
    </w:tbl>
    <w:p w14:paraId="167B0272">
      <w:pPr>
        <w:ind w:firstLine="320" w:firstLineChars="100"/>
        <w:jc w:val="center"/>
        <w:rPr>
          <w:rFonts w:ascii="楷体_GB2312" w:hAnsi="楷体_GB2312" w:eastAsia="楷体_GB2312" w:cs="楷体_GB2312"/>
          <w:color w:val="auto"/>
          <w:sz w:val="32"/>
          <w:szCs w:val="32"/>
          <w:highlight w:val="none"/>
        </w:rPr>
      </w:pPr>
    </w:p>
    <w:p w14:paraId="3D53446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仿宋_GB2312" w:hAnsi="仿宋_GB2312" w:eastAsia="仿宋_GB2312" w:cs="仿宋_GB2312"/>
          <w:color w:val="auto"/>
          <w:sz w:val="32"/>
          <w:szCs w:val="32"/>
          <w:highlight w:val="none"/>
        </w:rPr>
      </w:pPr>
      <w:bookmarkStart w:id="116" w:name="_Toc22334"/>
      <w:bookmarkStart w:id="117" w:name="_Toc24532"/>
      <w:bookmarkStart w:id="118" w:name="_Toc20506"/>
      <w:r>
        <w:rPr>
          <w:rFonts w:hint="eastAsia" w:ascii="黑体" w:hAnsi="黑体" w:eastAsia="黑体" w:cs="黑体"/>
          <w:color w:val="auto"/>
          <w:sz w:val="32"/>
          <w:szCs w:val="32"/>
          <w:highlight w:val="none"/>
        </w:rPr>
        <w:t>第九章 围绕行风建设新要求 全方位提升人社服务效能</w:t>
      </w:r>
      <w:bookmarkEnd w:id="116"/>
      <w:bookmarkEnd w:id="117"/>
      <w:bookmarkEnd w:id="118"/>
    </w:p>
    <w:p w14:paraId="3FC8B4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color="auto"/>
        </w:rPr>
      </w:pPr>
      <w:r>
        <w:rPr>
          <w:rFonts w:hint="eastAsia" w:ascii="仿宋_GB2312" w:hAnsi="仿宋_GB2312" w:eastAsia="仿宋_GB2312" w:cs="仿宋_GB2312"/>
          <w:color w:val="auto"/>
          <w:sz w:val="32"/>
          <w:szCs w:val="32"/>
          <w:highlight w:val="none"/>
          <w:u w:val="none"/>
          <w:lang w:eastAsia="zh-CN"/>
        </w:rPr>
        <w:t>推动</w:t>
      </w:r>
      <w:r>
        <w:rPr>
          <w:rFonts w:hint="eastAsia" w:ascii="仿宋_GB2312" w:hAnsi="仿宋_GB2312" w:eastAsia="仿宋_GB2312" w:cs="仿宋_GB2312"/>
          <w:color w:val="auto"/>
          <w:sz w:val="32"/>
          <w:szCs w:val="32"/>
          <w:highlight w:val="none"/>
          <w:u w:val="none"/>
          <w:lang w:val="en-US" w:eastAsia="zh-CN"/>
        </w:rPr>
        <w:t>人社</w:t>
      </w:r>
      <w:r>
        <w:rPr>
          <w:rFonts w:hint="eastAsia" w:ascii="仿宋_GB2312" w:hAnsi="仿宋_GB2312" w:eastAsia="仿宋_GB2312" w:cs="仿宋_GB2312"/>
          <w:color w:val="auto"/>
          <w:sz w:val="32"/>
          <w:szCs w:val="32"/>
          <w:highlight w:val="none"/>
          <w:u w:val="none"/>
        </w:rPr>
        <w:t>领域行风</w:t>
      </w:r>
      <w:r>
        <w:rPr>
          <w:rFonts w:hint="eastAsia" w:ascii="仿宋_GB2312" w:hAnsi="仿宋_GB2312" w:eastAsia="仿宋_GB2312" w:cs="仿宋_GB2312"/>
          <w:color w:val="auto"/>
          <w:sz w:val="32"/>
          <w:szCs w:val="32"/>
          <w:highlight w:val="none"/>
          <w:u w:val="none"/>
          <w:lang w:eastAsia="zh-CN"/>
        </w:rPr>
        <w:t>建设走深走实</w:t>
      </w:r>
      <w:r>
        <w:rPr>
          <w:rFonts w:hint="default" w:ascii="仿宋_GB2312" w:hAnsi="仿宋_GB2312" w:eastAsia="仿宋_GB2312" w:cs="仿宋_GB2312"/>
          <w:color w:val="auto"/>
          <w:sz w:val="32"/>
          <w:szCs w:val="32"/>
          <w:highlight w:val="none"/>
          <w:u w:val="none" w:color="auto"/>
        </w:rPr>
        <w:t>，健全人力资源社会保障公共服务</w:t>
      </w:r>
      <w:r>
        <w:rPr>
          <w:rFonts w:hint="eastAsia" w:ascii="仿宋_GB2312" w:hAnsi="仿宋_GB2312" w:eastAsia="仿宋_GB2312" w:cs="仿宋_GB2312"/>
          <w:color w:val="auto"/>
          <w:sz w:val="32"/>
          <w:szCs w:val="32"/>
          <w:highlight w:val="none"/>
          <w:u w:val="none" w:color="auto"/>
          <w:lang w:val="en-US" w:eastAsia="zh-CN"/>
        </w:rPr>
        <w:t>体系</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全面提升</w:t>
      </w:r>
      <w:r>
        <w:rPr>
          <w:rFonts w:hint="default" w:ascii="仿宋_GB2312" w:hAnsi="仿宋_GB2312" w:eastAsia="仿宋_GB2312" w:cs="仿宋_GB2312"/>
          <w:color w:val="auto"/>
          <w:sz w:val="32"/>
          <w:szCs w:val="32"/>
          <w:highlight w:val="none"/>
          <w:u w:val="none" w:color="auto"/>
        </w:rPr>
        <w:t>线上线下政务服务能力，完善</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高效办成一件事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重点事项清单管理机制和常态化推进机制，大力推进人社公共服务标准化信息化数字化，不断提升人力资源社会保障基本公共服务均等化、普惠化、便捷化水平。</w:t>
      </w:r>
    </w:p>
    <w:p w14:paraId="6CD4F358">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auto"/>
          <w:sz w:val="32"/>
          <w:szCs w:val="32"/>
          <w:highlight w:val="none"/>
        </w:rPr>
      </w:pPr>
      <w:bookmarkStart w:id="119" w:name="_Toc17940"/>
      <w:bookmarkStart w:id="120" w:name="_Toc24931"/>
      <w:bookmarkStart w:id="121" w:name="_Toc22290"/>
      <w:r>
        <w:rPr>
          <w:rFonts w:hint="eastAsia" w:ascii="楷体_GB2312" w:hAnsi="楷体_GB2312" w:eastAsia="楷体_GB2312" w:cs="楷体_GB2312"/>
          <w:color w:val="auto"/>
          <w:sz w:val="32"/>
          <w:szCs w:val="32"/>
          <w:highlight w:val="none"/>
        </w:rPr>
        <w:t xml:space="preserve">第一节 </w:t>
      </w:r>
      <w:r>
        <w:rPr>
          <w:rFonts w:hint="default" w:ascii="楷体_GB2312" w:hAnsi="楷体_GB2312" w:eastAsia="楷体_GB2312" w:cs="楷体_GB2312"/>
          <w:color w:val="auto"/>
          <w:sz w:val="32"/>
          <w:szCs w:val="32"/>
          <w:highlight w:val="none"/>
        </w:rPr>
        <w:t>加强人社系统行风建设</w:t>
      </w:r>
      <w:bookmarkEnd w:id="119"/>
      <w:bookmarkEnd w:id="120"/>
      <w:bookmarkEnd w:id="121"/>
    </w:p>
    <w:p w14:paraId="656D8A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推进人社</w:t>
      </w:r>
      <w:r>
        <w:rPr>
          <w:rFonts w:hint="eastAsia" w:ascii="仿宋_GB2312" w:hAnsi="仿宋_GB2312" w:eastAsia="仿宋_GB2312" w:cs="仿宋_GB2312"/>
          <w:b/>
          <w:bCs/>
          <w:color w:val="auto"/>
          <w:sz w:val="32"/>
          <w:szCs w:val="32"/>
          <w:highlight w:val="none"/>
          <w:u w:val="none" w:color="auto"/>
          <w:lang w:eastAsia="zh-CN"/>
        </w:rPr>
        <w:t>政务</w:t>
      </w:r>
      <w:r>
        <w:rPr>
          <w:rFonts w:hint="default" w:ascii="仿宋_GB2312" w:hAnsi="仿宋_GB2312" w:eastAsia="仿宋_GB2312" w:cs="仿宋_GB2312"/>
          <w:b/>
          <w:bCs/>
          <w:color w:val="auto"/>
          <w:sz w:val="32"/>
          <w:szCs w:val="32"/>
          <w:highlight w:val="none"/>
          <w:u w:val="none" w:color="auto"/>
        </w:rPr>
        <w:t>服务标准化建设。</w:t>
      </w:r>
      <w:r>
        <w:rPr>
          <w:rFonts w:hint="eastAsia" w:ascii="仿宋_GB2312" w:hAnsi="仿宋_GB2312" w:eastAsia="仿宋_GB2312" w:cs="仿宋_GB2312"/>
          <w:color w:val="auto"/>
          <w:sz w:val="32"/>
          <w:szCs w:val="32"/>
          <w:highlight w:val="none"/>
          <w:u w:val="none" w:color="auto"/>
          <w:lang w:val="en-US" w:eastAsia="zh-CN"/>
        </w:rPr>
        <w:t>强化</w:t>
      </w:r>
      <w:r>
        <w:rPr>
          <w:rFonts w:hint="default" w:ascii="仿宋_GB2312" w:hAnsi="仿宋_GB2312" w:eastAsia="仿宋_GB2312" w:cs="仿宋_GB2312"/>
          <w:color w:val="auto"/>
          <w:sz w:val="32"/>
          <w:szCs w:val="32"/>
          <w:highlight w:val="none"/>
          <w:u w:val="none" w:color="auto"/>
        </w:rPr>
        <w:t>人力资源社会保障标准实施，梳理完善就业创业等事项服务标准。落实服务事项基础标准，</w:t>
      </w:r>
      <w:r>
        <w:rPr>
          <w:rFonts w:hint="eastAsia" w:ascii="仿宋_GB2312" w:hAnsi="仿宋_GB2312" w:eastAsia="仿宋_GB2312" w:cs="仿宋_GB2312"/>
          <w:color w:val="auto"/>
          <w:sz w:val="32"/>
          <w:szCs w:val="32"/>
          <w:highlight w:val="none"/>
          <w:u w:val="none" w:color="auto"/>
          <w:lang w:val="en-US" w:eastAsia="zh-CN"/>
        </w:rPr>
        <w:t>配合上级</w:t>
      </w:r>
      <w:r>
        <w:rPr>
          <w:rFonts w:hint="default" w:ascii="仿宋_GB2312" w:hAnsi="仿宋_GB2312" w:eastAsia="仿宋_GB2312" w:cs="仿宋_GB2312"/>
          <w:color w:val="auto"/>
          <w:sz w:val="32"/>
          <w:szCs w:val="32"/>
          <w:highlight w:val="none"/>
          <w:u w:val="none" w:color="auto"/>
        </w:rPr>
        <w:t>动态调整我市人社政务服务事项清单</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完善</w:t>
      </w:r>
      <w:r>
        <w:rPr>
          <w:rFonts w:hint="default" w:ascii="仿宋_GB2312" w:hAnsi="仿宋_GB2312" w:eastAsia="仿宋_GB2312" w:cs="仿宋_GB2312"/>
          <w:color w:val="auto"/>
          <w:sz w:val="32"/>
          <w:szCs w:val="32"/>
          <w:highlight w:val="none"/>
          <w:u w:val="none" w:color="auto"/>
        </w:rPr>
        <w:t>办事指南。</w:t>
      </w:r>
      <w:r>
        <w:rPr>
          <w:rFonts w:hint="eastAsia" w:ascii="仿宋_GB2312" w:hAnsi="仿宋_GB2312" w:eastAsia="仿宋_GB2312" w:cs="仿宋_GB2312"/>
          <w:color w:val="auto"/>
          <w:sz w:val="32"/>
          <w:szCs w:val="32"/>
          <w:highlight w:val="none"/>
          <w:u w:val="none" w:color="auto"/>
          <w:lang w:val="en-US" w:eastAsia="zh-CN"/>
        </w:rPr>
        <w:t>配合上级</w:t>
      </w:r>
      <w:r>
        <w:rPr>
          <w:rFonts w:hint="default" w:ascii="仿宋_GB2312" w:hAnsi="仿宋_GB2312" w:eastAsia="仿宋_GB2312" w:cs="仿宋_GB2312"/>
          <w:color w:val="auto"/>
          <w:sz w:val="32"/>
          <w:szCs w:val="32"/>
          <w:highlight w:val="none"/>
          <w:u w:val="none" w:color="auto"/>
        </w:rPr>
        <w:t>动态更新</w:t>
      </w:r>
      <w:r>
        <w:rPr>
          <w:rFonts w:hint="eastAsia" w:ascii="仿宋_GB2312" w:hAnsi="仿宋_GB2312" w:eastAsia="仿宋_GB2312" w:cs="仿宋_GB2312"/>
          <w:color w:val="auto"/>
          <w:sz w:val="32"/>
          <w:szCs w:val="32"/>
          <w:highlight w:val="none"/>
          <w:u w:val="none" w:color="auto"/>
          <w:lang w:val="en-US" w:eastAsia="zh-CN"/>
        </w:rPr>
        <w:t>我</w:t>
      </w:r>
      <w:r>
        <w:rPr>
          <w:rFonts w:hint="default" w:ascii="仿宋_GB2312" w:hAnsi="仿宋_GB2312" w:eastAsia="仿宋_GB2312" w:cs="仿宋_GB2312"/>
          <w:color w:val="auto"/>
          <w:sz w:val="32"/>
          <w:szCs w:val="32"/>
          <w:highlight w:val="none"/>
          <w:u w:val="none" w:color="auto"/>
        </w:rPr>
        <w:t>市人社基本公共服务事项清单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动态调整与服务事项配套的市级政策待遇标准，不断优化服务流程、规范服务行为、提高服务质量。</w:t>
      </w:r>
    </w:p>
    <w:p w14:paraId="596C2C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加强政务服务渠道建设。</w:t>
      </w:r>
      <w:r>
        <w:rPr>
          <w:rFonts w:hint="default" w:ascii="仿宋_GB2312" w:hAnsi="仿宋_GB2312" w:eastAsia="仿宋_GB2312" w:cs="仿宋_GB2312"/>
          <w:color w:val="auto"/>
          <w:sz w:val="32"/>
          <w:szCs w:val="32"/>
          <w:highlight w:val="none"/>
          <w:u w:val="none" w:color="auto"/>
        </w:rPr>
        <w:t>落实人社领域</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高效办成一件事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重点事项清单管理机制和常态化推进机制</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配合上级</w:t>
      </w:r>
      <w:r>
        <w:rPr>
          <w:rFonts w:hint="eastAsia" w:ascii="仿宋_GB2312" w:hAnsi="仿宋_GB2312" w:eastAsia="仿宋_GB2312" w:cs="仿宋_GB2312"/>
          <w:color w:val="auto"/>
          <w:sz w:val="32"/>
          <w:szCs w:val="32"/>
          <w:highlight w:val="none"/>
          <w:u w:val="none" w:color="auto"/>
          <w:lang w:eastAsia="zh-CN"/>
        </w:rPr>
        <w:t>推动更多服务事项“</w:t>
      </w:r>
      <w:r>
        <w:rPr>
          <w:rFonts w:hint="default" w:ascii="仿宋_GB2312" w:hAnsi="仿宋_GB2312" w:eastAsia="仿宋_GB2312" w:cs="仿宋_GB2312"/>
          <w:color w:val="auto"/>
          <w:sz w:val="32"/>
          <w:szCs w:val="32"/>
          <w:highlight w:val="none"/>
          <w:u w:val="none" w:color="auto"/>
        </w:rPr>
        <w:t>高效办成一件事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实现</w:t>
      </w:r>
      <w:r>
        <w:rPr>
          <w:rFonts w:hint="default" w:ascii="仿宋_GB2312" w:hAnsi="仿宋_GB2312" w:eastAsia="仿宋_GB2312" w:cs="仿宋_GB2312"/>
          <w:color w:val="auto"/>
          <w:sz w:val="32"/>
          <w:szCs w:val="32"/>
          <w:highlight w:val="none"/>
          <w:u w:val="none" w:color="auto"/>
        </w:rPr>
        <w:t>更多服务事项关联办、高效办。整合资源畅通政务服务渠道，依托市行政服务中心综窗、</w:t>
      </w:r>
      <w:r>
        <w:rPr>
          <w:rFonts w:hint="eastAsia" w:ascii="仿宋_GB2312" w:hAnsi="仿宋_GB2312" w:eastAsia="仿宋_GB2312" w:cs="仿宋_GB2312"/>
          <w:color w:val="auto"/>
          <w:sz w:val="32"/>
          <w:szCs w:val="32"/>
          <w:highlight w:val="none"/>
          <w:u w:val="none" w:color="auto"/>
          <w:lang w:val="en-US" w:eastAsia="zh-CN"/>
        </w:rPr>
        <w:t>人社综合服务大厅</w:t>
      </w:r>
      <w:r>
        <w:rPr>
          <w:rFonts w:hint="default" w:ascii="仿宋_GB2312" w:hAnsi="仿宋_GB2312" w:eastAsia="仿宋_GB2312" w:cs="仿宋_GB2312"/>
          <w:color w:val="auto"/>
          <w:sz w:val="32"/>
          <w:szCs w:val="32"/>
          <w:highlight w:val="none"/>
          <w:u w:val="none" w:color="auto"/>
        </w:rPr>
        <w:t>、广东省政务服务网</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江门市中小微企业诉求快速响应平台等平台</w:t>
      </w:r>
      <w:r>
        <w:rPr>
          <w:rFonts w:hint="eastAsia" w:ascii="仿宋_GB2312" w:hAnsi="仿宋_GB2312" w:eastAsia="仿宋_GB2312" w:cs="仿宋_GB2312"/>
          <w:color w:val="auto"/>
          <w:sz w:val="32"/>
          <w:szCs w:val="32"/>
          <w:highlight w:val="none"/>
          <w:u w:val="none" w:color="auto"/>
          <w:lang w:val="en-US" w:eastAsia="zh-CN"/>
        </w:rPr>
        <w:t>推进</w:t>
      </w:r>
      <w:r>
        <w:rPr>
          <w:rFonts w:hint="default" w:ascii="仿宋_GB2312" w:hAnsi="仿宋_GB2312" w:eastAsia="仿宋_GB2312" w:cs="仿宋_GB2312"/>
          <w:color w:val="auto"/>
          <w:sz w:val="32"/>
          <w:szCs w:val="32"/>
          <w:highlight w:val="none"/>
          <w:u w:val="none" w:color="auto"/>
        </w:rPr>
        <w:t>线下办事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只进一门</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、线上办事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一网通办</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高频事项</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全程网办</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w:t>
      </w:r>
    </w:p>
    <w:p w14:paraId="1197F4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深化人社服务模式创新。</w:t>
      </w:r>
      <w:r>
        <w:rPr>
          <w:rFonts w:hint="default" w:ascii="仿宋_GB2312" w:hAnsi="仿宋_GB2312" w:eastAsia="仿宋_GB2312" w:cs="仿宋_GB2312"/>
          <w:color w:val="auto"/>
          <w:sz w:val="32"/>
          <w:szCs w:val="32"/>
          <w:highlight w:val="none"/>
          <w:u w:val="none" w:color="auto"/>
        </w:rPr>
        <w:t>全面推动政务服务扩面增效</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继续拓展人社便民服务圈功能，着力构建15分钟社保服务、家门口就业服务等服务圈，打造</w:t>
      </w:r>
      <w:r>
        <w:rPr>
          <w:rFonts w:hint="eastAsia" w:ascii="仿宋_GB2312" w:hAnsi="仿宋_GB2312" w:eastAsia="仿宋_GB2312" w:cs="仿宋_GB2312"/>
          <w:color w:val="auto"/>
          <w:sz w:val="32"/>
          <w:szCs w:val="32"/>
          <w:highlight w:val="none"/>
          <w:u w:val="none" w:color="auto"/>
          <w:lang w:eastAsia="zh-CN"/>
        </w:rPr>
        <w:t>多场景“</w:t>
      </w:r>
      <w:r>
        <w:rPr>
          <w:rFonts w:hint="default" w:ascii="仿宋_GB2312" w:hAnsi="仿宋_GB2312" w:eastAsia="仿宋_GB2312" w:cs="仿宋_GB2312"/>
          <w:color w:val="auto"/>
          <w:sz w:val="32"/>
          <w:szCs w:val="32"/>
          <w:highlight w:val="none"/>
          <w:u w:val="none" w:color="auto"/>
        </w:rPr>
        <w:t>一站式</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服务</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实现企业和群众</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就近可办</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多点可办</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。深化老年、残疾等特定群体服务，实施</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适老化</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改造，设置绿色通道，提供更加贴心暖心的</w:t>
      </w:r>
      <w:r>
        <w:rPr>
          <w:rFonts w:hint="eastAsia" w:ascii="仿宋_GB2312" w:hAnsi="仿宋_GB2312" w:eastAsia="仿宋_GB2312" w:cs="仿宋_GB2312"/>
          <w:color w:val="auto"/>
          <w:sz w:val="32"/>
          <w:szCs w:val="32"/>
          <w:highlight w:val="none"/>
          <w:u w:val="none" w:color="auto"/>
          <w:lang w:val="en-US" w:eastAsia="zh-CN"/>
        </w:rPr>
        <w:t>引</w:t>
      </w:r>
      <w:r>
        <w:rPr>
          <w:rFonts w:hint="default" w:ascii="仿宋_GB2312" w:hAnsi="仿宋_GB2312" w:eastAsia="仿宋_GB2312" w:cs="仿宋_GB2312"/>
          <w:color w:val="auto"/>
          <w:sz w:val="32"/>
          <w:szCs w:val="32"/>
          <w:highlight w:val="none"/>
          <w:u w:val="none" w:color="auto"/>
        </w:rPr>
        <w:t>导办、上门办、帮代办等社会保障服务。借助人工智能等信息化手段探索更多</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智能审核</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秒批秒办</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等事项，提升人社服务的效能。开展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人社服务进万家</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行动，建立政策服务直达机制，</w:t>
      </w:r>
      <w:r>
        <w:rPr>
          <w:rFonts w:hint="eastAsia" w:ascii="仿宋" w:hAnsi="仿宋" w:eastAsia="仿宋" w:cs="仿宋"/>
          <w:color w:val="auto"/>
          <w:sz w:val="32"/>
          <w:szCs w:val="32"/>
          <w:highlight w:val="none"/>
          <w:u w:val="none"/>
        </w:rPr>
        <w:t>为</w:t>
      </w:r>
      <w:r>
        <w:rPr>
          <w:rFonts w:hint="eastAsia" w:ascii="仿宋" w:hAnsi="仿宋" w:eastAsia="仿宋" w:cs="仿宋"/>
          <w:color w:val="auto"/>
          <w:sz w:val="32"/>
          <w:szCs w:val="32"/>
          <w:highlight w:val="none"/>
          <w:u w:val="none"/>
          <w:lang w:val="en-US" w:eastAsia="zh-CN"/>
        </w:rPr>
        <w:t>企业和群众</w:t>
      </w:r>
      <w:r>
        <w:rPr>
          <w:rFonts w:hint="eastAsia" w:ascii="仿宋" w:hAnsi="仿宋" w:eastAsia="仿宋" w:cs="仿宋"/>
          <w:color w:val="auto"/>
          <w:sz w:val="32"/>
          <w:szCs w:val="32"/>
          <w:highlight w:val="none"/>
          <w:u w:val="none"/>
        </w:rPr>
        <w:t>提供优质精准的人社服务</w:t>
      </w:r>
      <w:r>
        <w:rPr>
          <w:rFonts w:hint="default" w:ascii="仿宋_GB2312" w:hAnsi="仿宋_GB2312" w:eastAsia="仿宋_GB2312" w:cs="仿宋_GB2312"/>
          <w:color w:val="auto"/>
          <w:sz w:val="32"/>
          <w:szCs w:val="32"/>
          <w:highlight w:val="none"/>
          <w:u w:val="none" w:color="auto"/>
        </w:rPr>
        <w:t>。</w:t>
      </w:r>
    </w:p>
    <w:p w14:paraId="334F57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楷体_GB2312" w:eastAsia="楷体_GB2312" w:cs="楷体_GB2312"/>
          <w:color w:val="auto"/>
          <w:sz w:val="32"/>
          <w:szCs w:val="32"/>
          <w:highlight w:val="none"/>
        </w:rPr>
      </w:pPr>
      <w:r>
        <w:rPr>
          <w:rFonts w:hint="default" w:ascii="仿宋_GB2312" w:hAnsi="仿宋_GB2312" w:eastAsia="仿宋_GB2312" w:cs="仿宋_GB2312"/>
          <w:b/>
          <w:bCs/>
          <w:color w:val="auto"/>
          <w:sz w:val="32"/>
          <w:szCs w:val="32"/>
          <w:highlight w:val="none"/>
          <w:u w:val="none" w:color="auto"/>
        </w:rPr>
        <w:t>强化人社服务全方位监督。</w:t>
      </w:r>
      <w:r>
        <w:rPr>
          <w:rFonts w:hint="default" w:ascii="仿宋_GB2312" w:hAnsi="仿宋_GB2312" w:eastAsia="仿宋_GB2312" w:cs="仿宋_GB2312"/>
          <w:color w:val="auto"/>
          <w:sz w:val="32"/>
          <w:szCs w:val="32"/>
          <w:highlight w:val="none"/>
          <w:u w:val="none" w:color="auto"/>
        </w:rPr>
        <w:t>持续推动优化营商环境。</w:t>
      </w:r>
      <w:r>
        <w:rPr>
          <w:rFonts w:hint="eastAsia" w:ascii="仿宋_GB2312" w:hAnsi="仿宋_GB2312" w:eastAsia="仿宋_GB2312" w:cs="仿宋_GB2312"/>
          <w:b w:val="0"/>
          <w:bCs w:val="0"/>
          <w:color w:val="auto"/>
          <w:sz w:val="32"/>
          <w:szCs w:val="32"/>
          <w:highlight w:val="none"/>
          <w:u w:val="none"/>
          <w:lang w:val="en-US" w:eastAsia="zh-CN"/>
        </w:rPr>
        <w:t>完善窗口管理制度和服务质量监督制度，严格督导检查。</w:t>
      </w:r>
      <w:r>
        <w:rPr>
          <w:rFonts w:hint="eastAsia" w:ascii="仿宋_GB2312" w:hAnsi="仿宋_GB2312" w:eastAsia="仿宋_GB2312" w:cs="仿宋_GB2312"/>
          <w:color w:val="auto"/>
          <w:sz w:val="32"/>
          <w:szCs w:val="32"/>
          <w:highlight w:val="none"/>
          <w:lang w:eastAsia="zh-CN"/>
        </w:rPr>
        <w:t>做好全市人社政务服务“好差评”工作</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强化数据分析，将</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好差评</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反映的问题作为优化人社服务的导向</w:t>
      </w:r>
      <w:r>
        <w:rPr>
          <w:rFonts w:hint="default" w:ascii="仿宋_GB2312" w:hAnsi="仿宋_GB2312" w:eastAsia="仿宋_GB2312" w:cs="仿宋_GB2312"/>
          <w:color w:val="auto"/>
          <w:sz w:val="32"/>
          <w:szCs w:val="32"/>
          <w:highlight w:val="none"/>
          <w:u w:val="none" w:color="auto"/>
        </w:rPr>
        <w:t>。持续</w:t>
      </w:r>
      <w:r>
        <w:rPr>
          <w:rFonts w:hint="eastAsia" w:ascii="仿宋_GB2312" w:hAnsi="仿宋_GB2312" w:eastAsia="仿宋_GB2312" w:cs="仿宋_GB2312"/>
          <w:color w:val="auto"/>
          <w:sz w:val="32"/>
          <w:szCs w:val="32"/>
          <w:highlight w:val="none"/>
          <w:u w:val="none" w:color="auto"/>
          <w:lang w:val="en-US" w:eastAsia="zh-CN"/>
        </w:rPr>
        <w:t>通过开展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走流程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人社服务进万家</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等活动，多</w:t>
      </w:r>
      <w:r>
        <w:rPr>
          <w:rFonts w:hint="eastAsia" w:ascii="仿宋_GB2312" w:hAnsi="仿宋_GB2312" w:eastAsia="仿宋_GB2312" w:cs="仿宋_GB2312"/>
          <w:color w:val="auto"/>
          <w:sz w:val="32"/>
          <w:szCs w:val="32"/>
          <w:highlight w:val="none"/>
          <w:u w:val="none" w:color="auto"/>
          <w:lang w:val="en-US" w:eastAsia="zh-CN"/>
        </w:rPr>
        <w:t>渠道</w:t>
      </w:r>
      <w:r>
        <w:rPr>
          <w:rFonts w:hint="default" w:ascii="仿宋_GB2312" w:hAnsi="仿宋_GB2312" w:eastAsia="仿宋_GB2312" w:cs="仿宋_GB2312"/>
          <w:color w:val="auto"/>
          <w:sz w:val="32"/>
          <w:szCs w:val="32"/>
          <w:highlight w:val="none"/>
          <w:u w:val="none" w:color="auto"/>
        </w:rPr>
        <w:t>收集</w:t>
      </w:r>
      <w:r>
        <w:rPr>
          <w:rFonts w:hint="eastAsia" w:ascii="仿宋_GB2312" w:hAnsi="仿宋_GB2312" w:eastAsia="仿宋_GB2312" w:cs="仿宋_GB2312"/>
          <w:color w:val="auto"/>
          <w:sz w:val="32"/>
          <w:szCs w:val="32"/>
          <w:highlight w:val="none"/>
          <w:u w:val="none" w:color="auto"/>
          <w:lang w:val="en-US" w:eastAsia="zh-CN"/>
        </w:rPr>
        <w:t>企业和群众反映的</w:t>
      </w:r>
      <w:r>
        <w:rPr>
          <w:rFonts w:hint="eastAsia" w:ascii="仿宋_GB2312" w:hAnsi="仿宋_GB2312" w:eastAsia="仿宋_GB2312" w:cs="仿宋_GB2312"/>
          <w:color w:val="auto"/>
          <w:sz w:val="32"/>
          <w:szCs w:val="32"/>
          <w:highlight w:val="none"/>
          <w:u w:val="none"/>
          <w:lang w:val="en-US" w:eastAsia="zh-CN"/>
        </w:rPr>
        <w:t>堵点痛点问题</w:t>
      </w:r>
      <w:r>
        <w:rPr>
          <w:rFonts w:hint="default" w:ascii="仿宋_GB2312" w:hAnsi="仿宋_GB2312" w:eastAsia="仿宋_GB2312" w:cs="仿宋_GB2312"/>
          <w:color w:val="auto"/>
          <w:sz w:val="32"/>
          <w:szCs w:val="32"/>
          <w:highlight w:val="none"/>
          <w:u w:val="none" w:color="auto"/>
        </w:rPr>
        <w:t>，聚焦人社领域重点政策和高频服务事项，摸情况、查问题、听需求、抓整改。</w:t>
      </w:r>
    </w:p>
    <w:p w14:paraId="64E0AF1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auto"/>
          <w:sz w:val="32"/>
          <w:szCs w:val="32"/>
          <w:highlight w:val="none"/>
        </w:rPr>
      </w:pPr>
      <w:bookmarkStart w:id="122" w:name="_Toc8751"/>
      <w:bookmarkStart w:id="123" w:name="_Toc23771"/>
      <w:bookmarkStart w:id="124" w:name="_Toc7769"/>
      <w:r>
        <w:rPr>
          <w:rFonts w:hint="eastAsia" w:ascii="楷体_GB2312" w:hAnsi="楷体_GB2312" w:eastAsia="楷体_GB2312" w:cs="楷体_GB2312"/>
          <w:color w:val="auto"/>
          <w:sz w:val="32"/>
          <w:szCs w:val="32"/>
          <w:highlight w:val="none"/>
        </w:rPr>
        <w:t>第二节 推进</w:t>
      </w:r>
      <w:r>
        <w:rPr>
          <w:rFonts w:hint="eastAsia" w:ascii="楷体_GB2312" w:hAnsi="楷体_GB2312" w:eastAsia="楷体_GB2312" w:cs="楷体_GB2312"/>
          <w:color w:val="auto"/>
          <w:sz w:val="32"/>
          <w:szCs w:val="32"/>
          <w:highlight w:val="none"/>
          <w:lang w:val="en-US" w:eastAsia="zh-CN"/>
        </w:rPr>
        <w:t>数字</w:t>
      </w:r>
      <w:r>
        <w:rPr>
          <w:rFonts w:hint="eastAsia" w:ascii="楷体_GB2312" w:hAnsi="楷体_GB2312" w:eastAsia="楷体_GB2312" w:cs="楷体_GB2312"/>
          <w:color w:val="auto"/>
          <w:sz w:val="32"/>
          <w:szCs w:val="32"/>
          <w:highlight w:val="none"/>
        </w:rPr>
        <w:t>智慧人社建设</w:t>
      </w:r>
      <w:bookmarkEnd w:id="122"/>
      <w:bookmarkEnd w:id="123"/>
      <w:bookmarkEnd w:id="124"/>
    </w:p>
    <w:p w14:paraId="4BCF26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bookmarkStart w:id="125" w:name="_Toc1549216081"/>
      <w:bookmarkStart w:id="126" w:name="_Toc1163095912"/>
      <w:r>
        <w:rPr>
          <w:rFonts w:hint="default" w:ascii="仿宋_GB2312" w:hAnsi="仿宋_GB2312" w:eastAsia="仿宋_GB2312" w:cs="仿宋_GB2312"/>
          <w:b/>
          <w:bCs/>
          <w:color w:val="auto"/>
          <w:sz w:val="32"/>
          <w:szCs w:val="32"/>
          <w:highlight w:val="none"/>
          <w:u w:val="none" w:color="auto"/>
        </w:rPr>
        <w:t>推进人力资源领域数字化建设。</w:t>
      </w:r>
      <w:r>
        <w:rPr>
          <w:rFonts w:hint="default" w:ascii="仿宋_GB2312" w:hAnsi="仿宋_GB2312" w:eastAsia="仿宋_GB2312" w:cs="仿宋_GB2312"/>
          <w:color w:val="auto"/>
          <w:sz w:val="32"/>
          <w:szCs w:val="32"/>
          <w:highlight w:val="none"/>
          <w:u w:val="none" w:color="auto"/>
        </w:rPr>
        <w:t>做好全省人社一体化信息平台的推广应用。推进职业培训、人事管理、人才服务、劳动关系等业务应用系统省级集约，持续深化本地个性化应用，完成市级信息系统国产化适配改造。强化人社业务全流程进系统，推进</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一网统管</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建设，加强人社数据全生命周期管理，加强省人社一体化信息平台回流数据分析应用，建立各业务主题库和应用场景专题库，进一步加强跨业务跨层级跨部门数据互联互通，以数据赋能政策实施、经办服务、监测监控、决策辅助。</w:t>
      </w:r>
      <w:bookmarkEnd w:id="125"/>
      <w:bookmarkEnd w:id="126"/>
    </w:p>
    <w:p w14:paraId="111C38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推进人社服务人工智能创新应用。</w:t>
      </w:r>
      <w:r>
        <w:rPr>
          <w:rFonts w:hint="default" w:ascii="仿宋_GB2312" w:hAnsi="仿宋_GB2312" w:eastAsia="仿宋_GB2312" w:cs="仿宋_GB2312"/>
          <w:color w:val="auto"/>
          <w:sz w:val="32"/>
          <w:szCs w:val="32"/>
          <w:highlight w:val="none"/>
          <w:u w:val="none" w:color="auto"/>
        </w:rPr>
        <w:t>加强数据资源整合，参与人社行业领域人工智能应用场景高质量数据集建设，加强人工智能技术和就业创业、职业培训、社会保险、人事管理、人才服务、劳动关系等人社业务融合创新，深挖人社行业领域智能化应用需求，梳理人工智能应用场景，探索打造</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AI智能客服</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AI就业服务专员</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RPA数字员工</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等一批本地创新应用，提升业务经办、客服问答、监测预警、风险识别等智能化能力，构建新型智能治理模式。</w:t>
      </w:r>
    </w:p>
    <w:p w14:paraId="4C8C3C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宋体" w:cs="楷体_GB2312"/>
          <w:color w:val="auto"/>
          <w:sz w:val="32"/>
          <w:szCs w:val="32"/>
          <w:highlight w:val="none"/>
          <w:lang w:eastAsia="zh-CN"/>
        </w:rPr>
      </w:pPr>
      <w:r>
        <w:rPr>
          <w:rFonts w:hint="default" w:ascii="仿宋_GB2312" w:hAnsi="仿宋_GB2312" w:eastAsia="仿宋_GB2312" w:cs="仿宋_GB2312"/>
          <w:b/>
          <w:bCs/>
          <w:color w:val="auto"/>
          <w:sz w:val="32"/>
          <w:szCs w:val="32"/>
          <w:highlight w:val="none"/>
          <w:u w:val="none" w:color="auto"/>
        </w:rPr>
        <w:t>加强网络和数据安全保障。</w:t>
      </w:r>
      <w:r>
        <w:rPr>
          <w:rFonts w:hint="default" w:ascii="仿宋_GB2312" w:hAnsi="仿宋_GB2312" w:eastAsia="仿宋_GB2312" w:cs="仿宋_GB2312"/>
          <w:color w:val="auto"/>
          <w:sz w:val="32"/>
          <w:szCs w:val="32"/>
          <w:highlight w:val="none"/>
          <w:u w:val="none" w:color="auto"/>
        </w:rPr>
        <w:t>全面落实网络和数据安全工作责任制要求，推进人防、技防、物防、制防“四位一体”安全体系建设。做好信息系统安全等保和商密测评，常态化开展风险隐患排查、信息系统漏洞扫描和渗透测试。落实人社行业数据分类分级规范，建立完善数据全生命周期的安全保障措施。做好重大活动、重要时期网络和数据的安全防范、监测预警。加强保密管理和信息安全培训</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提升网络安全防范水平</w:t>
      </w:r>
      <w:r>
        <w:rPr>
          <w:rFonts w:hint="eastAsia" w:ascii="仿宋_GB2312" w:hAnsi="仿宋_GB2312" w:eastAsia="仿宋_GB2312" w:cs="仿宋_GB2312"/>
          <w:color w:val="auto"/>
          <w:sz w:val="32"/>
          <w:szCs w:val="32"/>
          <w:highlight w:val="none"/>
          <w:u w:val="none" w:color="auto"/>
          <w:lang w:eastAsia="zh-CN"/>
        </w:rPr>
        <w:t>。</w:t>
      </w:r>
    </w:p>
    <w:p w14:paraId="065C5658">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楷体_GB2312" w:hAnsi="楷体_GB2312" w:eastAsia="楷体_GB2312" w:cs="楷体_GB2312"/>
          <w:color w:val="auto"/>
          <w:sz w:val="32"/>
          <w:szCs w:val="32"/>
          <w:highlight w:val="none"/>
          <w:lang w:eastAsia="zh-CN"/>
        </w:rPr>
      </w:pPr>
      <w:bookmarkStart w:id="127" w:name="_Toc30"/>
      <w:bookmarkStart w:id="128" w:name="_Toc29498"/>
      <w:bookmarkStart w:id="129" w:name="_Toc23796"/>
      <w:r>
        <w:rPr>
          <w:rFonts w:hint="eastAsia" w:ascii="楷体_GB2312" w:hAnsi="楷体_GB2312" w:eastAsia="楷体_GB2312" w:cs="楷体_GB2312"/>
          <w:color w:val="auto"/>
          <w:sz w:val="32"/>
          <w:szCs w:val="32"/>
          <w:highlight w:val="none"/>
        </w:rPr>
        <w:t xml:space="preserve">第三节 </w:t>
      </w:r>
      <w:r>
        <w:rPr>
          <w:rFonts w:hint="eastAsia" w:ascii="楷体_GB2312" w:hAnsi="楷体_GB2312" w:eastAsia="楷体_GB2312" w:cs="楷体_GB2312"/>
          <w:color w:val="auto"/>
          <w:sz w:val="32"/>
          <w:szCs w:val="32"/>
          <w:highlight w:val="none"/>
          <w:lang w:eastAsia="zh-CN"/>
        </w:rPr>
        <w:t>提高</w:t>
      </w:r>
      <w:r>
        <w:rPr>
          <w:rFonts w:hint="default" w:ascii="楷体_GB2312" w:hAnsi="楷体_GB2312" w:eastAsia="楷体_GB2312" w:cs="楷体_GB2312"/>
          <w:color w:val="auto"/>
          <w:sz w:val="32"/>
          <w:szCs w:val="32"/>
          <w:highlight w:val="none"/>
        </w:rPr>
        <w:t>信息化便民服务</w:t>
      </w:r>
      <w:r>
        <w:rPr>
          <w:rFonts w:hint="eastAsia" w:ascii="楷体_GB2312" w:hAnsi="楷体_GB2312" w:eastAsia="楷体_GB2312" w:cs="楷体_GB2312"/>
          <w:color w:val="auto"/>
          <w:sz w:val="32"/>
          <w:szCs w:val="32"/>
          <w:highlight w:val="none"/>
          <w:lang w:eastAsia="zh-CN"/>
        </w:rPr>
        <w:t>水平</w:t>
      </w:r>
      <w:bookmarkEnd w:id="127"/>
      <w:bookmarkEnd w:id="128"/>
      <w:bookmarkEnd w:id="129"/>
    </w:p>
    <w:p w14:paraId="1111F6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优化一体化人社服务体系。</w:t>
      </w:r>
      <w:r>
        <w:rPr>
          <w:rFonts w:hint="default" w:ascii="仿宋_GB2312" w:hAnsi="仿宋_GB2312" w:eastAsia="仿宋_GB2312" w:cs="仿宋_GB2312"/>
          <w:color w:val="auto"/>
          <w:sz w:val="32"/>
          <w:szCs w:val="32"/>
          <w:highlight w:val="none"/>
          <w:u w:val="none" w:color="auto"/>
        </w:rPr>
        <w:t>加强省就业一体化平台和</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粤就业</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小程序应用，提升全市就业公共服务能力。</w:t>
      </w:r>
      <w:r>
        <w:rPr>
          <w:rFonts w:hint="eastAsia" w:ascii="仿宋_GB2312" w:hAnsi="仿宋_GB2312" w:eastAsia="仿宋_GB2312" w:cs="仿宋_GB2312"/>
          <w:color w:val="auto"/>
          <w:sz w:val="32"/>
          <w:szCs w:val="32"/>
          <w:highlight w:val="none"/>
          <w:u w:val="none" w:color="auto"/>
          <w:lang w:val="en-US" w:eastAsia="zh-CN"/>
        </w:rPr>
        <w:t>配合</w:t>
      </w:r>
      <w:r>
        <w:rPr>
          <w:rFonts w:hint="default" w:ascii="仿宋_GB2312" w:hAnsi="仿宋_GB2312" w:eastAsia="仿宋_GB2312" w:cs="仿宋_GB2312"/>
          <w:color w:val="auto"/>
          <w:sz w:val="32"/>
          <w:szCs w:val="32"/>
          <w:highlight w:val="none"/>
          <w:u w:val="none" w:color="auto"/>
        </w:rPr>
        <w:t>推进全市人社服务整合至广东政务服务网与</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粤系列</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平台。加强各类人社服务平台运维管理和安全防护，提升整体服务能力和风险防范水平。</w:t>
      </w:r>
    </w:p>
    <w:p w14:paraId="7120B8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u w:val="none" w:color="auto"/>
        </w:rPr>
      </w:pPr>
      <w:r>
        <w:rPr>
          <w:rFonts w:hint="default" w:ascii="仿宋_GB2312" w:hAnsi="仿宋_GB2312" w:eastAsia="仿宋_GB2312" w:cs="仿宋_GB2312"/>
          <w:b/>
          <w:bCs/>
          <w:color w:val="auto"/>
          <w:sz w:val="32"/>
          <w:szCs w:val="32"/>
          <w:highlight w:val="none"/>
          <w:u w:val="none" w:color="auto"/>
        </w:rPr>
        <w:t>深化居民服务</w:t>
      </w:r>
      <w:r>
        <w:rPr>
          <w:rFonts w:hint="eastAsia" w:ascii="仿宋_GB2312" w:hAnsi="仿宋_GB2312" w:eastAsia="仿宋_GB2312" w:cs="仿宋_GB2312"/>
          <w:b/>
          <w:bCs/>
          <w:color w:val="auto"/>
          <w:sz w:val="32"/>
          <w:szCs w:val="32"/>
          <w:highlight w:val="none"/>
          <w:u w:val="none" w:color="auto"/>
          <w:lang w:eastAsia="zh-CN"/>
        </w:rPr>
        <w:t>“</w:t>
      </w:r>
      <w:r>
        <w:rPr>
          <w:rFonts w:hint="default" w:ascii="仿宋_GB2312" w:hAnsi="仿宋_GB2312" w:eastAsia="仿宋_GB2312" w:cs="仿宋_GB2312"/>
          <w:b/>
          <w:bCs/>
          <w:color w:val="auto"/>
          <w:sz w:val="32"/>
          <w:szCs w:val="32"/>
          <w:highlight w:val="none"/>
          <w:u w:val="none" w:color="auto"/>
        </w:rPr>
        <w:t>一卡通</w:t>
      </w:r>
      <w:r>
        <w:rPr>
          <w:rFonts w:hint="eastAsia" w:ascii="仿宋_GB2312" w:hAnsi="仿宋_GB2312" w:eastAsia="仿宋_GB2312" w:cs="仿宋_GB2312"/>
          <w:b/>
          <w:bCs/>
          <w:color w:val="auto"/>
          <w:sz w:val="32"/>
          <w:szCs w:val="32"/>
          <w:highlight w:val="none"/>
          <w:u w:val="none" w:color="auto"/>
          <w:lang w:eastAsia="zh-CN"/>
        </w:rPr>
        <w:t>”</w:t>
      </w:r>
      <w:r>
        <w:rPr>
          <w:rFonts w:hint="default" w:ascii="仿宋_GB2312" w:hAnsi="仿宋_GB2312" w:eastAsia="仿宋_GB2312" w:cs="仿宋_GB2312"/>
          <w:b/>
          <w:bCs/>
          <w:color w:val="auto"/>
          <w:sz w:val="32"/>
          <w:szCs w:val="32"/>
          <w:highlight w:val="none"/>
          <w:u w:val="none" w:color="auto"/>
        </w:rPr>
        <w:t>。</w:t>
      </w:r>
      <w:r>
        <w:rPr>
          <w:rFonts w:hint="default" w:ascii="仿宋_GB2312" w:hAnsi="仿宋_GB2312" w:eastAsia="仿宋_GB2312" w:cs="仿宋_GB2312"/>
          <w:color w:val="auto"/>
          <w:sz w:val="32"/>
          <w:szCs w:val="32"/>
          <w:highlight w:val="none"/>
          <w:u w:val="none" w:color="auto"/>
        </w:rPr>
        <w:t>全面加强电子社会保障卡签发应用，到2030年底全市电子</w:t>
      </w:r>
      <w:r>
        <w:rPr>
          <w:rFonts w:hint="eastAsia" w:ascii="仿宋_GB2312" w:hAnsi="仿宋_GB2312" w:eastAsia="仿宋_GB2312" w:cs="仿宋_GB2312"/>
          <w:color w:val="auto"/>
          <w:sz w:val="32"/>
          <w:szCs w:val="32"/>
          <w:highlight w:val="none"/>
          <w:u w:val="none" w:color="auto"/>
          <w:lang w:eastAsia="zh-CN"/>
        </w:rPr>
        <w:t>社会保障卡</w:t>
      </w:r>
      <w:r>
        <w:rPr>
          <w:rFonts w:hint="default" w:ascii="仿宋_GB2312" w:hAnsi="仿宋_GB2312" w:eastAsia="仿宋_GB2312" w:cs="仿宋_GB2312"/>
          <w:color w:val="auto"/>
          <w:sz w:val="32"/>
          <w:szCs w:val="32"/>
          <w:highlight w:val="none"/>
          <w:u w:val="none" w:color="auto"/>
        </w:rPr>
        <w:t>人口覆盖率达到</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default" w:ascii="仿宋_GB2312" w:hAnsi="仿宋_GB2312" w:eastAsia="仿宋_GB2312" w:cs="仿宋_GB2312"/>
          <w:color w:val="auto"/>
          <w:sz w:val="32"/>
          <w:szCs w:val="32"/>
          <w:highlight w:val="none"/>
          <w:u w:val="none" w:color="auto"/>
        </w:rPr>
        <w:t>%。加快发行加载全国交通</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一卡通</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功能的第三代社会保障卡，加强外国人工作许可证与社会保障卡融合集成，全面实现人社领域</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一卡通</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，不断提升民政、农业农村、残联等领域惠民惠农财政补贴资金进卡比例。探索推进酒店住宿、跨区域文旅交通、电子社会保障卡移动支付应用，拓展教育、卫健、住建等部门应用合作。完善社会保障卡居民服务</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一件事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专区建设，实现居民服务</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一件事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高效办理。</w:t>
      </w:r>
    </w:p>
    <w:p w14:paraId="6E49B0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color w:val="auto"/>
          <w:highlight w:val="none"/>
        </w:rPr>
      </w:pPr>
      <w:r>
        <w:rPr>
          <w:rFonts w:hint="default" w:ascii="仿宋_GB2312" w:hAnsi="仿宋_GB2312" w:eastAsia="仿宋_GB2312" w:cs="仿宋_GB2312"/>
          <w:b/>
          <w:bCs/>
          <w:color w:val="auto"/>
          <w:sz w:val="32"/>
          <w:szCs w:val="32"/>
          <w:highlight w:val="none"/>
          <w:u w:val="none" w:color="auto"/>
        </w:rPr>
        <w:t>提升12333服务能力。</w:t>
      </w:r>
      <w:r>
        <w:rPr>
          <w:rFonts w:hint="default" w:ascii="仿宋_GB2312" w:hAnsi="仿宋_GB2312" w:eastAsia="仿宋_GB2312" w:cs="仿宋_GB2312"/>
          <w:color w:val="auto"/>
          <w:sz w:val="32"/>
          <w:szCs w:val="32"/>
          <w:highlight w:val="none"/>
          <w:u w:val="none" w:color="auto"/>
        </w:rPr>
        <w:t>健全与12345热线的服务联动和数据共享机制，加强人社全业务领域和重大改革政策咨询服务。</w:t>
      </w:r>
      <w:r>
        <w:rPr>
          <w:rFonts w:hint="eastAsia" w:ascii="仿宋_GB2312" w:hAnsi="仿宋_GB2312" w:eastAsia="仿宋_GB2312" w:cs="仿宋_GB2312"/>
          <w:color w:val="auto"/>
          <w:sz w:val="32"/>
          <w:szCs w:val="32"/>
          <w:highlight w:val="none"/>
          <w:u w:val="none" w:color="auto"/>
          <w:lang w:eastAsia="zh-CN"/>
        </w:rPr>
        <w:t>做好</w:t>
      </w:r>
      <w:r>
        <w:rPr>
          <w:rFonts w:hint="default" w:ascii="仿宋_GB2312" w:hAnsi="仿宋_GB2312" w:eastAsia="仿宋_GB2312" w:cs="仿宋_GB2312"/>
          <w:color w:val="auto"/>
          <w:sz w:val="32"/>
          <w:szCs w:val="32"/>
          <w:highlight w:val="none"/>
          <w:u w:val="none" w:color="auto"/>
        </w:rPr>
        <w:t>数据统计分析，利用大数据为企业和群众主动发送政策文件、提示办理事项、反馈办理结果。组织开展12333全国统一咨询日活动。</w:t>
      </w:r>
    </w:p>
    <w:p w14:paraId="0C3B30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color w:val="auto"/>
          <w:sz w:val="32"/>
          <w:szCs w:val="32"/>
          <w:highlight w:val="none"/>
        </w:rPr>
      </w:pPr>
      <w:bookmarkStart w:id="130" w:name="_Toc10462"/>
      <w:bookmarkStart w:id="131" w:name="_Toc23090"/>
      <w:bookmarkStart w:id="132" w:name="_Toc27439"/>
      <w:r>
        <w:rPr>
          <w:rFonts w:hint="eastAsia" w:ascii="黑体" w:hAnsi="黑体" w:eastAsia="黑体" w:cs="黑体"/>
          <w:color w:val="auto"/>
          <w:sz w:val="32"/>
          <w:szCs w:val="32"/>
          <w:highlight w:val="none"/>
        </w:rPr>
        <w:t>第十章 强化规划实施保障</w:t>
      </w:r>
      <w:bookmarkEnd w:id="130"/>
      <w:bookmarkEnd w:id="131"/>
      <w:bookmarkEnd w:id="132"/>
    </w:p>
    <w:p w14:paraId="4CB04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rPr>
      </w:pPr>
      <w:bookmarkStart w:id="133" w:name="_Toc1218724997"/>
      <w:bookmarkStart w:id="134" w:name="_Toc1820671040"/>
      <w:bookmarkStart w:id="135" w:name="_Toc301024687"/>
      <w:r>
        <w:rPr>
          <w:rFonts w:hint="eastAsia" w:ascii="仿宋_GB2312" w:hAnsi="仿宋_GB2312" w:eastAsia="仿宋_GB2312" w:cs="仿宋_GB2312"/>
          <w:color w:val="auto"/>
          <w:sz w:val="32"/>
          <w:szCs w:val="32"/>
          <w:highlight w:val="none"/>
          <w:u w:val="none" w:color="auto"/>
          <w:lang w:val="en-US" w:eastAsia="zh-CN"/>
        </w:rPr>
        <w:t>围绕</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十五五</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时期</w:t>
      </w:r>
      <w:r>
        <w:rPr>
          <w:rFonts w:hint="eastAsia" w:ascii="仿宋_GB2312" w:hAnsi="仿宋_GB2312" w:eastAsia="仿宋_GB2312" w:cs="仿宋_GB2312"/>
          <w:color w:val="auto"/>
          <w:sz w:val="32"/>
          <w:szCs w:val="32"/>
          <w:highlight w:val="none"/>
          <w:u w:val="none" w:color="auto"/>
          <w:lang w:val="en-US" w:eastAsia="zh-CN"/>
        </w:rPr>
        <w:t>人力资源社会保障事业高质量</w:t>
      </w:r>
      <w:r>
        <w:rPr>
          <w:rFonts w:hint="default" w:ascii="仿宋_GB2312" w:hAnsi="仿宋_GB2312" w:eastAsia="仿宋_GB2312" w:cs="仿宋_GB2312"/>
          <w:color w:val="auto"/>
          <w:sz w:val="32"/>
          <w:szCs w:val="32"/>
          <w:highlight w:val="none"/>
          <w:u w:val="none" w:color="auto"/>
        </w:rPr>
        <w:t>发展目标任务，</w:t>
      </w:r>
      <w:r>
        <w:rPr>
          <w:rFonts w:hint="eastAsia" w:ascii="仿宋_GB2312" w:hAnsi="仿宋_GB2312" w:eastAsia="仿宋_GB2312" w:cs="仿宋_GB2312"/>
          <w:color w:val="auto"/>
          <w:sz w:val="32"/>
          <w:szCs w:val="32"/>
          <w:highlight w:val="none"/>
          <w:u w:val="none" w:color="auto"/>
          <w:lang w:val="en-US" w:eastAsia="zh-CN"/>
        </w:rPr>
        <w:t>强化党建引领</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强化法治建设</w:t>
      </w:r>
      <w:r>
        <w:rPr>
          <w:rFonts w:hint="default" w:ascii="仿宋_GB2312" w:hAnsi="仿宋_GB2312" w:eastAsia="仿宋_GB2312" w:cs="仿宋_GB2312"/>
          <w:color w:val="auto"/>
          <w:sz w:val="32"/>
          <w:szCs w:val="32"/>
          <w:highlight w:val="none"/>
          <w:u w:val="none" w:color="auto"/>
        </w:rPr>
        <w:t>、加强要素保障</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强化监测评估</w:t>
      </w:r>
      <w:r>
        <w:rPr>
          <w:rFonts w:hint="default" w:ascii="仿宋_GB2312" w:hAnsi="仿宋_GB2312" w:eastAsia="仿宋_GB2312" w:cs="仿宋_GB2312"/>
          <w:color w:val="auto"/>
          <w:sz w:val="32"/>
          <w:szCs w:val="32"/>
          <w:highlight w:val="none"/>
          <w:u w:val="none" w:color="auto"/>
        </w:rPr>
        <w:t>，确保规划各项目标任务</w:t>
      </w:r>
      <w:r>
        <w:rPr>
          <w:rFonts w:hint="eastAsia" w:ascii="仿宋_GB2312" w:hAnsi="仿宋_GB2312" w:eastAsia="仿宋_GB2312" w:cs="仿宋_GB2312"/>
          <w:color w:val="auto"/>
          <w:sz w:val="32"/>
          <w:szCs w:val="32"/>
          <w:highlight w:val="none"/>
          <w:u w:val="none" w:color="auto"/>
          <w:lang w:val="en-US" w:eastAsia="zh-CN"/>
        </w:rPr>
        <w:t>落到实处、圆满完成</w:t>
      </w:r>
      <w:r>
        <w:rPr>
          <w:rFonts w:hint="default" w:ascii="仿宋_GB2312" w:hAnsi="仿宋_GB2312" w:eastAsia="仿宋_GB2312" w:cs="仿宋_GB2312"/>
          <w:color w:val="auto"/>
          <w:sz w:val="32"/>
          <w:szCs w:val="32"/>
          <w:highlight w:val="none"/>
          <w:u w:val="none" w:color="auto"/>
        </w:rPr>
        <w:t>。</w:t>
      </w:r>
      <w:bookmarkEnd w:id="133"/>
      <w:bookmarkEnd w:id="134"/>
      <w:bookmarkEnd w:id="135"/>
    </w:p>
    <w:p w14:paraId="6042931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default" w:ascii="楷体_GB2312" w:hAnsi="楷体_GB2312" w:eastAsia="楷体_GB2312" w:cs="楷体_GB2312"/>
          <w:color w:val="auto"/>
          <w:sz w:val="32"/>
          <w:szCs w:val="32"/>
          <w:highlight w:val="none"/>
          <w:lang w:val="en-US" w:eastAsia="zh-CN"/>
        </w:rPr>
      </w:pPr>
      <w:bookmarkStart w:id="136" w:name="_Toc13663"/>
      <w:bookmarkStart w:id="137" w:name="_Toc14445"/>
      <w:bookmarkStart w:id="138" w:name="_Toc4959"/>
      <w:r>
        <w:rPr>
          <w:rFonts w:hint="eastAsia" w:ascii="楷体_GB2312" w:hAnsi="楷体_GB2312" w:eastAsia="楷体_GB2312" w:cs="楷体_GB2312"/>
          <w:color w:val="auto"/>
          <w:sz w:val="32"/>
          <w:szCs w:val="32"/>
          <w:highlight w:val="none"/>
        </w:rPr>
        <w:t xml:space="preserve">第一节 </w:t>
      </w:r>
      <w:r>
        <w:rPr>
          <w:rFonts w:hint="eastAsia" w:ascii="楷体_GB2312" w:hAnsi="楷体_GB2312" w:eastAsia="楷体_GB2312" w:cs="楷体_GB2312"/>
          <w:color w:val="auto"/>
          <w:sz w:val="32"/>
          <w:szCs w:val="32"/>
          <w:highlight w:val="none"/>
          <w:lang w:val="en-US" w:eastAsia="zh-CN"/>
        </w:rPr>
        <w:t>强化党建引领</w:t>
      </w:r>
      <w:bookmarkEnd w:id="136"/>
      <w:bookmarkEnd w:id="137"/>
      <w:bookmarkEnd w:id="138"/>
    </w:p>
    <w:p w14:paraId="6CA77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u w:val="none" w:color="auto"/>
          <w:lang w:val="en-US" w:eastAsia="zh-CN"/>
        </w:rPr>
        <w:t>坚持和加强党的全面领导，</w:t>
      </w:r>
      <w:r>
        <w:rPr>
          <w:rFonts w:hint="eastAsia" w:ascii="Times New Roman" w:hAnsi="Times New Roman" w:eastAsia="仿宋_GB2312" w:cs="仿宋_GB2312"/>
          <w:color w:val="auto"/>
          <w:sz w:val="32"/>
          <w:szCs w:val="28"/>
          <w:highlight w:val="none"/>
        </w:rPr>
        <w:t>把党的领导贯穿到规划实施的各领域和全过程</w:t>
      </w:r>
      <w:r>
        <w:rPr>
          <w:rFonts w:hint="eastAsia" w:ascii="Times New Roman" w:hAnsi="Times New Roman" w:eastAsia="仿宋_GB2312" w:cs="仿宋_GB2312"/>
          <w:color w:val="auto"/>
          <w:sz w:val="32"/>
          <w:szCs w:val="28"/>
          <w:highlight w:val="none"/>
          <w:lang w:eastAsia="zh-CN"/>
        </w:rPr>
        <w:t>，</w:t>
      </w:r>
      <w:r>
        <w:rPr>
          <w:rFonts w:hint="default" w:ascii="仿宋_GB2312" w:hAnsi="仿宋_GB2312" w:eastAsia="仿宋_GB2312" w:cs="仿宋_GB2312"/>
          <w:color w:val="auto"/>
          <w:sz w:val="32"/>
          <w:szCs w:val="32"/>
          <w:highlight w:val="none"/>
          <w:u w:val="none" w:color="auto"/>
        </w:rPr>
        <w:t>把坚定拥护</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两个确立</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、坚决做到</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两个维护</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rPr>
        <w:t>体现到人社工作各方面全过程。</w:t>
      </w:r>
      <w:r>
        <w:rPr>
          <w:rFonts w:hint="eastAsia" w:ascii="方正仿宋_GB2312" w:hAnsi="方正仿宋_GB2312" w:eastAsia="仿宋_GB2312" w:cs="方正仿宋_GB2312"/>
          <w:color w:val="auto"/>
          <w:sz w:val="32"/>
          <w:szCs w:val="32"/>
          <w:highlight w:val="none"/>
          <w:u w:val="none" w:color="auto"/>
          <w:shd w:val="clear" w:fill="auto"/>
          <w:lang w:val="en-US" w:eastAsia="zh-CN"/>
        </w:rPr>
        <w:t>深入纠治“四风”，</w:t>
      </w:r>
      <w:r>
        <w:rPr>
          <w:rFonts w:hint="eastAsia" w:ascii="仿宋_GB2312" w:hAnsi="仿宋_GB2312" w:eastAsia="仿宋_GB2312" w:cs="仿宋_GB2312"/>
          <w:color w:val="auto"/>
          <w:sz w:val="32"/>
          <w:szCs w:val="32"/>
          <w:highlight w:val="none"/>
          <w:u w:val="none" w:color="auto"/>
          <w:lang w:val="en-US" w:eastAsia="zh-CN"/>
        </w:rPr>
        <w:t>持之以恒落实中央八项规定及其实施细则精神</w:t>
      </w:r>
      <w:r>
        <w:rPr>
          <w:rFonts w:hint="eastAsia" w:ascii="方正仿宋_GB2312" w:hAnsi="方正仿宋_GB2312" w:eastAsia="仿宋_GB2312" w:cs="方正仿宋_GB2312"/>
          <w:color w:val="auto"/>
          <w:sz w:val="32"/>
          <w:szCs w:val="32"/>
          <w:highlight w:val="none"/>
          <w:u w:val="none" w:color="auto"/>
          <w:shd w:val="clear" w:fill="auto"/>
          <w:lang w:val="en-US" w:eastAsia="zh-CN"/>
        </w:rPr>
        <w:t>精神</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营造风清气正政治生态，</w:t>
      </w:r>
      <w:r>
        <w:rPr>
          <w:rFonts w:hint="default" w:ascii="仿宋_GB2312" w:hAnsi="仿宋_GB2312" w:eastAsia="仿宋_GB2312" w:cs="仿宋_GB2312"/>
          <w:color w:val="auto"/>
          <w:sz w:val="32"/>
          <w:szCs w:val="32"/>
          <w:highlight w:val="none"/>
          <w:u w:val="none" w:color="auto"/>
        </w:rPr>
        <w:t>为人社事业高质量发展提供坚强纪律保障。</w:t>
      </w:r>
      <w:r>
        <w:rPr>
          <w:rFonts w:hint="eastAsia" w:ascii="仿宋_GB2312" w:hAnsi="仿宋_GB2312" w:eastAsia="仿宋_GB2312" w:cs="仿宋_GB2312"/>
          <w:color w:val="auto"/>
          <w:sz w:val="32"/>
          <w:szCs w:val="32"/>
          <w:highlight w:val="none"/>
          <w:u w:val="none" w:color="auto"/>
          <w:lang w:val="en-US" w:eastAsia="zh-CN"/>
        </w:rPr>
        <w:t>以正确选人用人导向引领干事创业导向</w:t>
      </w:r>
      <w:r>
        <w:rPr>
          <w:rFonts w:hint="default" w:ascii="仿宋_GB2312" w:hAnsi="仿宋_GB2312" w:eastAsia="仿宋_GB2312" w:cs="仿宋_GB2312"/>
          <w:color w:val="auto"/>
          <w:sz w:val="32"/>
          <w:szCs w:val="32"/>
          <w:highlight w:val="none"/>
          <w:u w:val="none" w:color="auto"/>
          <w:lang w:val="en-US" w:eastAsia="zh-CN"/>
        </w:rPr>
        <w:t>，</w:t>
      </w:r>
      <w:r>
        <w:rPr>
          <w:rFonts w:hint="default" w:ascii="仿宋_GB2312" w:hAnsi="仿宋_GB2312" w:eastAsia="仿宋_GB2312" w:cs="仿宋_GB2312"/>
          <w:color w:val="auto"/>
          <w:sz w:val="32"/>
          <w:szCs w:val="32"/>
          <w:highlight w:val="none"/>
          <w:u w:val="none" w:color="auto"/>
          <w:lang w:val="zh-CN" w:eastAsia="zh-CN"/>
        </w:rPr>
        <w:t>持</w:t>
      </w:r>
      <w:r>
        <w:rPr>
          <w:rFonts w:hint="default" w:ascii="仿宋_GB2312" w:hAnsi="仿宋_GB2312" w:eastAsia="仿宋_GB2312" w:cs="仿宋_GB2312"/>
          <w:color w:val="auto"/>
          <w:sz w:val="32"/>
          <w:szCs w:val="32"/>
          <w:highlight w:val="none"/>
          <w:u w:val="none" w:color="auto"/>
          <w:lang w:val="zh-CN"/>
        </w:rPr>
        <w:t>续优化</w:t>
      </w:r>
      <w:r>
        <w:rPr>
          <w:rFonts w:hint="eastAsia" w:ascii="仿宋_GB2312" w:hAnsi="仿宋_GB2312" w:eastAsia="仿宋_GB2312" w:cs="仿宋_GB2312"/>
          <w:color w:val="auto"/>
          <w:sz w:val="32"/>
          <w:szCs w:val="32"/>
          <w:highlight w:val="none"/>
          <w:u w:val="none" w:color="auto"/>
          <w:lang w:val="en-US" w:eastAsia="zh-CN"/>
        </w:rPr>
        <w:t>干部队伍</w:t>
      </w:r>
      <w:r>
        <w:rPr>
          <w:rFonts w:hint="default" w:ascii="仿宋_GB2312" w:hAnsi="仿宋_GB2312" w:eastAsia="仿宋_GB2312" w:cs="仿宋_GB2312"/>
          <w:color w:val="auto"/>
          <w:sz w:val="32"/>
          <w:szCs w:val="32"/>
          <w:highlight w:val="none"/>
          <w:u w:val="none" w:color="auto"/>
          <w:lang w:val="zh-CN"/>
        </w:rPr>
        <w:t>结构、提升</w:t>
      </w:r>
      <w:r>
        <w:rPr>
          <w:rFonts w:hint="eastAsia" w:ascii="仿宋_GB2312" w:hAnsi="仿宋_GB2312" w:eastAsia="仿宋_GB2312" w:cs="仿宋_GB2312"/>
          <w:color w:val="auto"/>
          <w:sz w:val="32"/>
          <w:szCs w:val="32"/>
          <w:highlight w:val="none"/>
          <w:u w:val="none" w:color="auto"/>
          <w:lang w:val="en-US" w:eastAsia="zh-CN"/>
        </w:rPr>
        <w:t>干事创业</w:t>
      </w:r>
      <w:r>
        <w:rPr>
          <w:rFonts w:hint="default" w:ascii="仿宋_GB2312" w:hAnsi="仿宋_GB2312" w:eastAsia="仿宋_GB2312" w:cs="仿宋_GB2312"/>
          <w:color w:val="auto"/>
          <w:sz w:val="32"/>
          <w:szCs w:val="32"/>
          <w:highlight w:val="none"/>
          <w:u w:val="none" w:color="auto"/>
          <w:lang w:val="zh-CN"/>
        </w:rPr>
        <w:t>能力，打造忠诚干净担当的高素质专业化干部队伍</w:t>
      </w:r>
      <w:r>
        <w:rPr>
          <w:rFonts w:hint="eastAsia" w:ascii="仿宋_GB2312" w:hAnsi="仿宋_GB2312" w:eastAsia="仿宋_GB2312" w:cs="仿宋_GB2312"/>
          <w:color w:val="auto"/>
          <w:sz w:val="32"/>
          <w:szCs w:val="32"/>
          <w:highlight w:val="none"/>
          <w:u w:val="none" w:color="auto"/>
          <w:lang w:val="en-US" w:eastAsia="zh-CN"/>
        </w:rPr>
        <w:t>，推动和激励干部新担当新作为</w:t>
      </w:r>
      <w:r>
        <w:rPr>
          <w:rFonts w:hint="default" w:ascii="仿宋_GB2312" w:hAnsi="仿宋_GB2312" w:eastAsia="仿宋_GB2312" w:cs="仿宋_GB2312"/>
          <w:color w:val="auto"/>
          <w:sz w:val="32"/>
          <w:szCs w:val="32"/>
          <w:highlight w:val="none"/>
          <w:u w:val="none" w:color="auto"/>
          <w:lang w:val="zh-CN"/>
        </w:rPr>
        <w:t>。</w:t>
      </w:r>
    </w:p>
    <w:p w14:paraId="4614717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default" w:ascii="楷体_GB2312" w:hAnsi="楷体_GB2312" w:eastAsia="楷体_GB2312" w:cs="楷体_GB2312"/>
          <w:color w:val="auto"/>
          <w:sz w:val="32"/>
          <w:szCs w:val="32"/>
          <w:highlight w:val="none"/>
          <w:lang w:val="en-US" w:eastAsia="zh-CN"/>
        </w:rPr>
      </w:pPr>
      <w:bookmarkStart w:id="139" w:name="_Toc16388"/>
      <w:bookmarkStart w:id="140" w:name="_Toc26323"/>
      <w:bookmarkStart w:id="141" w:name="_Toc26831"/>
      <w:r>
        <w:rPr>
          <w:rFonts w:hint="eastAsia" w:ascii="楷体_GB2312" w:hAnsi="楷体_GB2312" w:eastAsia="楷体_GB2312" w:cs="楷体_GB2312"/>
          <w:color w:val="auto"/>
          <w:sz w:val="32"/>
          <w:szCs w:val="32"/>
          <w:highlight w:val="none"/>
        </w:rPr>
        <w:t xml:space="preserve">第二节 </w:t>
      </w:r>
      <w:r>
        <w:rPr>
          <w:rFonts w:hint="eastAsia" w:ascii="楷体_GB2312" w:hAnsi="楷体_GB2312" w:eastAsia="楷体_GB2312" w:cs="楷体_GB2312"/>
          <w:color w:val="auto"/>
          <w:sz w:val="32"/>
          <w:szCs w:val="32"/>
          <w:highlight w:val="none"/>
          <w:lang w:val="en-US" w:eastAsia="zh-CN"/>
        </w:rPr>
        <w:t>强化法治建设</w:t>
      </w:r>
      <w:bookmarkEnd w:id="139"/>
      <w:bookmarkEnd w:id="140"/>
      <w:bookmarkEnd w:id="141"/>
    </w:p>
    <w:p w14:paraId="6EEEF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u w:val="none" w:color="auto"/>
          <w:lang w:val="en-US" w:eastAsia="zh-CN"/>
        </w:rPr>
        <w:t>强化依法合规意识，</w:t>
      </w:r>
      <w:r>
        <w:rPr>
          <w:rFonts w:hint="default" w:ascii="仿宋_GB2312" w:hAnsi="仿宋_GB2312" w:eastAsia="仿宋_GB2312" w:cs="仿宋_GB2312"/>
          <w:color w:val="auto"/>
          <w:sz w:val="32"/>
          <w:szCs w:val="32"/>
          <w:highlight w:val="none"/>
          <w:u w:val="none" w:color="auto"/>
          <w:lang w:val="en-US" w:eastAsia="zh-CN"/>
        </w:rPr>
        <w:t>坚持科学立法，</w:t>
      </w:r>
      <w:r>
        <w:rPr>
          <w:rFonts w:hint="eastAsia" w:ascii="仿宋_GB2312" w:hAnsi="仿宋_GB2312" w:eastAsia="仿宋_GB2312" w:cs="仿宋_GB2312"/>
          <w:color w:val="auto"/>
          <w:sz w:val="32"/>
          <w:szCs w:val="32"/>
          <w:highlight w:val="none"/>
          <w:u w:val="none" w:color="auto"/>
          <w:lang w:val="en-US" w:eastAsia="zh-CN"/>
        </w:rPr>
        <w:t>积极推进薄弱环节和领域立法，</w:t>
      </w:r>
      <w:r>
        <w:rPr>
          <w:rFonts w:hint="default" w:ascii="仿宋_GB2312" w:hAnsi="仿宋_GB2312" w:eastAsia="仿宋_GB2312" w:cs="仿宋_GB2312"/>
          <w:color w:val="auto"/>
          <w:sz w:val="32"/>
          <w:szCs w:val="32"/>
          <w:highlight w:val="none"/>
          <w:u w:val="none" w:color="auto"/>
          <w:lang w:val="en-US" w:eastAsia="zh-CN"/>
        </w:rPr>
        <w:t>推动就业创业、人才等领域规范性文件建设。强化依法行政，落实重大行政决策程序，严格落实合法性审查工作。规范执法行为，全面提升依法行政水平和依法治理能力。</w:t>
      </w:r>
    </w:p>
    <w:p w14:paraId="42C945F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default" w:ascii="楷体_GB2312" w:hAnsi="楷体_GB2312" w:eastAsia="楷体_GB2312" w:cs="楷体_GB2312"/>
          <w:color w:val="auto"/>
          <w:sz w:val="32"/>
          <w:szCs w:val="32"/>
          <w:highlight w:val="none"/>
          <w:lang w:val="en-US" w:eastAsia="zh-CN"/>
        </w:rPr>
      </w:pPr>
      <w:bookmarkStart w:id="142" w:name="_Toc28508"/>
      <w:bookmarkStart w:id="143" w:name="_Toc1683"/>
      <w:bookmarkStart w:id="144" w:name="_Toc12253"/>
      <w:r>
        <w:rPr>
          <w:rFonts w:hint="eastAsia" w:ascii="楷体_GB2312" w:hAnsi="楷体_GB2312" w:eastAsia="楷体_GB2312" w:cs="楷体_GB2312"/>
          <w:color w:val="auto"/>
          <w:sz w:val="32"/>
          <w:szCs w:val="32"/>
          <w:highlight w:val="none"/>
        </w:rPr>
        <w:t>第三节 加强</w:t>
      </w:r>
      <w:r>
        <w:rPr>
          <w:rFonts w:hint="eastAsia" w:ascii="楷体_GB2312" w:hAnsi="楷体_GB2312" w:eastAsia="楷体_GB2312" w:cs="楷体_GB2312"/>
          <w:color w:val="auto"/>
          <w:sz w:val="32"/>
          <w:szCs w:val="32"/>
          <w:highlight w:val="none"/>
          <w:lang w:val="en-US" w:eastAsia="zh-CN"/>
        </w:rPr>
        <w:t>要素保障</w:t>
      </w:r>
      <w:bookmarkEnd w:id="142"/>
      <w:bookmarkEnd w:id="143"/>
      <w:bookmarkEnd w:id="144"/>
    </w:p>
    <w:p w14:paraId="1C8D7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default" w:ascii="仿宋_GB2312" w:hAnsi="仿宋_GB2312" w:eastAsia="仿宋_GB2312" w:cs="仿宋_GB2312"/>
          <w:color w:val="auto"/>
          <w:sz w:val="32"/>
          <w:szCs w:val="32"/>
          <w:highlight w:val="none"/>
          <w:u w:val="none" w:color="auto"/>
          <w:lang w:val="en-US" w:eastAsia="zh-CN"/>
        </w:rPr>
        <w:t>坚持基本公共服务水平与经济社会发展水平相适应，推动政策资源、公共财政投入同人社基本公共服务需求相适应，支持重大项目实施，保障公共服务机构建设和正常运转。健全资金预算全过程闭环管理机制，强化审计监督，盘活存量资金，提高资金使用效率。</w:t>
      </w:r>
    </w:p>
    <w:p w14:paraId="1D75E0C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ascii="楷体_GB2312" w:hAnsi="楷体_GB2312" w:eastAsia="楷体_GB2312" w:cs="楷体_GB2312"/>
          <w:color w:val="auto"/>
          <w:sz w:val="32"/>
          <w:szCs w:val="32"/>
          <w:highlight w:val="none"/>
        </w:rPr>
      </w:pPr>
      <w:bookmarkStart w:id="145" w:name="_Toc21565"/>
      <w:bookmarkStart w:id="146" w:name="_Toc31803"/>
      <w:bookmarkStart w:id="147" w:name="_Toc18478"/>
      <w:r>
        <w:rPr>
          <w:rFonts w:hint="eastAsia" w:ascii="楷体_GB2312" w:hAnsi="楷体_GB2312" w:eastAsia="楷体_GB2312" w:cs="楷体_GB2312"/>
          <w:color w:val="auto"/>
          <w:sz w:val="32"/>
          <w:szCs w:val="32"/>
          <w:highlight w:val="none"/>
        </w:rPr>
        <w:t>第四节 加强宣传引导</w:t>
      </w:r>
      <w:bookmarkEnd w:id="145"/>
      <w:bookmarkEnd w:id="146"/>
      <w:bookmarkEnd w:id="147"/>
    </w:p>
    <w:p w14:paraId="42B17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u w:val="none" w:color="auto"/>
          <w:lang w:val="en-US" w:eastAsia="zh-CN"/>
        </w:rPr>
        <w:t>强化</w:t>
      </w:r>
      <w:r>
        <w:rPr>
          <w:rFonts w:hint="default" w:ascii="仿宋_GB2312" w:hAnsi="仿宋_GB2312" w:eastAsia="仿宋_GB2312" w:cs="仿宋_GB2312"/>
          <w:color w:val="auto"/>
          <w:sz w:val="32"/>
          <w:szCs w:val="32"/>
          <w:highlight w:val="none"/>
          <w:u w:val="none" w:color="auto"/>
          <w:lang w:val="en-US" w:eastAsia="zh-CN"/>
        </w:rPr>
        <w:t>人社宣传阵地</w:t>
      </w:r>
      <w:r>
        <w:rPr>
          <w:rFonts w:hint="eastAsia" w:ascii="仿宋_GB2312" w:hAnsi="仿宋_GB2312" w:eastAsia="仿宋_GB2312" w:cs="仿宋_GB2312"/>
          <w:color w:val="auto"/>
          <w:sz w:val="32"/>
          <w:szCs w:val="32"/>
          <w:highlight w:val="none"/>
          <w:u w:val="none" w:color="auto"/>
          <w:lang w:val="en-US" w:eastAsia="zh-CN"/>
        </w:rPr>
        <w:t>建设</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积极</w:t>
      </w:r>
      <w:r>
        <w:rPr>
          <w:rFonts w:hint="default" w:ascii="仿宋_GB2312" w:hAnsi="仿宋_GB2312" w:eastAsia="仿宋_GB2312" w:cs="仿宋_GB2312"/>
          <w:color w:val="auto"/>
          <w:sz w:val="32"/>
          <w:szCs w:val="32"/>
          <w:highlight w:val="none"/>
          <w:u w:val="none" w:color="auto"/>
          <w:lang w:val="en-US" w:eastAsia="zh-CN"/>
        </w:rPr>
        <w:t>创新和丰富宣传形式</w:t>
      </w:r>
      <w:r>
        <w:rPr>
          <w:rFonts w:hint="eastAsia" w:ascii="仿宋_GB2312" w:hAnsi="仿宋_GB2312" w:eastAsia="仿宋_GB2312" w:cs="仿宋_GB2312"/>
          <w:color w:val="auto"/>
          <w:sz w:val="32"/>
          <w:szCs w:val="32"/>
          <w:highlight w:val="none"/>
          <w:u w:val="none" w:color="auto"/>
          <w:lang w:val="en-US" w:eastAsia="zh-CN"/>
        </w:rPr>
        <w:t>、</w:t>
      </w:r>
      <w:r>
        <w:rPr>
          <w:rFonts w:hint="default" w:ascii="仿宋_GB2312" w:hAnsi="仿宋_GB2312" w:eastAsia="仿宋_GB2312" w:cs="仿宋_GB2312"/>
          <w:color w:val="auto"/>
          <w:sz w:val="32"/>
          <w:szCs w:val="32"/>
          <w:highlight w:val="none"/>
          <w:u w:val="none" w:color="auto"/>
          <w:lang w:val="en-US" w:eastAsia="zh-CN"/>
        </w:rPr>
        <w:t>拓展宣传渠道，</w:t>
      </w:r>
      <w:r>
        <w:rPr>
          <w:rFonts w:hint="eastAsia" w:ascii="仿宋_GB2312" w:hAnsi="仿宋_GB2312" w:eastAsia="仿宋_GB2312" w:cs="仿宋_GB2312"/>
          <w:color w:val="auto"/>
          <w:sz w:val="32"/>
          <w:szCs w:val="32"/>
          <w:highlight w:val="none"/>
          <w:u w:val="none" w:color="auto"/>
          <w:lang w:val="en-US" w:eastAsia="zh-CN"/>
        </w:rPr>
        <w:t>抓好</w:t>
      </w:r>
      <w:r>
        <w:rPr>
          <w:rFonts w:hint="default" w:ascii="仿宋_GB2312" w:hAnsi="仿宋_GB2312" w:eastAsia="仿宋_GB2312" w:cs="仿宋_GB2312"/>
          <w:color w:val="auto"/>
          <w:sz w:val="32"/>
          <w:szCs w:val="32"/>
          <w:highlight w:val="none"/>
          <w:u w:val="none" w:color="auto"/>
          <w:lang w:val="en-US" w:eastAsia="zh-CN"/>
        </w:rPr>
        <w:t>政策宣传解读</w:t>
      </w:r>
      <w:r>
        <w:rPr>
          <w:rFonts w:hint="eastAsia" w:ascii="仿宋_GB2312" w:hAnsi="仿宋_GB2312" w:eastAsia="仿宋_GB2312" w:cs="仿宋_GB2312"/>
          <w:color w:val="auto"/>
          <w:sz w:val="32"/>
          <w:szCs w:val="32"/>
          <w:highlight w:val="none"/>
          <w:u w:val="none" w:color="auto"/>
          <w:lang w:val="en-US" w:eastAsia="zh-CN"/>
        </w:rPr>
        <w:t>，及时报道规划实施新机制新做法</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充分反映新进展新成效，</w:t>
      </w:r>
      <w:r>
        <w:rPr>
          <w:rFonts w:hint="default" w:ascii="仿宋_GB2312" w:hAnsi="仿宋_GB2312" w:eastAsia="仿宋_GB2312" w:cs="仿宋_GB2312"/>
          <w:color w:val="auto"/>
          <w:sz w:val="32"/>
          <w:szCs w:val="32"/>
          <w:highlight w:val="none"/>
          <w:u w:val="none" w:color="auto"/>
          <w:lang w:val="en-US" w:eastAsia="zh-CN"/>
        </w:rPr>
        <w:t>营造有利于规划实施的</w:t>
      </w:r>
      <w:r>
        <w:rPr>
          <w:rFonts w:hint="eastAsia" w:ascii="仿宋_GB2312" w:hAnsi="仿宋_GB2312" w:eastAsia="仿宋_GB2312" w:cs="仿宋_GB2312"/>
          <w:color w:val="auto"/>
          <w:sz w:val="32"/>
          <w:szCs w:val="32"/>
          <w:highlight w:val="none"/>
          <w:u w:val="none" w:color="auto"/>
          <w:lang w:val="en-US" w:eastAsia="zh-CN"/>
        </w:rPr>
        <w:t>良好氛围</w:t>
      </w:r>
      <w:r>
        <w:rPr>
          <w:rFonts w:hint="default" w:ascii="仿宋_GB2312" w:hAnsi="仿宋_GB2312" w:eastAsia="仿宋_GB2312" w:cs="仿宋_GB2312"/>
          <w:color w:val="auto"/>
          <w:sz w:val="32"/>
          <w:szCs w:val="32"/>
          <w:highlight w:val="none"/>
          <w:u w:val="none" w:color="auto"/>
          <w:lang w:val="en-US" w:eastAsia="zh-CN"/>
        </w:rPr>
        <w:t>。加强舆情监测和分析研判，</w:t>
      </w:r>
      <w:r>
        <w:rPr>
          <w:rFonts w:hint="eastAsia" w:ascii="仿宋_GB2312" w:hAnsi="仿宋_GB2312" w:eastAsia="仿宋_GB2312" w:cs="仿宋_GB2312"/>
          <w:color w:val="auto"/>
          <w:sz w:val="32"/>
          <w:szCs w:val="32"/>
          <w:highlight w:val="none"/>
          <w:u w:val="none" w:color="auto"/>
          <w:lang w:val="en-US" w:eastAsia="zh-CN"/>
        </w:rPr>
        <w:t>关注舆论反应，</w:t>
      </w:r>
      <w:r>
        <w:rPr>
          <w:rFonts w:hint="default" w:ascii="仿宋_GB2312" w:hAnsi="仿宋_GB2312" w:eastAsia="仿宋_GB2312" w:cs="仿宋_GB2312"/>
          <w:color w:val="auto"/>
          <w:sz w:val="32"/>
          <w:szCs w:val="32"/>
          <w:highlight w:val="none"/>
          <w:u w:val="none" w:color="auto"/>
          <w:lang w:val="en-US" w:eastAsia="zh-CN"/>
        </w:rPr>
        <w:t>正面引导社会舆论，及时回应社会关切，消除误解误读，引导社会各界共同关心和支持人社工作。</w:t>
      </w:r>
    </w:p>
    <w:p w14:paraId="677E4B50">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default" w:ascii="楷体_GB2312" w:hAnsi="楷体_GB2312" w:eastAsia="楷体_GB2312" w:cs="楷体_GB2312"/>
          <w:color w:val="auto"/>
          <w:sz w:val="32"/>
          <w:szCs w:val="32"/>
          <w:highlight w:val="none"/>
          <w:lang w:val="en-US" w:eastAsia="zh-CN"/>
        </w:rPr>
      </w:pPr>
      <w:bookmarkStart w:id="148" w:name="_Toc7575"/>
      <w:bookmarkStart w:id="149" w:name="_Toc19353"/>
      <w:bookmarkStart w:id="150" w:name="_Toc2264"/>
      <w:r>
        <w:rPr>
          <w:rFonts w:hint="eastAsia" w:ascii="楷体_GB2312" w:hAnsi="楷体_GB2312" w:eastAsia="楷体_GB2312" w:cs="楷体_GB2312"/>
          <w:color w:val="auto"/>
          <w:sz w:val="32"/>
          <w:szCs w:val="32"/>
          <w:highlight w:val="none"/>
        </w:rPr>
        <w:t xml:space="preserve">第五节 </w:t>
      </w:r>
      <w:r>
        <w:rPr>
          <w:rFonts w:hint="eastAsia" w:ascii="楷体_GB2312" w:hAnsi="楷体_GB2312" w:eastAsia="楷体_GB2312" w:cs="楷体_GB2312"/>
          <w:color w:val="auto"/>
          <w:sz w:val="32"/>
          <w:szCs w:val="32"/>
          <w:highlight w:val="none"/>
          <w:lang w:val="en-US" w:eastAsia="zh-CN"/>
        </w:rPr>
        <w:t>强化监测评估</w:t>
      </w:r>
      <w:bookmarkEnd w:id="148"/>
      <w:bookmarkEnd w:id="149"/>
      <w:bookmarkEnd w:id="150"/>
    </w:p>
    <w:p w14:paraId="39B5EC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default" w:ascii="仿宋_GB2312" w:hAnsi="仿宋_GB2312" w:eastAsia="仿宋_GB2312" w:cs="仿宋_GB2312"/>
          <w:color w:val="auto"/>
          <w:sz w:val="32"/>
          <w:szCs w:val="32"/>
          <w:highlight w:val="none"/>
          <w:u w:val="none" w:color="auto"/>
          <w:lang w:val="en-US" w:eastAsia="zh-CN"/>
        </w:rPr>
        <w:t>开展规划中期评估，加强重点指标考核评估，科学设置评估指标体系，确立量化标准。加强统计调查，坚持和完善统一管理、分工负责的统计管理体系，不断拓展统计调查领域，丰富统计调查内容。强化统计监督，完善以统计分析、监测预警为重点的宏观决策系统，跟踪监测重大决策部署落实情况。</w:t>
      </w:r>
    </w:p>
    <w:p w14:paraId="620236A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楷体_GB2312" w:hAnsi="楷体_GB2312" w:eastAsia="楷体_GB2312" w:cs="楷体_GB2312"/>
          <w:color w:val="auto"/>
          <w:sz w:val="32"/>
          <w:szCs w:val="32"/>
          <w:highlight w:val="none"/>
        </w:rPr>
      </w:pPr>
      <w:bookmarkStart w:id="151" w:name="_Toc107"/>
      <w:bookmarkStart w:id="152" w:name="_Toc20288"/>
      <w:bookmarkStart w:id="153" w:name="_Toc19187"/>
      <w:r>
        <w:rPr>
          <w:rFonts w:hint="eastAsia" w:ascii="楷体_GB2312" w:hAnsi="楷体_GB2312" w:eastAsia="楷体_GB2312" w:cs="楷体_GB2312"/>
          <w:color w:val="auto"/>
          <w:sz w:val="32"/>
          <w:szCs w:val="32"/>
          <w:highlight w:val="none"/>
          <w:lang w:val="en-US" w:eastAsia="zh-CN"/>
        </w:rPr>
        <w:t xml:space="preserve">第六节 </w:t>
      </w:r>
      <w:r>
        <w:rPr>
          <w:rFonts w:hint="eastAsia" w:ascii="楷体_GB2312" w:hAnsi="楷体_GB2312" w:eastAsia="楷体_GB2312" w:cs="楷体_GB2312"/>
          <w:color w:val="auto"/>
          <w:sz w:val="32"/>
          <w:szCs w:val="32"/>
          <w:highlight w:val="none"/>
        </w:rPr>
        <w:t>强化规划实施</w:t>
      </w:r>
      <w:bookmarkEnd w:id="151"/>
      <w:bookmarkEnd w:id="152"/>
      <w:bookmarkEnd w:id="153"/>
    </w:p>
    <w:p w14:paraId="060803B0">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color w:val="auto"/>
          <w:highlight w:val="none"/>
        </w:rPr>
      </w:pPr>
      <w:r>
        <w:rPr>
          <w:rFonts w:hint="default" w:ascii="仿宋_GB2312" w:hAnsi="仿宋_GB2312" w:eastAsia="仿宋_GB2312" w:cs="仿宋_GB2312"/>
          <w:color w:val="auto"/>
          <w:kern w:val="2"/>
          <w:sz w:val="32"/>
          <w:szCs w:val="32"/>
          <w:highlight w:val="none"/>
          <w:u w:val="none" w:color="auto"/>
          <w:lang w:val="zh-CN" w:eastAsia="zh-CN" w:bidi="ar-SA"/>
        </w:rPr>
        <w:t>建立健全规划实施机制，加强规划实施的动员部署、统筹协调和宏观指导，分解落实规划确定的发展目标和主要任务，建立工作台账管理机制。把规划重点指标的完成情况纳入政府综合考核体系，作为考核各级政府解决民生问题的重要依据。加强重大项目实施的组织领导。做好规划实施重大成就宣传。</w:t>
      </w:r>
    </w:p>
    <w:sectPr>
      <w:footerReference r:id="rId3" w:type="default"/>
      <w:pgSz w:w="11906" w:h="16838"/>
      <w:pgMar w:top="2098" w:right="1361" w:bottom="1984"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3AFA3FB-68E9-4B5C-8BCF-059A94DAC7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5F0D09-4B67-4C1D-9FFF-FBBEE5790FEA}"/>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A3E2C6F-80C5-4DD1-8DFF-B51536A7B449}"/>
  </w:font>
  <w:font w:name="方正小标宋_GBK">
    <w:panose1 w:val="03000509000000000000"/>
    <w:charset w:val="86"/>
    <w:family w:val="script"/>
    <w:pitch w:val="default"/>
    <w:sig w:usb0="00000001" w:usb1="080E0000" w:usb2="00000000" w:usb3="00000000" w:csb0="00040000" w:csb1="00000000"/>
    <w:embedRegular r:id="rId4" w:fontKey="{B73E0BD0-F7A4-494B-A0FE-367E1495BCE5}"/>
  </w:font>
  <w:font w:name="楷体_GB2312">
    <w:panose1 w:val="02010609030101010101"/>
    <w:charset w:val="86"/>
    <w:family w:val="modern"/>
    <w:pitch w:val="default"/>
    <w:sig w:usb0="00000001" w:usb1="080E0000" w:usb2="00000000" w:usb3="00000000" w:csb0="00040000" w:csb1="00000000"/>
    <w:embedRegular r:id="rId5" w:fontKey="{6EE50E62-076C-4D3F-B1D2-10B3CE9DF02A}"/>
  </w:font>
  <w:font w:name="楷体">
    <w:panose1 w:val="02010609060101010101"/>
    <w:charset w:val="86"/>
    <w:family w:val="modern"/>
    <w:pitch w:val="default"/>
    <w:sig w:usb0="800002BF" w:usb1="38CF7CFA" w:usb2="00000016" w:usb3="00000000" w:csb0="00040001" w:csb1="00000000"/>
    <w:embedRegular r:id="rId6" w:fontKey="{206E5A49-174E-4B0F-9BF2-8CB09252978A}"/>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21859F55-0C9F-4212-B1D4-1581FB0C52C8}"/>
  </w:font>
  <w:font w:name="方正仿宋_GBK">
    <w:panose1 w:val="02000000000000000000"/>
    <w:charset w:val="86"/>
    <w:family w:val="auto"/>
    <w:pitch w:val="default"/>
    <w:sig w:usb0="A00002BF" w:usb1="38CF7CFA" w:usb2="00082016" w:usb3="00000000" w:csb0="00040001" w:csb1="00000000"/>
    <w:embedRegular r:id="rId8" w:fontKey="{170A387F-3F8D-4C79-8F31-7BC3DB69B2B6}"/>
  </w:font>
  <w:font w:name="方正楷体_GBK">
    <w:panose1 w:val="03000509000000000000"/>
    <w:charset w:val="86"/>
    <w:family w:val="auto"/>
    <w:pitch w:val="default"/>
    <w:sig w:usb0="00000001" w:usb1="080E0000" w:usb2="00000000" w:usb3="00000000" w:csb0="00040000" w:csb1="00000000"/>
    <w:embedRegular r:id="rId9" w:fontKey="{B1242C29-B4BF-4B56-9CAD-43A293ABC1CB}"/>
  </w:font>
  <w:font w:name="仿宋">
    <w:panose1 w:val="02010609060101010101"/>
    <w:charset w:val="86"/>
    <w:family w:val="auto"/>
    <w:pitch w:val="default"/>
    <w:sig w:usb0="800002BF" w:usb1="38CF7CFA" w:usb2="00000016" w:usb3="00000000" w:csb0="00040001" w:csb1="00000000"/>
    <w:embedRegular r:id="rId10" w:fontKey="{39D9C2FC-459C-45D4-A66B-1C9BAB09993A}"/>
  </w:font>
  <w:font w:name="方正黑体_GBK">
    <w:panose1 w:val="02010600010101010101"/>
    <w:charset w:val="86"/>
    <w:family w:val="auto"/>
    <w:pitch w:val="default"/>
    <w:sig w:usb0="00000001" w:usb1="080E0000" w:usb2="00000000" w:usb3="00000000" w:csb0="00040000" w:csb1="00000000"/>
    <w:embedRegular r:id="rId11" w:fontKey="{9CDC587A-75AE-4846-940F-ABF547DAC0F2}"/>
  </w:font>
  <w:font w:name="方正仿宋_GB2312">
    <w:panose1 w:val="02000000000000000000"/>
    <w:charset w:val="86"/>
    <w:family w:val="auto"/>
    <w:pitch w:val="default"/>
    <w:sig w:usb0="A00002BF" w:usb1="184F6CFA" w:usb2="00000012" w:usb3="00000000" w:csb0="00040001" w:csb1="00000000"/>
    <w:embedRegular r:id="rId12" w:fontKey="{F00D649A-A232-4D36-BCB1-A80A284FACBE}"/>
  </w:font>
  <w:font w:name="WPSEMBED1">
    <w:panose1 w:val="02000000000000000000"/>
    <w:charset w:val="86"/>
    <w:family w:val="auto"/>
    <w:pitch w:val="default"/>
    <w:sig w:usb0="A00002BF" w:usb1="38CF7CFA" w:usb2="00082016" w:usb3="00000000" w:csb0="00040001" w:csb1="00000000"/>
  </w:font>
  <w:font w:name="WPSEMBED2">
    <w:panose1 w:val="03000509000000000000"/>
    <w:charset w:val="86"/>
    <w:family w:val="auto"/>
    <w:pitch w:val="default"/>
    <w:sig w:usb0="00000001" w:usb1="080E0000" w:usb2="00000000" w:usb3="00000000" w:csb0="00040000" w:csb1="00000000"/>
  </w:font>
  <w:font w:name="WPSEMBED3">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279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63B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6263B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Y2M1YmQzMjc5MGEyYzczZmYzOGE2OTUxNmEwYzUifQ=="/>
  </w:docVars>
  <w:rsids>
    <w:rsidRoot w:val="33C73001"/>
    <w:rsid w:val="00113066"/>
    <w:rsid w:val="001B4882"/>
    <w:rsid w:val="008862F8"/>
    <w:rsid w:val="009A4D05"/>
    <w:rsid w:val="00AC1E39"/>
    <w:rsid w:val="00FD52E0"/>
    <w:rsid w:val="01884FDF"/>
    <w:rsid w:val="02AA39CF"/>
    <w:rsid w:val="02DB7879"/>
    <w:rsid w:val="0364506A"/>
    <w:rsid w:val="05871C44"/>
    <w:rsid w:val="05A247CB"/>
    <w:rsid w:val="05CB200E"/>
    <w:rsid w:val="062769D4"/>
    <w:rsid w:val="06FA570B"/>
    <w:rsid w:val="07FC0BA5"/>
    <w:rsid w:val="09EC0E1B"/>
    <w:rsid w:val="0B9675A0"/>
    <w:rsid w:val="0C650314"/>
    <w:rsid w:val="0C8623E1"/>
    <w:rsid w:val="0DB66B52"/>
    <w:rsid w:val="0E1008A5"/>
    <w:rsid w:val="0E3C1E42"/>
    <w:rsid w:val="102925D2"/>
    <w:rsid w:val="10994842"/>
    <w:rsid w:val="11611AB7"/>
    <w:rsid w:val="125A3098"/>
    <w:rsid w:val="173F6424"/>
    <w:rsid w:val="1BC00694"/>
    <w:rsid w:val="1BF41E67"/>
    <w:rsid w:val="1C0A1A67"/>
    <w:rsid w:val="1C7B1AED"/>
    <w:rsid w:val="1C861A54"/>
    <w:rsid w:val="1CD924B0"/>
    <w:rsid w:val="1E4800BE"/>
    <w:rsid w:val="1F547D24"/>
    <w:rsid w:val="20AF2A2B"/>
    <w:rsid w:val="223B4A6A"/>
    <w:rsid w:val="23C640E9"/>
    <w:rsid w:val="271C5C3A"/>
    <w:rsid w:val="28125B4F"/>
    <w:rsid w:val="28D519C1"/>
    <w:rsid w:val="2B55389E"/>
    <w:rsid w:val="2BDF1B71"/>
    <w:rsid w:val="2EF83A7C"/>
    <w:rsid w:val="2F136FE1"/>
    <w:rsid w:val="2FB14578"/>
    <w:rsid w:val="31070173"/>
    <w:rsid w:val="33AA6135"/>
    <w:rsid w:val="33C73001"/>
    <w:rsid w:val="34B35D66"/>
    <w:rsid w:val="370B1E66"/>
    <w:rsid w:val="392C4597"/>
    <w:rsid w:val="39F71585"/>
    <w:rsid w:val="3AFE2918"/>
    <w:rsid w:val="3B40781C"/>
    <w:rsid w:val="3B617DE7"/>
    <w:rsid w:val="3B710987"/>
    <w:rsid w:val="3CD429E5"/>
    <w:rsid w:val="3D0512AB"/>
    <w:rsid w:val="3DDB0BA2"/>
    <w:rsid w:val="3E9926CE"/>
    <w:rsid w:val="3F741454"/>
    <w:rsid w:val="3FFE14EE"/>
    <w:rsid w:val="403646E7"/>
    <w:rsid w:val="42CD732F"/>
    <w:rsid w:val="438D657A"/>
    <w:rsid w:val="45184AA5"/>
    <w:rsid w:val="46DB00B0"/>
    <w:rsid w:val="47A85FA5"/>
    <w:rsid w:val="4B4E5849"/>
    <w:rsid w:val="4E081EC6"/>
    <w:rsid w:val="4E4A6419"/>
    <w:rsid w:val="4EBA1E66"/>
    <w:rsid w:val="508036EE"/>
    <w:rsid w:val="510A114E"/>
    <w:rsid w:val="539E7D67"/>
    <w:rsid w:val="55EA3F66"/>
    <w:rsid w:val="565F24C7"/>
    <w:rsid w:val="57C253EC"/>
    <w:rsid w:val="58C4058E"/>
    <w:rsid w:val="5934299D"/>
    <w:rsid w:val="59A27394"/>
    <w:rsid w:val="5DAC00A5"/>
    <w:rsid w:val="61441980"/>
    <w:rsid w:val="61F973E0"/>
    <w:rsid w:val="6208709F"/>
    <w:rsid w:val="625B2E14"/>
    <w:rsid w:val="628B0D2C"/>
    <w:rsid w:val="63924A17"/>
    <w:rsid w:val="6478412A"/>
    <w:rsid w:val="65975DBD"/>
    <w:rsid w:val="6652442D"/>
    <w:rsid w:val="674E18DD"/>
    <w:rsid w:val="68D57C80"/>
    <w:rsid w:val="6B476D10"/>
    <w:rsid w:val="6BF84629"/>
    <w:rsid w:val="6E246448"/>
    <w:rsid w:val="75F45973"/>
    <w:rsid w:val="786C1AFD"/>
    <w:rsid w:val="7A5D7272"/>
    <w:rsid w:val="7BB0286C"/>
    <w:rsid w:val="7BC05E14"/>
    <w:rsid w:val="7BE41AF8"/>
    <w:rsid w:val="7CCE0550"/>
    <w:rsid w:val="7CD91A13"/>
    <w:rsid w:val="7D142945"/>
    <w:rsid w:val="7D1B432A"/>
    <w:rsid w:val="7E36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Lines="100" w:afterLines="100" w:line="360" w:lineRule="auto"/>
      <w:ind w:firstLine="562" w:firstLineChars="200"/>
      <w:jc w:val="center"/>
      <w:outlineLvl w:val="0"/>
    </w:pPr>
    <w:rPr>
      <w:rFonts w:eastAsia="黑体"/>
      <w:b/>
      <w:bCs/>
      <w:kern w:val="44"/>
      <w:sz w:val="32"/>
      <w:szCs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rPr>
      <w:rFonts w:ascii="Times New Roman" w:hAnsi="Times New Roman" w:eastAsia="宋体" w:cs="Times New Roman"/>
    </w:rPr>
  </w:style>
  <w:style w:type="paragraph" w:styleId="3">
    <w:name w:val="toc 5"/>
    <w:basedOn w:val="1"/>
    <w:next w:val="1"/>
    <w:autoRedefine/>
    <w:qFormat/>
    <w:uiPriority w:val="0"/>
    <w:pPr>
      <w:widowControl w:val="0"/>
      <w:spacing w:line="240" w:lineRule="auto"/>
      <w:ind w:left="1680" w:leftChars="800"/>
      <w:jc w:val="both"/>
    </w:pPr>
    <w:rPr>
      <w:rFonts w:ascii="等线" w:hAnsi="等线" w:eastAsia="等线" w:cs="Times New Roman"/>
      <w:kern w:val="2"/>
      <w:sz w:val="21"/>
      <w:szCs w:val="22"/>
      <w:lang w:val="en-US" w:eastAsia="zh-CN" w:bidi="ar-SA"/>
    </w:rPr>
  </w:style>
  <w:style w:type="paragraph" w:styleId="6">
    <w:name w:val="Plain Text"/>
    <w:basedOn w:val="1"/>
    <w:autoRedefine/>
    <w:qFormat/>
    <w:uiPriority w:val="99"/>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character" w:styleId="13">
    <w:name w:val="Strong"/>
    <w:basedOn w:val="12"/>
    <w:autoRedefine/>
    <w:qFormat/>
    <w:uiPriority w:val="0"/>
    <w:rPr>
      <w:b/>
    </w:rPr>
  </w:style>
  <w:style w:type="character" w:styleId="14">
    <w:name w:val="Emphasis"/>
    <w:basedOn w:val="12"/>
    <w:autoRedefine/>
    <w:qFormat/>
    <w:uiPriority w:val="0"/>
    <w:rPr>
      <w:i/>
    </w:rPr>
  </w:style>
  <w:style w:type="character" w:styleId="15">
    <w:name w:val="Hyperlink"/>
    <w:basedOn w:val="12"/>
    <w:autoRedefine/>
    <w:unhideWhenUsed/>
    <w:qFormat/>
    <w:uiPriority w:val="99"/>
    <w:rPr>
      <w:color w:val="0026E5" w:themeColor="hyperlink"/>
      <w:u w:val="single"/>
      <w14:textFill>
        <w14:solidFill>
          <w14:schemeClr w14:val="hlink"/>
        </w14:solidFill>
      </w14:textFill>
    </w:rPr>
  </w:style>
  <w:style w:type="paragraph" w:customStyle="1" w:styleId="16">
    <w:name w:val="TOC 标题1"/>
    <w:basedOn w:val="4"/>
    <w:next w:val="1"/>
    <w:autoRedefine/>
    <w:unhideWhenUsed/>
    <w:qFormat/>
    <w:uiPriority w:val="39"/>
    <w:pPr>
      <w:widowControl/>
      <w:spacing w:before="240" w:beforeLines="0" w:afterLines="0" w:line="256" w:lineRule="auto"/>
      <w:ind w:firstLine="0" w:firstLineChars="0"/>
      <w:jc w:val="left"/>
      <w:outlineLvl w:val="9"/>
    </w:pPr>
    <w:rPr>
      <w:rFonts w:asciiTheme="majorHAnsi" w:hAnsiTheme="majorHAnsi" w:eastAsiaTheme="majorEastAsia" w:cstheme="majorBidi"/>
      <w:b w:val="0"/>
      <w:bCs w:val="0"/>
      <w:color w:val="2E54A1" w:themeColor="accent1" w:themeShade="BF"/>
      <w:kern w:val="0"/>
      <w:szCs w:val="32"/>
    </w:rPr>
  </w:style>
  <w:style w:type="paragraph" w:customStyle="1" w:styleId="17">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a54c5626-3224-46a4-9808-840c3b09a829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68B4E7FD</paraID>
      <start>64</start>
      <end>65</end>
      <status>unmodified</status>
      <modifiedWord/>
      <trackRevisions>false</trackRevisions>
    </reviewItem>
    <reviewItem>
      <errorID>47c41c19-7103-46c4-a41a-a0652937521c</errorID>
      <errorWord>,</errorWord>
      <group>L1_Format</group>
      <groupName>格式问题</groupName>
      <ability>L2_HalfPunc</ability>
      <abilityName>全半角检查</abilityName>
      <candidateList>
        <item>，</item>
      </candidateList>
      <explain>文本全半角错误。</explain>
      <paraID>626C6753</paraID>
      <start>22</start>
      <end>24</end>
      <status>modified</status>
      <modifiedWord>，</modifiedWord>
      <trackRevisions>true</trackRevisions>
    </reviewItem>
    <reviewItem>
      <errorID>c034173e-d7d8-44c6-ab41-91fc6a8c4392</errorID>
      <errorWord>新增博士</errorWord>
      <group>L1_Grammar</group>
      <groupName>语法问题</groupName>
      <ability>L2_Order</ability>
      <abilityName>语序不当</abilityName>
      <candidateList>
        <item>新增</item>
      </candidateList>
      <explain>句子可能没有遵循时空、逻辑顺序，或者介词、关联词等位置不当。</explain>
      <paraID>4C425468</paraID>
      <start>84</start>
      <end>88</end>
      <status>unmodified</status>
      <modifiedWord/>
      <trackRevisions>false</trackRevisions>
    </reviewItem>
    <reviewItem>
      <errorID>76b54eb4-d3f9-4ef9-bedc-0c791f3e5e56</errorID>
      <errorWord>建议</errorWord>
      <group>L1_Word</group>
      <groupName>字词问题</groupName>
      <ability>L2_Typo</ability>
      <abilityName>字词错误</abilityName>
      <candidateList>
        <item>建设</item>
      </candidateList>
      <explain>存在字形相近字词的误用。</explain>
      <paraID>6A933558</paraID>
      <start>278</start>
      <end>282</end>
      <status>modified</status>
      <modifiedWord>建设</modifiedWord>
      <trackRevisions>true</trackRevisions>
    </reviewItem>
    <reviewItem>
      <errorID>0429ffe8-9d83-4979-9ae4-2740d84b93a7</errorID>
      <errorWord>“急难愁盼”问题</errorWord>
      <group>L1_Political</group>
      <groupName>政治性问题</groupName>
      <ability>L2_Keyword</ability>
      <abilityName>固定表述</abilityName>
      <candidateList>
        <item>急难愁盼问题</item>
      </candidateList>
      <explain>注意检查当前固定表述标点是否使用规范。</explain>
      <paraID>7553F8DB</paraID>
      <start>18</start>
      <end>26</end>
      <status>unmodified</status>
      <modifiedWord/>
      <trackRevisions>false</trackRevisions>
    </reviewItem>
    <reviewItem>
      <errorID>1336987c-884d-4190-9b0a-5602f0ca484b</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7553F8DB</paraID>
      <start>128</start>
      <end>136</end>
      <status>unmodified</status>
      <modifiedWord/>
      <trackRevisions>false</trackRevisions>
    </reviewItem>
    <reviewItem>
      <errorID>957ee967-5263-47ff-94a3-9ff3b9642b44</errorID>
      <errorWord>&gt;</errorWord>
      <group>L1_Punc</group>
      <groupName>标点问题</groupName>
      <ability>L2_Punc</ability>
      <abilityName>标点符号检查</abilityName>
      <candidateList/>
      <explain/>
      <paraID>1FD57D8E</paraID>
      <start>0</start>
      <end>1</end>
      <status>unmodified</status>
      <modifiedWord/>
      <trackRevisions>false</trackRevisions>
    </reviewItem>
    <reviewItem>
      <errorID>28efd26d-a02a-4f7b-ac08-0a9b420b1a6f</errorID>
      <errorWord>&gt;</errorWord>
      <group>L1_Punc</group>
      <groupName>标点问题</groupName>
      <ability>L2_Punc</ability>
      <abilityName>标点符号检查</abilityName>
      <candidateList/>
      <explain/>
      <paraID>3B040B8F</paraID>
      <start>0</start>
      <end>1</end>
      <status>unmodified</status>
      <modifiedWord/>
      <trackRevisions>false</trackRevisions>
    </reviewItem>
    <reviewItem>
      <errorID>008760c3-c45a-444c-81e1-24bb725ae098</errorID>
      <errorWord>&gt;</errorWord>
      <group>L1_Punc</group>
      <groupName>标点问题</groupName>
      <ability>L2_Punc</ability>
      <abilityName>标点符号检查</abilityName>
      <candidateList/>
      <explain/>
      <paraID> DB8C1BA</paraID>
      <start>0</start>
      <end>1</end>
      <status>unmodified</status>
      <modifiedWord/>
      <trackRevisions>false</trackRevisions>
    </reviewItem>
    <reviewItem>
      <errorID>d487d1fd-5ad7-4314-b33b-a804008aa451</errorID>
      <errorWord>群众对</errorWord>
      <group>L1_Word</group>
      <groupName>字词问题</groupName>
      <ability>L2_Typo</ability>
      <abilityName>字词错误</abilityName>
      <candidateList>
        <item>群众</item>
      </candidateList>
      <explain>〈名〉❶泛指人民大众：～大会｜深入～｜听取～的意见。❷指没有加入共产党、共青团组织的人。❸指不担任领导职务的人。</explain>
      <paraID>7A03B0ED</paraID>
      <start>498</start>
      <end>501</end>
      <status>unmodified</status>
      <modifiedWord/>
      <trackRevisions>false</trackRevisions>
    </reviewItem>
    <reviewItem>
      <errorID>9f6a5c70-d3d5-41cc-83e1-4696250d163f</errorID>
      <errorWord>发展不充分不平衡</errorWord>
      <group>L1_Word</group>
      <groupName>字词问题</groupName>
      <ability>L2_Typo</ability>
      <abilityName>字词错误</abilityName>
      <candidateList>
        <item>发展不平衡不充分</item>
      </candidateList>
      <explain/>
      <paraID> D397007</paraID>
      <start>314</start>
      <end>322</end>
      <status>unmodified</status>
      <modifiedWord/>
      <trackRevisions>false</trackRevisions>
    </reviewItem>
    <reviewItem>
      <errorID>8d809589-7c72-4993-87ac-f5e405321dd2</errorID>
      <errorWord>与以习近平同志</errorWord>
      <group>L1_Word</group>
      <groupName>字词问题</groupName>
      <ability>L2_Typo</ability>
      <abilityName>字词错误</abilityName>
      <candidateList>
        <item>同以习近平同志</item>
      </candidateList>
      <explain/>
      <paraID>3422EA9B</paraID>
      <start>16</start>
      <end>23</end>
      <status>unmodified</status>
      <modifiedWord/>
      <trackRevisions>false</trackRevisions>
    </reviewItem>
    <reviewItem>
      <errorID>4f7a531c-9ec0-4553-8a68-fc8e8dc12cbd</errorID>
      <errorWord>[2000]</errorWord>
      <group>L1_Punc</group>
      <groupName>标点问题</groupName>
      <ability>L2_Punc</ability>
      <abilityName>标点符号检查</abilityName>
      <candidateList>
        <item>〔2000〕</item>
      </candidateList>
      <explain/>
      <paraID>5123B6ED</paraID>
      <start>0</start>
      <end>6</end>
      <status>unmodified</status>
      <modifiedWord/>
      <trackRevisions>false</trackRevisions>
    </reviewItem>
    <reviewItem>
      <errorID>26addc87-410a-4d4a-bfa8-defd8eb6efc3</errorID>
      <errorWord>[2000]</errorWord>
      <group>L1_Punc</group>
      <groupName>标点问题</groupName>
      <ability>L2_Punc</ability>
      <abilityName>标点符号检查</abilityName>
      <candidateList>
        <item>〔2000〕</item>
      </candidateList>
      <explain/>
      <paraID>2D553C36</paraID>
      <start>0</start>
      <end>6</end>
      <status>unmodified</status>
      <modifiedWord/>
      <trackRevisions>false</trackRevisions>
    </reviewItem>
    <reviewItem>
      <errorID>45f4bc7e-eee7-41a2-826c-e562a6bc9fd2</errorID>
      <errorWord>农村转移人口市民化</errorWord>
      <group>L1_Political</group>
      <groupName>政治性问题</groupName>
      <ability>L2_Keyword</ability>
      <abilityName>固定表述</abilityName>
      <candidateList>
        <item>农业转移人口市民化</item>
      </candidateList>
      <explain>词汇“农业转移人口市民化”在特定场景下为固定表述形式，请确认此处的“农村转移人口市民化”是否存在不当。</explain>
      <paraID>7D23F82B</paraID>
      <start>157</start>
      <end>166</end>
      <status>unmodified</status>
      <modifiedWord/>
      <trackRevisions>false</trackRevisions>
    </reviewItem>
    <reviewItem>
      <errorID>5bf97688-2a1a-4101-82f6-43ac851512b6</errorID>
      <errorWord>完善对</errorWord>
      <group>L1_Word</group>
      <groupName>字词问题</groupName>
      <ability>L2_Typo</ability>
      <abilityName>字词错误</abilityName>
      <candidateList>
        <item>完善</item>
      </candidateList>
      <explain>❶〈形〉完备美好：设备～。❷〈动〉使完善：～管理制度。</explain>
      <paraID>24ACC46B</paraID>
      <start>130</start>
      <end>133</end>
      <status>unmodified</status>
      <modifiedWord/>
      <trackRevisions>false</trackRevisions>
    </reviewItem>
    <reviewItem>
      <errorID>192033ba-ecb5-4fed-8018-b6b3b4215999</errorID>
      <errorWord>,</errorWord>
      <group>L1_Format</group>
      <groupName>格式问题</groupName>
      <ability>L2_HalfPunc</ability>
      <abilityName>全半角检查</abilityName>
      <candidateList>
        <item>，</item>
      </candidateList>
      <explain>文本全半角错误。</explain>
      <paraID>45191E32</paraID>
      <start>46</start>
      <end>48</end>
      <status>modified</status>
      <modifiedWord>，</modifiedWord>
      <trackRevisions>true</trackRevisions>
    </reviewItem>
    <reviewItem>
      <errorID>c4faef76-d60b-4c17-bd2d-1e3245b403d1</errorID>
      <errorWord>-</errorWord>
      <group>L1_Format</group>
      <groupName>格式问题</groupName>
      <ability>L2_HalfPunc</ability>
      <abilityName>全半角检查</abilityName>
      <candidateList>
        <item>－</item>
      </candidateList>
      <explain>文本全半角错误。</explain>
      <paraID>460AB616</paraID>
      <start>408</start>
      <end>409</end>
      <status>unmodified</status>
      <modifiedWord/>
      <trackRevisions>false</trackRevisions>
    </reviewItem>
    <reviewItem>
      <errorID>bdad0b6b-21d3-4162-b45b-4176457fa1ee</errorID>
      <errorWord>县管校聘</errorWord>
      <group>L1_Political</group>
      <groupName>政治性问题</groupName>
      <ability>L2_Keyword</ability>
      <abilityName>固定表述</abilityName>
      <candidateList>
        <item>“县管校聘”</item>
      </candidateList>
      <explain>注意检查当前固定表述标点是否使用规范。</explain>
      <paraID>272F599D</paraID>
      <start>88</start>
      <end>92</end>
      <status>unmodified</status>
      <modifiedWord/>
      <trackRevisions>false</trackRevisions>
    </reviewItem>
    <reviewItem>
      <errorID>3c037a20-f4a2-44f3-98ad-44efdcaadd62</errorID>
      <errorWord>高校</errorWord>
      <group>L1_Word</group>
      <groupName>字词问题</groupName>
      <ability>L2_Typo</ability>
      <abilityName>字词错误</abilityName>
      <candidateList>
        <item>高效</item>
      </candidateList>
      <explain>〈形〉属性词。效能高的；效率高的：～杀虫剂。</explain>
      <paraID>58A0E5C3</paraID>
      <start>57</start>
      <end>61</end>
      <status>modified</status>
      <modifiedWord>高效</modifiedWord>
      <trackRevisions>true</trackRevisions>
    </reviewItem>
    <reviewItem>
      <errorID>ab81ae0e-3e80-4f8e-a081-bc7a39d4ad13</errorID>
      <errorWord>技能为导向的薪酬分配制度</errorWord>
      <group>L1_Political</group>
      <groupName>政治性问题</groupName>
      <ability>L2_Keyword</ability>
      <abilityName>固定表述</abilityName>
      <candidateList>
        <item>技能导向的薪酬分配制度</item>
      </candidateList>
      <explain>词汇“技能导向的薪酬分配制度”在特定场景下为固定表述形式，请确认此处的“技能为导向的薪酬分配制度”是否存在不当。</explain>
      <paraID>194C2479</paraID>
      <start>75</start>
      <end>87</end>
      <status>unmodified</status>
      <modifiedWord/>
      <trackRevisions>false</trackRevisions>
    </reviewItem>
    <reviewItem>
      <errorID>e47baa00-04f0-4374-b136-e7ded98c89f6</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7872600F</paraID>
      <start>27</start>
      <end>44</end>
      <status>modified</status>
      <modifiedWord>“双随机、一公开”</modifiedWord>
      <trackRevisions>true</trackRevisions>
    </reviewItem>
    <reviewItem>
      <errorID>b01f254a-2fde-4b70-baec-fcf536e41b4b</errorID>
      <errorWord>多</errorWord>
      <group>L1_Word</group>
      <groupName>字词问题</groupName>
      <ability>L2_Typo</ability>
      <abilityName>字词错误</abilityName>
      <candidateList>
        <item>多种</item>
      </candidateList>
      <explain/>
      <paraID>7872600F</paraID>
      <start>53</start>
      <end>54</end>
      <status>unmodified</status>
      <modifiedWord/>
      <trackRevisions>false</trackRevisions>
    </reviewItem>
    <reviewItem>
      <errorID>7104c3d5-2532-479a-8c89-c23cfb7c0f17</errorID>
      <errorWord>-</errorWord>
      <group>L1_Format</group>
      <groupName>格式问题</groupName>
      <ability>L2_HalfPunc</ability>
      <abilityName>全半角检查</abilityName>
      <candidateList>
        <item>－</item>
      </candidateList>
      <explain>文本全半角错误。</explain>
      <paraID>505F403C</paraID>
      <start>158</start>
      <end>159</end>
      <status>unmodified</status>
      <modifiedWord/>
      <trackRevisions>false</trackRevisions>
    </reviewItem>
    <reviewItem>
      <errorID>66fd75d7-0672-4519-ade1-231dcb79986b</errorID>
      <errorWord>-</errorWord>
      <group>L1_Format</group>
      <groupName>格式问题</groupName>
      <ability>L2_HalfPunc</ability>
      <abilityName>全半角检查</abilityName>
      <candidateList>
        <item>－</item>
      </candidateList>
      <explain>文本全半角错误。</explain>
      <paraID>505F403C</paraID>
      <start>161</start>
      <end>162</end>
      <status>unmodified</status>
      <modifiedWord/>
      <trackRevisions>false</trackRevisions>
    </reviewItem>
    <reviewItem>
      <errorID>f74c17b4-8e42-4d2b-9099-133d6624968e</errorID>
      <errorWord>-</errorWord>
      <group>L1_Format</group>
      <groupName>格式问题</groupName>
      <ability>L2_HalfPunc</ability>
      <abilityName>全半角检查</abilityName>
      <candidateList>
        <item>－</item>
      </candidateList>
      <explain>文本全半角错误。</explain>
      <paraID>505F403C</paraID>
      <start>164</start>
      <end>165</end>
      <status>unmodified</status>
      <modifiedWord/>
      <trackRevisions>false</trackRevisions>
    </reviewItem>
    <reviewItem>
      <errorID>7ac39759-8f70-44f0-9b07-258d02ae01e1</errorID>
      <errorWord>-</errorWord>
      <group>L1_Format</group>
      <groupName>格式问题</groupName>
      <ability>L2_HalfPunc</ability>
      <abilityName>全半角检查</abilityName>
      <candidateList>
        <item>－</item>
      </candidateList>
      <explain>文本全半角错误。</explain>
      <paraID>505F403C</paraID>
      <start>167</start>
      <end>168</end>
      <status>unmodified</status>
      <modifiedWord/>
      <trackRevisions>false</trackRevisions>
    </reviewItem>
    <reviewItem>
      <errorID>8ebd1887-0db5-4686-a31c-5b3679f644f6</errorID>
      <errorWord>-</errorWord>
      <group>L1_Format</group>
      <groupName>格式问题</groupName>
      <ability>L2_HalfPunc</ability>
      <abilityName>全半角检查</abilityName>
      <candidateList>
        <item>－</item>
      </candidateList>
      <explain>文本全半角错误。</explain>
      <paraID>505F403C</paraID>
      <start>170</start>
      <end>171</end>
      <status>unmodified</status>
      <modifiedWord/>
      <trackRevisions>false</trackRevisions>
    </reviewItem>
    <reviewItem>
      <errorID>25ddca32-4c06-4c01-b23b-2b44c1a2ca0a</errorID>
      <errorWord>，</errorWord>
      <group>L1_Word</group>
      <groupName>字词问题</groupName>
      <ability>L2_Typo</ability>
      <abilityName>字词错误</abilityName>
      <candidateList>
        <item>，针</item>
      </candidateList>
      <explain/>
      <paraID> 601E7B8</paraID>
      <start>247</start>
      <end>248</end>
      <status>unmodified</status>
      <modifiedWord/>
      <trackRevisions>false</trackRevisions>
    </reviewItem>
    <reviewItem>
      <errorID>b6000029-50f4-4e09-acda-1f6506c959fc</errorID>
      <errorWord>中央八项规定精神及其实施细则</errorWord>
      <group>L1_Word</group>
      <groupName>字词问题</groupName>
      <ability>L2_Typo</ability>
      <abilityName>字词错误</abilityName>
      <candidateList>
        <item>中央八项规定及其实施细则精神</item>
      </candidateList>
      <explain/>
      <paraID>6CA77D51</paraID>
      <start>84</start>
      <end>112</end>
      <status>modified</status>
      <modifiedWord>中央八项规定及其实施细则精神</modifiedWord>
      <trackRevisions>true</trackRevisions>
    </reviewItem>
    <reviewItem>
      <errorID>64928499-e018-4638-b2b5-2228bb6eeda3</errorID>
      <errorWord>风清气正政治生态，为</errorWord>
      <group>L1_Word</group>
      <groupName>字词问题</groupName>
      <ability>L2_Typo</ability>
      <abilityName>字词错误</abilityName>
      <candidateList>
        <item>风清气正的政治生态，为</item>
      </candidateList>
      <explain/>
      <paraID>6CA77D51</paraID>
      <start>117</start>
      <end>127</end>
      <status>unmodified</status>
      <modifiedWord/>
      <trackRevisions>false</trackRevisions>
    </reviewItem>
    <reviewItem>
      <errorID>147909a2-45cd-4878-8e56-2f2601042185</errorID>
      <errorWord>反映</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42B17A2B</paraID>
      <start>96</start>
      <end>100</end>
      <status>modified</status>
      <modifiedWord>反应</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78491-64cf-4e81-8462-b8b2c09eb26d}">
  <ds:schemaRefs/>
</ds:datastoreItem>
</file>

<file path=docProps/app.xml><?xml version="1.0" encoding="utf-8"?>
<Properties xmlns="http://schemas.openxmlformats.org/officeDocument/2006/extended-properties" xmlns:vt="http://schemas.openxmlformats.org/officeDocument/2006/docPropsVTypes">
  <Template>Normal</Template>
  <Pages>53</Pages>
  <Words>10679</Words>
  <Characters>11414</Characters>
  <Lines>36</Lines>
  <Paragraphs>10</Paragraphs>
  <TotalTime>66</TotalTime>
  <ScaleCrop>false</ScaleCrop>
  <LinksUpToDate>false</LinksUpToDate>
  <CharactersWithSpaces>11638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2025-04-24T07:50:00Z</dcterms:created>
  <dc:creator>Ewen</dc:creator>
  <cp:lastModifiedBy>WPS_1702706451</cp:lastModifiedBy>
  <cp:lastPrinted>2026-03-13T00:56:00Z</cp:lastPrinted>
  <dcterms:modified xsi:type="dcterms:W3CDTF">2026-04-21T08:56:35Z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10D1ECB8FE72424EB7ADD8C8419D7CD4_13</vt:lpwstr>
  </property>
  <property fmtid="{D5CDD505-2E9C-101B-9397-08002B2CF9AE}" pid="4" name="KSOTemplateDocerSaveRecord">
    <vt:lpwstr>eyJoZGlkIjoiMzU1NGE1ZmQwYTkzNzZjOTMzMDkxNDhlMzY3NWE1M2EiLCJ1c2VySWQiOiIxNTY5OTM5NzI2In0=</vt:lpwstr>
  </property>
</Properties>
</file>