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E1DDC8">
      <w:pPr>
        <w:spacing w:line="560" w:lineRule="exact"/>
        <w:jc w:val="left"/>
        <w:rPr>
          <w:rFonts w:ascii="Times New Roman" w:hAnsi="Times New Roman" w:eastAsia="黑体" w:cs="黑体"/>
          <w:sz w:val="32"/>
          <w:highlight w:val="none"/>
        </w:rPr>
      </w:pPr>
      <w:r>
        <w:rPr>
          <w:rFonts w:hint="eastAsia" w:ascii="Times New Roman" w:hAnsi="Times New Roman" w:eastAsia="黑体" w:cs="黑体"/>
          <w:sz w:val="32"/>
          <w:highlight w:val="none"/>
        </w:rPr>
        <w:t>附件1</w:t>
      </w:r>
    </w:p>
    <w:p w14:paraId="7388CE7B">
      <w:pPr>
        <w:spacing w:line="560" w:lineRule="exact"/>
        <w:jc w:val="center"/>
        <w:rPr>
          <w:rFonts w:ascii="Times New Roman" w:hAnsi="Times New Roman" w:eastAsia="仿宋_GB2312" w:cs="宋体"/>
          <w:kern w:val="0"/>
          <w:sz w:val="32"/>
          <w:szCs w:val="32"/>
          <w:highlight w:val="none"/>
        </w:rPr>
      </w:pPr>
      <w:bookmarkStart w:id="0" w:name="_Hlk189932331"/>
    </w:p>
    <w:p w14:paraId="0DDEB1B0">
      <w:pPr>
        <w:spacing w:line="560" w:lineRule="exact"/>
        <w:jc w:val="center"/>
        <w:rPr>
          <w:rFonts w:hint="eastAsia" w:ascii="方正小标宋简体" w:hAnsi="方正小标宋简体" w:eastAsia="方正小标宋简体" w:cs="方正小标宋简体"/>
          <w:b w:val="0"/>
          <w:bCs w:val="0"/>
          <w:kern w:val="0"/>
          <w:sz w:val="44"/>
          <w:szCs w:val="44"/>
          <w:highlight w:val="none"/>
        </w:rPr>
      </w:pPr>
      <w:r>
        <w:rPr>
          <w:rFonts w:hint="eastAsia" w:ascii="方正小标宋简体" w:hAnsi="方正小标宋简体" w:eastAsia="方正小标宋简体" w:cs="方正小标宋简体"/>
          <w:b w:val="0"/>
          <w:bCs w:val="0"/>
          <w:kern w:val="0"/>
          <w:sz w:val="44"/>
          <w:szCs w:val="44"/>
          <w:highlight w:val="none"/>
        </w:rPr>
        <w:t>开平科技创业投资</w:t>
      </w:r>
      <w:r>
        <w:rPr>
          <w:rFonts w:hint="eastAsia" w:ascii="方正小标宋简体" w:hAnsi="方正小标宋简体" w:eastAsia="方正小标宋简体" w:cs="方正小标宋简体"/>
          <w:b w:val="0"/>
          <w:bCs w:val="0"/>
          <w:kern w:val="0"/>
          <w:sz w:val="44"/>
          <w:szCs w:val="44"/>
          <w:highlight w:val="none"/>
          <w:lang w:val="en-US" w:eastAsia="zh-CN"/>
        </w:rPr>
        <w:t>贰号</w:t>
      </w:r>
      <w:r>
        <w:rPr>
          <w:rFonts w:hint="eastAsia" w:ascii="方正小标宋简体" w:hAnsi="方正小标宋简体" w:eastAsia="方正小标宋简体" w:cs="方正小标宋简体"/>
          <w:b w:val="0"/>
          <w:bCs w:val="0"/>
          <w:kern w:val="0"/>
          <w:sz w:val="44"/>
          <w:szCs w:val="44"/>
          <w:highlight w:val="none"/>
        </w:rPr>
        <w:t>基金管理机构</w:t>
      </w:r>
    </w:p>
    <w:p w14:paraId="353977D6">
      <w:pPr>
        <w:spacing w:line="560" w:lineRule="exact"/>
        <w:jc w:val="center"/>
        <w:rPr>
          <w:rFonts w:ascii="Times New Roman" w:hAnsi="Times New Roman" w:cs="宋体"/>
          <w:b/>
          <w:bCs/>
          <w:kern w:val="0"/>
          <w:sz w:val="44"/>
          <w:szCs w:val="44"/>
          <w:highlight w:val="none"/>
        </w:rPr>
      </w:pPr>
      <w:r>
        <w:rPr>
          <w:rFonts w:hint="eastAsia" w:ascii="方正小标宋简体" w:hAnsi="方正小标宋简体" w:eastAsia="方正小标宋简体" w:cs="方正小标宋简体"/>
          <w:b w:val="0"/>
          <w:bCs w:val="0"/>
          <w:kern w:val="0"/>
          <w:sz w:val="44"/>
          <w:szCs w:val="44"/>
          <w:highlight w:val="none"/>
        </w:rPr>
        <w:t>公开遴选申报指南</w:t>
      </w:r>
    </w:p>
    <w:bookmarkEnd w:id="0"/>
    <w:p w14:paraId="27F7C85E">
      <w:pPr>
        <w:spacing w:line="560" w:lineRule="exact"/>
        <w:jc w:val="center"/>
        <w:rPr>
          <w:rFonts w:ascii="Times New Roman" w:hAnsi="Times New Roman" w:cs="宋体"/>
          <w:b/>
          <w:kern w:val="0"/>
          <w:sz w:val="44"/>
          <w:szCs w:val="44"/>
          <w:highlight w:val="none"/>
        </w:rPr>
      </w:pPr>
    </w:p>
    <w:p w14:paraId="2624994F">
      <w:pPr>
        <w:numPr>
          <w:ilvl w:val="0"/>
          <w:numId w:val="1"/>
        </w:numPr>
        <w:spacing w:line="560" w:lineRule="exact"/>
        <w:ind w:firstLine="640" w:firstLineChars="200"/>
        <w:rPr>
          <w:highlight w:val="none"/>
        </w:rPr>
      </w:pPr>
      <w:r>
        <w:rPr>
          <w:rFonts w:hint="eastAsia" w:ascii="Times New Roman" w:hAnsi="Times New Roman" w:eastAsia="黑体" w:cs="宋体"/>
          <w:kern w:val="0"/>
          <w:sz w:val="32"/>
          <w:szCs w:val="32"/>
          <w:highlight w:val="none"/>
        </w:rPr>
        <w:t>基金要素</w:t>
      </w:r>
    </w:p>
    <w:p w14:paraId="4B9042F7">
      <w:pPr>
        <w:spacing w:line="560" w:lineRule="exact"/>
        <w:ind w:firstLine="640" w:firstLineChars="200"/>
        <w:rPr>
          <w:rFonts w:ascii="Times New Roman" w:hAnsi="Times New Roman"/>
          <w:kern w:val="0"/>
          <w:sz w:val="32"/>
          <w:highlight w:val="none"/>
        </w:rPr>
      </w:pPr>
      <w:r>
        <w:rPr>
          <w:rFonts w:hint="eastAsia" w:ascii="Times New Roman" w:hAnsi="Times New Roman" w:eastAsia="仿宋_GB2312" w:cs="宋体"/>
          <w:kern w:val="0"/>
          <w:sz w:val="32"/>
          <w:szCs w:val="32"/>
          <w:highlight w:val="none"/>
        </w:rPr>
        <w:t>申报单位须在下列要素的基本要求上，根据自身情况，逐条提出明确、可量化、有竞争力的安排和阐述，按附件格式要求形成基金申报方案。</w:t>
      </w:r>
    </w:p>
    <w:p w14:paraId="671399E5">
      <w:pPr>
        <w:numPr>
          <w:ilvl w:val="0"/>
          <w:numId w:val="2"/>
        </w:numPr>
        <w:ind w:firstLine="630"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b/>
          <w:kern w:val="0"/>
          <w:sz w:val="32"/>
          <w:szCs w:val="32"/>
          <w:highlight w:val="none"/>
        </w:rPr>
        <w:t>基金名称：</w:t>
      </w:r>
      <w:r>
        <w:rPr>
          <w:rFonts w:hint="eastAsia" w:ascii="Times New Roman" w:hAnsi="Times New Roman" w:eastAsia="仿宋_GB2312" w:cs="宋体"/>
          <w:bCs/>
          <w:kern w:val="0"/>
          <w:sz w:val="32"/>
          <w:szCs w:val="32"/>
          <w:highlight w:val="none"/>
          <w:lang w:val="en-US" w:eastAsia="zh-CN"/>
        </w:rPr>
        <w:t>开平科技创业投资贰号基金</w:t>
      </w:r>
      <w:r>
        <w:rPr>
          <w:rFonts w:hint="eastAsia" w:ascii="Times New Roman" w:hAnsi="Times New Roman" w:eastAsia="仿宋_GB2312" w:cs="宋体"/>
          <w:kern w:val="0"/>
          <w:sz w:val="32"/>
          <w:szCs w:val="32"/>
          <w:highlight w:val="none"/>
        </w:rPr>
        <w:t>（拟定名）（以下简称“基金”）。</w:t>
      </w:r>
    </w:p>
    <w:p w14:paraId="59F77071">
      <w:pPr>
        <w:numPr>
          <w:ilvl w:val="0"/>
          <w:numId w:val="2"/>
        </w:numPr>
        <w:ind w:firstLine="630"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b/>
          <w:kern w:val="0"/>
          <w:sz w:val="32"/>
          <w:szCs w:val="32"/>
          <w:highlight w:val="none"/>
        </w:rPr>
        <w:t>基金组织类型：</w:t>
      </w:r>
      <w:r>
        <w:rPr>
          <w:rFonts w:hint="eastAsia" w:ascii="Times New Roman" w:hAnsi="Times New Roman" w:eastAsia="仿宋_GB2312" w:cs="宋体"/>
          <w:kern w:val="0"/>
          <w:sz w:val="32"/>
          <w:szCs w:val="32"/>
          <w:highlight w:val="none"/>
        </w:rPr>
        <w:t>有限合伙企业。</w:t>
      </w:r>
    </w:p>
    <w:p w14:paraId="608042B3">
      <w:pPr>
        <w:numPr>
          <w:ilvl w:val="0"/>
          <w:numId w:val="2"/>
        </w:numPr>
        <w:ind w:firstLine="630"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b/>
          <w:kern w:val="0"/>
          <w:sz w:val="32"/>
          <w:szCs w:val="32"/>
          <w:highlight w:val="none"/>
        </w:rPr>
        <w:t>基金规模：</w:t>
      </w:r>
      <w:r>
        <w:rPr>
          <w:rFonts w:hint="eastAsia" w:ascii="Times New Roman" w:hAnsi="Times New Roman" w:eastAsia="仿宋_GB2312" w:cs="宋体"/>
          <w:kern w:val="0"/>
          <w:sz w:val="32"/>
          <w:szCs w:val="32"/>
          <w:highlight w:val="none"/>
        </w:rPr>
        <w:t>基金规模</w:t>
      </w:r>
      <w:r>
        <w:rPr>
          <w:rFonts w:hint="eastAsia" w:ascii="Times New Roman" w:hAnsi="Times New Roman" w:eastAsia="仿宋_GB2312" w:cs="宋体"/>
          <w:kern w:val="0"/>
          <w:sz w:val="32"/>
          <w:szCs w:val="32"/>
          <w:highlight w:val="none"/>
          <w:lang w:val="en-US" w:eastAsia="zh-CN"/>
        </w:rPr>
        <w:t>4</w:t>
      </w:r>
      <w:r>
        <w:rPr>
          <w:rFonts w:hint="eastAsia" w:ascii="Times New Roman" w:hAnsi="Times New Roman" w:eastAsia="仿宋_GB2312" w:cs="宋体"/>
          <w:kern w:val="0"/>
          <w:sz w:val="32"/>
          <w:szCs w:val="32"/>
          <w:highlight w:val="none"/>
        </w:rPr>
        <w:t>亿元</w:t>
      </w:r>
      <w:r>
        <w:rPr>
          <w:rFonts w:hint="eastAsia" w:ascii="Times New Roman" w:hAnsi="Times New Roman" w:eastAsia="仿宋_GB2312" w:cs="宋体"/>
          <w:kern w:val="0"/>
          <w:sz w:val="32"/>
          <w:szCs w:val="32"/>
          <w:highlight w:val="none"/>
          <w:lang w:eastAsia="zh-CN"/>
        </w:rPr>
        <w:t>（</w:t>
      </w:r>
      <w:r>
        <w:rPr>
          <w:rFonts w:hint="eastAsia" w:ascii="Times New Roman" w:hAnsi="Times New Roman" w:eastAsia="仿宋_GB2312" w:cs="宋体"/>
          <w:kern w:val="0"/>
          <w:sz w:val="32"/>
          <w:szCs w:val="32"/>
          <w:highlight w:val="none"/>
          <w:lang w:val="en-US" w:eastAsia="zh-CN"/>
        </w:rPr>
        <w:t>暂定</w:t>
      </w:r>
      <w:r>
        <w:rPr>
          <w:rFonts w:hint="eastAsia" w:ascii="Times New Roman" w:hAnsi="Times New Roman" w:eastAsia="仿宋_GB2312" w:cs="宋体"/>
          <w:kern w:val="0"/>
          <w:sz w:val="32"/>
          <w:szCs w:val="32"/>
          <w:highlight w:val="none"/>
          <w:lang w:eastAsia="zh-CN"/>
        </w:rPr>
        <w:t>）</w:t>
      </w:r>
      <w:r>
        <w:rPr>
          <w:rFonts w:hint="eastAsia" w:ascii="Times New Roman" w:hAnsi="Times New Roman" w:eastAsia="仿宋_GB2312" w:cs="宋体"/>
          <w:kern w:val="0"/>
          <w:sz w:val="32"/>
          <w:szCs w:val="32"/>
          <w:highlight w:val="none"/>
        </w:rPr>
        <w:t>，</w:t>
      </w:r>
      <w:r>
        <w:rPr>
          <w:rFonts w:hint="eastAsia" w:ascii="Times New Roman" w:hAnsi="Times New Roman" w:eastAsia="仿宋_GB2312" w:cs="宋体"/>
          <w:kern w:val="0"/>
          <w:sz w:val="32"/>
          <w:szCs w:val="32"/>
          <w:highlight w:val="none"/>
          <w:lang w:val="en-US" w:eastAsia="zh-CN"/>
        </w:rPr>
        <w:t>采取</w:t>
      </w:r>
      <w:r>
        <w:rPr>
          <w:rFonts w:hint="eastAsia" w:ascii="Times New Roman" w:hAnsi="Times New Roman" w:eastAsia="仿宋_GB2312" w:cs="宋体"/>
          <w:kern w:val="0"/>
          <w:sz w:val="32"/>
          <w:szCs w:val="32"/>
          <w:highlight w:val="none"/>
        </w:rPr>
        <w:t>分期缴付。</w:t>
      </w:r>
    </w:p>
    <w:p w14:paraId="1A9D3DA0">
      <w:pPr>
        <w:numPr>
          <w:ilvl w:val="0"/>
          <w:numId w:val="2"/>
        </w:numPr>
        <w:ind w:firstLine="630"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b/>
          <w:bCs/>
          <w:kern w:val="0"/>
          <w:sz w:val="32"/>
          <w:szCs w:val="32"/>
          <w:highlight w:val="none"/>
          <w:lang w:val="en-US" w:eastAsia="zh-CN"/>
        </w:rPr>
        <w:t>遴选方式及主体：</w:t>
      </w:r>
      <w:r>
        <w:rPr>
          <w:rFonts w:hint="eastAsia" w:ascii="Times New Roman" w:hAnsi="Times New Roman" w:eastAsia="仿宋_GB2312" w:cs="宋体"/>
          <w:b w:val="0"/>
          <w:bCs w:val="0"/>
          <w:kern w:val="0"/>
          <w:sz w:val="32"/>
          <w:szCs w:val="32"/>
          <w:highlight w:val="none"/>
          <w:lang w:val="en-US" w:eastAsia="zh-CN"/>
        </w:rPr>
        <w:t>由开平市国承交通建设投资有限公司（以下简称“国承公司”）通过公开遴选方式，择优选取市场化专业机构作为基金管理人。为达成择优选取与资源利用效率最大化的目标，可接受双GP模式。</w:t>
      </w:r>
    </w:p>
    <w:p w14:paraId="2865902A">
      <w:pPr>
        <w:numPr>
          <w:ilvl w:val="0"/>
          <w:numId w:val="2"/>
        </w:numPr>
        <w:ind w:firstLine="630"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b/>
          <w:kern w:val="0"/>
          <w:sz w:val="32"/>
          <w:szCs w:val="32"/>
          <w:highlight w:val="none"/>
        </w:rPr>
        <w:t>出资结构和要求</w:t>
      </w:r>
      <w:r>
        <w:rPr>
          <w:rFonts w:hint="eastAsia" w:ascii="Times New Roman" w:hAnsi="Times New Roman" w:eastAsia="仿宋_GB2312" w:cs="宋体"/>
          <w:b/>
          <w:kern w:val="0"/>
          <w:sz w:val="32"/>
          <w:szCs w:val="32"/>
          <w:highlight w:val="none"/>
          <w:lang w:eastAsia="zh-CN"/>
        </w:rPr>
        <w:t>：</w:t>
      </w:r>
    </w:p>
    <w:p w14:paraId="5557DBAA">
      <w:pPr>
        <w:numPr>
          <w:ilvl w:val="0"/>
          <w:numId w:val="3"/>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lang w:val="en-US" w:eastAsia="zh-CN"/>
        </w:rPr>
        <w:t>国承公司作为有限合伙人认缴出资2.8亿元（认缴出资比例70%），基金管理人作为普通合伙人，及其指定的其他普通合伙人或有限合伙人共同认缴出资1.2亿元（认缴出资比例30%）；</w:t>
      </w:r>
    </w:p>
    <w:p w14:paraId="3BF17662">
      <w:pPr>
        <w:numPr>
          <w:ilvl w:val="0"/>
          <w:numId w:val="3"/>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出资方式采取认缴制，首期实缴出资</w:t>
      </w:r>
      <w:r>
        <w:rPr>
          <w:rFonts w:hint="eastAsia" w:ascii="Times New Roman" w:hAnsi="Times New Roman" w:eastAsia="仿宋_GB2312" w:cs="宋体"/>
          <w:kern w:val="0"/>
          <w:sz w:val="32"/>
          <w:szCs w:val="32"/>
          <w:highlight w:val="none"/>
          <w:lang w:val="en-US" w:eastAsia="zh-CN"/>
        </w:rPr>
        <w:t>5500万元，</w:t>
      </w:r>
      <w:r>
        <w:rPr>
          <w:rFonts w:hint="eastAsia" w:ascii="Times New Roman" w:hAnsi="Times New Roman" w:eastAsia="仿宋_GB2312" w:cs="宋体"/>
          <w:kern w:val="0"/>
          <w:sz w:val="32"/>
          <w:szCs w:val="32"/>
          <w:highlight w:val="none"/>
        </w:rPr>
        <w:t>用于中国证券投资基金业协会（以下简称“中基协”）备案</w:t>
      </w:r>
      <w:r>
        <w:rPr>
          <w:rFonts w:hint="eastAsia" w:ascii="Times New Roman" w:hAnsi="Times New Roman" w:eastAsia="仿宋_GB2312" w:cs="宋体"/>
          <w:kern w:val="0"/>
          <w:sz w:val="32"/>
          <w:szCs w:val="32"/>
          <w:highlight w:val="none"/>
          <w:lang w:val="en-US" w:eastAsia="zh-CN"/>
        </w:rPr>
        <w:t>，后续各合伙人将根据管理人发出的缴款通知进行实缴</w:t>
      </w:r>
      <w:r>
        <w:rPr>
          <w:rFonts w:hint="eastAsia" w:ascii="Times New Roman" w:hAnsi="Times New Roman" w:eastAsia="仿宋_GB2312" w:cs="宋体"/>
          <w:kern w:val="0"/>
          <w:sz w:val="32"/>
          <w:szCs w:val="32"/>
          <w:highlight w:val="none"/>
        </w:rPr>
        <w:t>。</w:t>
      </w:r>
    </w:p>
    <w:p w14:paraId="09786D6A">
      <w:pPr>
        <w:numPr>
          <w:ilvl w:val="0"/>
          <w:numId w:val="2"/>
        </w:numPr>
        <w:ind w:firstLine="630" w:firstLineChars="196"/>
        <w:rPr>
          <w:rFonts w:ascii="Times New Roman" w:hAnsi="Times New Roman" w:eastAsia="仿宋_GB2312" w:cs="宋体"/>
          <w:b/>
          <w:kern w:val="0"/>
          <w:sz w:val="32"/>
          <w:szCs w:val="32"/>
          <w:highlight w:val="none"/>
        </w:rPr>
      </w:pPr>
      <w:r>
        <w:rPr>
          <w:rFonts w:hint="eastAsia" w:ascii="Times New Roman" w:hAnsi="Times New Roman" w:eastAsia="仿宋_GB2312" w:cs="宋体"/>
          <w:b/>
          <w:kern w:val="0"/>
          <w:sz w:val="32"/>
          <w:szCs w:val="32"/>
          <w:highlight w:val="none"/>
        </w:rPr>
        <w:t>存续期限：</w:t>
      </w:r>
      <w:r>
        <w:rPr>
          <w:rFonts w:hint="eastAsia" w:ascii="Times New Roman" w:hAnsi="Times New Roman" w:eastAsia="仿宋_GB2312" w:cs="宋体"/>
          <w:b w:val="0"/>
          <w:bCs/>
          <w:kern w:val="0"/>
          <w:sz w:val="32"/>
          <w:szCs w:val="32"/>
          <w:highlight w:val="none"/>
          <w:lang w:val="en-US" w:eastAsia="zh-CN"/>
        </w:rPr>
        <w:t>基金</w:t>
      </w:r>
      <w:r>
        <w:rPr>
          <w:rFonts w:hint="eastAsia" w:ascii="Times New Roman" w:hAnsi="Times New Roman" w:eastAsia="仿宋_GB2312" w:cs="宋体"/>
          <w:bCs/>
          <w:kern w:val="0"/>
          <w:sz w:val="32"/>
          <w:szCs w:val="32"/>
          <w:highlight w:val="none"/>
          <w:lang w:val="en-US" w:eastAsia="zh-CN"/>
        </w:rPr>
        <w:t>存续期10年，其中：投资期5年，退出期5年。基金延长期不超过2年，其中执行事务合伙人有权延长1年，经合伙人大会同意后还可延长1年</w:t>
      </w:r>
      <w:r>
        <w:rPr>
          <w:rFonts w:hint="eastAsia" w:ascii="Times New Roman" w:hAnsi="Times New Roman" w:eastAsia="仿宋_GB2312" w:cs="宋体"/>
          <w:bCs/>
          <w:kern w:val="0"/>
          <w:sz w:val="32"/>
          <w:szCs w:val="32"/>
          <w:highlight w:val="none"/>
        </w:rPr>
        <w:t>。</w:t>
      </w:r>
    </w:p>
    <w:p w14:paraId="6522C55D">
      <w:pPr>
        <w:numPr>
          <w:ilvl w:val="0"/>
          <w:numId w:val="2"/>
        </w:numPr>
        <w:ind w:firstLine="630" w:firstLineChars="196"/>
        <w:rPr>
          <w:rFonts w:ascii="Times New Roman" w:hAnsi="Times New Roman" w:eastAsia="仿宋_GB2312" w:cs="宋体"/>
          <w:b/>
          <w:kern w:val="0"/>
          <w:sz w:val="32"/>
          <w:szCs w:val="32"/>
          <w:highlight w:val="none"/>
        </w:rPr>
      </w:pPr>
      <w:r>
        <w:rPr>
          <w:rFonts w:hint="eastAsia" w:ascii="Times New Roman" w:hAnsi="Times New Roman" w:eastAsia="仿宋_GB2312" w:cs="宋体"/>
          <w:b/>
          <w:kern w:val="0"/>
          <w:sz w:val="32"/>
          <w:szCs w:val="32"/>
          <w:highlight w:val="none"/>
        </w:rPr>
        <w:t>参与方式：</w:t>
      </w:r>
      <w:r>
        <w:rPr>
          <w:rFonts w:hint="eastAsia" w:ascii="Times New Roman" w:hAnsi="Times New Roman" w:eastAsia="仿宋_GB2312" w:cs="宋体"/>
          <w:bCs/>
          <w:kern w:val="0"/>
          <w:sz w:val="32"/>
          <w:szCs w:val="32"/>
          <w:highlight w:val="none"/>
        </w:rPr>
        <w:t>新设出资。</w:t>
      </w:r>
    </w:p>
    <w:p w14:paraId="6EC4BB06">
      <w:pPr>
        <w:numPr>
          <w:ilvl w:val="0"/>
          <w:numId w:val="2"/>
        </w:numPr>
        <w:ind w:firstLine="630" w:firstLineChars="196"/>
        <w:rPr>
          <w:rFonts w:ascii="Times New Roman" w:hAnsi="Times New Roman" w:eastAsia="仿宋_GB2312" w:cs="宋体"/>
          <w:b/>
          <w:kern w:val="0"/>
          <w:sz w:val="32"/>
          <w:szCs w:val="32"/>
          <w:highlight w:val="none"/>
        </w:rPr>
      </w:pPr>
      <w:r>
        <w:rPr>
          <w:rFonts w:hint="eastAsia" w:ascii="Times New Roman" w:hAnsi="Times New Roman" w:eastAsia="仿宋_GB2312" w:cs="宋体"/>
          <w:b/>
          <w:kern w:val="0"/>
          <w:sz w:val="32"/>
          <w:szCs w:val="32"/>
          <w:highlight w:val="none"/>
        </w:rPr>
        <w:t>投资方式：</w:t>
      </w:r>
      <w:r>
        <w:rPr>
          <w:rFonts w:hint="eastAsia" w:ascii="Times New Roman" w:hAnsi="Times New Roman" w:eastAsia="仿宋_GB2312" w:cs="宋体"/>
          <w:bCs/>
          <w:kern w:val="0"/>
          <w:sz w:val="32"/>
          <w:szCs w:val="32"/>
          <w:highlight w:val="none"/>
        </w:rPr>
        <w:t>本</w:t>
      </w:r>
      <w:r>
        <w:rPr>
          <w:rFonts w:hint="eastAsia" w:ascii="Times New Roman" w:hAnsi="Times New Roman" w:eastAsia="仿宋_GB2312" w:cs="宋体"/>
          <w:bCs/>
          <w:kern w:val="0"/>
          <w:sz w:val="32"/>
          <w:szCs w:val="32"/>
          <w:highlight w:val="none"/>
          <w:lang w:val="en-US" w:eastAsia="zh-CN"/>
        </w:rPr>
        <w:t>基金</w:t>
      </w:r>
      <w:r>
        <w:rPr>
          <w:rFonts w:hint="eastAsia" w:ascii="Times New Roman" w:hAnsi="Times New Roman" w:eastAsia="仿宋_GB2312" w:cs="宋体"/>
          <w:bCs/>
          <w:kern w:val="0"/>
          <w:sz w:val="32"/>
          <w:szCs w:val="32"/>
          <w:highlight w:val="none"/>
        </w:rPr>
        <w:t>向企业进行直接股权投资</w:t>
      </w:r>
      <w:r>
        <w:rPr>
          <w:rFonts w:hint="eastAsia" w:ascii="Times New Roman" w:hAnsi="Times New Roman" w:eastAsia="仿宋_GB2312" w:cs="宋体"/>
          <w:bCs/>
          <w:kern w:val="0"/>
          <w:sz w:val="32"/>
          <w:szCs w:val="32"/>
          <w:highlight w:val="none"/>
          <w:lang w:eastAsia="zh-CN"/>
        </w:rPr>
        <w:t>（</w:t>
      </w:r>
      <w:r>
        <w:rPr>
          <w:rFonts w:hint="eastAsia" w:ascii="Times New Roman" w:hAnsi="Times New Roman" w:eastAsia="仿宋_GB2312" w:cs="宋体"/>
          <w:bCs/>
          <w:kern w:val="0"/>
          <w:sz w:val="32"/>
          <w:szCs w:val="32"/>
          <w:highlight w:val="none"/>
          <w:lang w:val="en-US" w:eastAsia="zh-CN"/>
        </w:rPr>
        <w:t>包含以股权投资为目的的可转债形式投资</w:t>
      </w:r>
      <w:r>
        <w:rPr>
          <w:rFonts w:hint="eastAsia" w:ascii="Times New Roman" w:hAnsi="Times New Roman" w:eastAsia="仿宋_GB2312" w:cs="宋体"/>
          <w:bCs/>
          <w:kern w:val="0"/>
          <w:sz w:val="32"/>
          <w:szCs w:val="32"/>
          <w:highlight w:val="none"/>
          <w:lang w:eastAsia="zh-CN"/>
        </w:rPr>
        <w:t>）</w:t>
      </w:r>
      <w:r>
        <w:rPr>
          <w:rFonts w:hint="eastAsia" w:ascii="Times New Roman" w:hAnsi="Times New Roman" w:eastAsia="仿宋_GB2312" w:cs="宋体"/>
          <w:bCs/>
          <w:kern w:val="0"/>
          <w:sz w:val="32"/>
          <w:szCs w:val="32"/>
          <w:highlight w:val="none"/>
        </w:rPr>
        <w:t>，或通过投资于其他私募股权投资基金的方式进行间接投资。投资于其他私募股权投资基金的金额不得超过基金</w:t>
      </w:r>
      <w:r>
        <w:rPr>
          <w:rFonts w:hint="eastAsia" w:ascii="Times New Roman" w:hAnsi="Times New Roman" w:eastAsia="仿宋_GB2312" w:cs="宋体"/>
          <w:bCs/>
          <w:kern w:val="0"/>
          <w:sz w:val="32"/>
          <w:szCs w:val="32"/>
          <w:highlight w:val="none"/>
          <w:lang w:eastAsia="zh-CN"/>
        </w:rPr>
        <w:t>认缴</w:t>
      </w:r>
      <w:r>
        <w:rPr>
          <w:rFonts w:hint="eastAsia" w:ascii="Times New Roman" w:hAnsi="Times New Roman" w:eastAsia="仿宋_GB2312" w:cs="宋体"/>
          <w:bCs/>
          <w:kern w:val="0"/>
          <w:sz w:val="32"/>
          <w:szCs w:val="32"/>
          <w:highlight w:val="none"/>
        </w:rPr>
        <w:t>金额的</w:t>
      </w:r>
      <w:r>
        <w:rPr>
          <w:rFonts w:hint="eastAsia" w:ascii="Times New Roman" w:hAnsi="Times New Roman" w:eastAsia="仿宋_GB2312" w:cs="宋体"/>
          <w:bCs/>
          <w:kern w:val="0"/>
          <w:sz w:val="32"/>
          <w:szCs w:val="32"/>
          <w:highlight w:val="none"/>
          <w:lang w:eastAsia="zh-CN"/>
        </w:rPr>
        <w:t>5</w:t>
      </w:r>
      <w:r>
        <w:rPr>
          <w:rFonts w:hint="eastAsia" w:ascii="Times New Roman" w:hAnsi="Times New Roman" w:eastAsia="仿宋_GB2312" w:cs="宋体"/>
          <w:bCs/>
          <w:kern w:val="0"/>
          <w:sz w:val="32"/>
          <w:szCs w:val="32"/>
          <w:highlight w:val="none"/>
        </w:rPr>
        <w:t>0%。基金投资项目原则上不得成为被投资企业单一第一大股东；单项目累计投资金额不超过基金</w:t>
      </w:r>
      <w:r>
        <w:rPr>
          <w:rFonts w:hint="eastAsia" w:ascii="Times New Roman" w:hAnsi="Times New Roman" w:eastAsia="仿宋_GB2312" w:cs="宋体"/>
          <w:bCs/>
          <w:kern w:val="0"/>
          <w:sz w:val="32"/>
          <w:szCs w:val="32"/>
          <w:highlight w:val="none"/>
          <w:lang w:val="en-US" w:eastAsia="zh-CN"/>
        </w:rPr>
        <w:t>认缴</w:t>
      </w:r>
      <w:r>
        <w:rPr>
          <w:rFonts w:hint="eastAsia" w:ascii="Times New Roman" w:hAnsi="Times New Roman" w:eastAsia="仿宋_GB2312" w:cs="宋体"/>
          <w:bCs/>
          <w:kern w:val="0"/>
          <w:sz w:val="32"/>
          <w:szCs w:val="32"/>
          <w:highlight w:val="none"/>
        </w:rPr>
        <w:t>规模的20%</w:t>
      </w:r>
      <w:r>
        <w:rPr>
          <w:rFonts w:hint="eastAsia" w:ascii="Times New Roman" w:hAnsi="Times New Roman" w:eastAsia="仿宋_GB2312" w:cs="宋体"/>
          <w:bCs/>
          <w:kern w:val="0"/>
          <w:sz w:val="32"/>
          <w:szCs w:val="32"/>
          <w:highlight w:val="none"/>
          <w:lang w:eastAsia="zh-CN"/>
        </w:rPr>
        <w:t>，</w:t>
      </w:r>
      <w:r>
        <w:rPr>
          <w:rFonts w:hint="eastAsia" w:ascii="Times New Roman" w:hAnsi="Times New Roman" w:eastAsia="仿宋_GB2312" w:cs="宋体"/>
          <w:bCs/>
          <w:kern w:val="0"/>
          <w:sz w:val="32"/>
          <w:szCs w:val="32"/>
          <w:highlight w:val="none"/>
          <w:lang w:val="en-US" w:eastAsia="zh-CN"/>
        </w:rPr>
        <w:t>超出20%的需经过合伙人大会全体合伙人同意通过</w:t>
      </w:r>
      <w:r>
        <w:rPr>
          <w:rFonts w:hint="eastAsia" w:ascii="Times New Roman" w:hAnsi="Times New Roman" w:eastAsia="仿宋_GB2312" w:cs="宋体"/>
          <w:bCs/>
          <w:kern w:val="0"/>
          <w:sz w:val="32"/>
          <w:szCs w:val="32"/>
          <w:highlight w:val="none"/>
        </w:rPr>
        <w:t>。</w:t>
      </w:r>
    </w:p>
    <w:p w14:paraId="6B41EE9B">
      <w:pPr>
        <w:numPr>
          <w:ilvl w:val="0"/>
          <w:numId w:val="2"/>
        </w:numPr>
        <w:ind w:firstLine="630" w:firstLineChars="196"/>
        <w:rPr>
          <w:rFonts w:ascii="Times New Roman" w:hAnsi="Times New Roman" w:eastAsia="仿宋_GB2312" w:cs="宋体"/>
          <w:b/>
          <w:kern w:val="0"/>
          <w:sz w:val="32"/>
          <w:szCs w:val="32"/>
          <w:highlight w:val="none"/>
        </w:rPr>
      </w:pPr>
      <w:r>
        <w:rPr>
          <w:rFonts w:hint="eastAsia" w:ascii="Times New Roman" w:hAnsi="Times New Roman" w:eastAsia="仿宋_GB2312" w:cs="宋体"/>
          <w:b/>
          <w:kern w:val="0"/>
          <w:sz w:val="32"/>
          <w:szCs w:val="32"/>
          <w:highlight w:val="none"/>
        </w:rPr>
        <w:t>投资领域：</w:t>
      </w:r>
      <w:r>
        <w:rPr>
          <w:rFonts w:hint="eastAsia" w:ascii="仿宋_GB2312" w:eastAsia="仿宋_GB2312"/>
          <w:sz w:val="32"/>
          <w:szCs w:val="40"/>
          <w:highlight w:val="none"/>
          <w:lang w:val="en-US" w:eastAsia="zh-CN"/>
        </w:rPr>
        <w:t>先进制造、新材料及新能源等符合开平市政策支持的</w:t>
      </w:r>
      <w:r>
        <w:rPr>
          <w:rFonts w:hint="eastAsia" w:ascii="Times New Roman" w:hAnsi="Times New Roman" w:eastAsia="仿宋_GB2312" w:cs="宋体"/>
          <w:bCs/>
          <w:kern w:val="0"/>
          <w:sz w:val="32"/>
          <w:szCs w:val="32"/>
          <w:highlight w:val="none"/>
          <w:lang w:val="en-US" w:eastAsia="zh-CN"/>
        </w:rPr>
        <w:t>战略性新兴产业领域</w:t>
      </w:r>
      <w:r>
        <w:rPr>
          <w:rFonts w:hint="eastAsia" w:ascii="Times New Roman" w:hAnsi="Times New Roman" w:eastAsia="仿宋_GB2312" w:cs="宋体"/>
          <w:bCs/>
          <w:kern w:val="0"/>
          <w:sz w:val="32"/>
          <w:szCs w:val="32"/>
          <w:highlight w:val="none"/>
        </w:rPr>
        <w:t>。</w:t>
      </w:r>
    </w:p>
    <w:p w14:paraId="3C0254A6">
      <w:pPr>
        <w:numPr>
          <w:ilvl w:val="0"/>
          <w:numId w:val="2"/>
        </w:numPr>
        <w:ind w:firstLine="630" w:firstLineChars="196"/>
        <w:rPr>
          <w:rFonts w:ascii="Times New Roman" w:hAnsi="Times New Roman" w:eastAsia="仿宋_GB2312" w:cs="宋体"/>
          <w:b/>
          <w:kern w:val="0"/>
          <w:sz w:val="32"/>
          <w:szCs w:val="32"/>
          <w:highlight w:val="none"/>
        </w:rPr>
      </w:pPr>
      <w:r>
        <w:rPr>
          <w:rFonts w:hint="eastAsia" w:ascii="Times New Roman" w:hAnsi="Times New Roman" w:eastAsia="仿宋_GB2312" w:cs="宋体"/>
          <w:b/>
          <w:kern w:val="0"/>
          <w:sz w:val="32"/>
          <w:szCs w:val="32"/>
          <w:highlight w:val="none"/>
        </w:rPr>
        <w:t>管理费用：</w:t>
      </w:r>
      <w:r>
        <w:rPr>
          <w:rFonts w:hint="eastAsia" w:ascii="Times New Roman" w:hAnsi="Times New Roman" w:eastAsia="仿宋_GB2312" w:cs="宋体"/>
          <w:kern w:val="0"/>
          <w:sz w:val="32"/>
          <w:szCs w:val="32"/>
          <w:highlight w:val="none"/>
        </w:rPr>
        <w:t>投资期内，</w:t>
      </w:r>
      <w:r>
        <w:rPr>
          <w:rFonts w:hint="eastAsia" w:ascii="Times New Roman" w:hAnsi="Times New Roman" w:eastAsia="仿宋_GB2312" w:cs="宋体"/>
          <w:kern w:val="0"/>
          <w:sz w:val="32"/>
          <w:szCs w:val="32"/>
          <w:highlight w:val="none"/>
          <w:lang w:val="en-US" w:eastAsia="zh-CN"/>
        </w:rPr>
        <w:t>管理费及合伙事务费用</w:t>
      </w:r>
      <w:r>
        <w:rPr>
          <w:rFonts w:hint="eastAsia" w:ascii="Times New Roman" w:hAnsi="Times New Roman" w:eastAsia="仿宋_GB2312" w:cs="宋体"/>
          <w:kern w:val="0"/>
          <w:sz w:val="32"/>
          <w:szCs w:val="32"/>
          <w:highlight w:val="none"/>
        </w:rPr>
        <w:t>按基金实缴出资总额的1.</w:t>
      </w:r>
      <w:r>
        <w:rPr>
          <w:rFonts w:hint="eastAsia" w:ascii="Times New Roman" w:hAnsi="Times New Roman" w:eastAsia="仿宋_GB2312" w:cs="宋体"/>
          <w:kern w:val="0"/>
          <w:sz w:val="32"/>
          <w:szCs w:val="32"/>
          <w:highlight w:val="none"/>
          <w:lang w:val="en-US" w:eastAsia="zh-CN"/>
        </w:rPr>
        <w:t>5</w:t>
      </w:r>
      <w:r>
        <w:rPr>
          <w:rFonts w:hint="eastAsia" w:ascii="Times New Roman" w:hAnsi="Times New Roman" w:eastAsia="仿宋_GB2312" w:cs="宋体"/>
          <w:kern w:val="0"/>
          <w:sz w:val="32"/>
          <w:szCs w:val="32"/>
          <w:highlight w:val="none"/>
        </w:rPr>
        <w:t>%/年计提；退出期内，按基金未退出项目投资额的1.</w:t>
      </w:r>
      <w:r>
        <w:rPr>
          <w:rFonts w:hint="eastAsia" w:ascii="Times New Roman" w:hAnsi="Times New Roman" w:eastAsia="仿宋_GB2312" w:cs="宋体"/>
          <w:kern w:val="0"/>
          <w:sz w:val="32"/>
          <w:szCs w:val="32"/>
          <w:highlight w:val="none"/>
          <w:lang w:val="en-US" w:eastAsia="zh-CN"/>
        </w:rPr>
        <w:t>5</w:t>
      </w:r>
      <w:r>
        <w:rPr>
          <w:rFonts w:hint="eastAsia" w:ascii="Times New Roman" w:hAnsi="Times New Roman" w:eastAsia="仿宋_GB2312" w:cs="宋体"/>
          <w:kern w:val="0"/>
          <w:sz w:val="32"/>
          <w:szCs w:val="32"/>
          <w:highlight w:val="none"/>
        </w:rPr>
        <w:t>%/年计提；延长期内不收取管理费</w:t>
      </w:r>
      <w:r>
        <w:rPr>
          <w:rFonts w:hint="eastAsia" w:ascii="Times New Roman" w:hAnsi="Times New Roman" w:eastAsia="仿宋_GB2312" w:cs="宋体"/>
          <w:kern w:val="0"/>
          <w:sz w:val="32"/>
          <w:szCs w:val="32"/>
          <w:highlight w:val="none"/>
          <w:lang w:val="en-US" w:eastAsia="zh-CN"/>
        </w:rPr>
        <w:t>或合伙事务费用</w:t>
      </w:r>
      <w:r>
        <w:rPr>
          <w:rFonts w:hint="eastAsia" w:ascii="Times New Roman" w:hAnsi="Times New Roman" w:eastAsia="仿宋_GB2312" w:cs="宋体"/>
          <w:kern w:val="0"/>
          <w:sz w:val="32"/>
          <w:szCs w:val="32"/>
          <w:highlight w:val="none"/>
        </w:rPr>
        <w:t>。</w:t>
      </w:r>
    </w:p>
    <w:p w14:paraId="527810D4">
      <w:pPr>
        <w:numPr>
          <w:ilvl w:val="0"/>
          <w:numId w:val="2"/>
        </w:numPr>
        <w:ind w:firstLine="630" w:firstLineChars="196"/>
        <w:rPr>
          <w:rFonts w:ascii="Times New Roman" w:hAnsi="Times New Roman" w:eastAsia="仿宋_GB2312" w:cs="宋体"/>
          <w:b/>
          <w:kern w:val="0"/>
          <w:sz w:val="32"/>
          <w:szCs w:val="32"/>
          <w:highlight w:val="none"/>
        </w:rPr>
      </w:pPr>
      <w:r>
        <w:rPr>
          <w:rFonts w:hint="eastAsia" w:ascii="Times New Roman" w:hAnsi="Times New Roman" w:eastAsia="仿宋_GB2312" w:cs="宋体"/>
          <w:b/>
          <w:kern w:val="0"/>
          <w:sz w:val="32"/>
          <w:szCs w:val="32"/>
          <w:highlight w:val="none"/>
        </w:rPr>
        <w:t>收益分配方式</w:t>
      </w:r>
    </w:p>
    <w:p w14:paraId="2008277B">
      <w:pPr>
        <w:ind w:firstLine="627" w:firstLineChars="196"/>
        <w:rPr>
          <w:rFonts w:ascii="Times New Roman" w:hAnsi="Times New Roman" w:eastAsia="仿宋_GB2312" w:cs="宋体"/>
          <w:kern w:val="0"/>
          <w:sz w:val="32"/>
          <w:szCs w:val="32"/>
          <w:highlight w:val="yellow"/>
        </w:rPr>
      </w:pPr>
      <w:r>
        <w:rPr>
          <w:rFonts w:hint="eastAsia" w:ascii="Times New Roman" w:hAnsi="Times New Roman" w:eastAsia="仿宋_GB2312" w:cs="宋体"/>
          <w:kern w:val="0"/>
          <w:sz w:val="32"/>
          <w:szCs w:val="32"/>
          <w:highlight w:val="none"/>
        </w:rPr>
        <w:t>基金收益分配应采用“整体先回本后分利”方式，收益先</w:t>
      </w:r>
      <w:r>
        <w:rPr>
          <w:rFonts w:hint="eastAsia" w:ascii="Times New Roman" w:hAnsi="Times New Roman" w:eastAsia="仿宋_GB2312" w:cs="宋体"/>
          <w:kern w:val="0"/>
          <w:sz w:val="32"/>
          <w:szCs w:val="32"/>
          <w:highlight w:val="none"/>
          <w:lang w:val="en-US" w:eastAsia="zh-CN"/>
        </w:rPr>
        <w:t>向有限合伙人进行分配，直至有限合伙人收回全部实缴出资，再向普通合伙人进行分配，直至普通合伙人收回其全部实缴出资。</w:t>
      </w:r>
      <w:r>
        <w:rPr>
          <w:rFonts w:hint="eastAsia" w:ascii="Times New Roman" w:hAnsi="Times New Roman" w:eastAsia="仿宋_GB2312" w:cs="宋体"/>
          <w:kern w:val="0"/>
          <w:sz w:val="32"/>
          <w:szCs w:val="32"/>
          <w:highlight w:val="none"/>
        </w:rPr>
        <w:t>剩余收益再按照基金合伙协议约定的方式予以分配。</w:t>
      </w:r>
    </w:p>
    <w:p w14:paraId="5E7F2029">
      <w:pPr>
        <w:numPr>
          <w:ilvl w:val="0"/>
          <w:numId w:val="1"/>
        </w:numPr>
        <w:spacing w:line="560" w:lineRule="exact"/>
        <w:ind w:firstLine="640" w:firstLineChars="200"/>
        <w:rPr>
          <w:rFonts w:ascii="Times New Roman" w:hAnsi="Times New Roman" w:eastAsia="黑体" w:cs="宋体"/>
          <w:kern w:val="0"/>
          <w:sz w:val="32"/>
          <w:szCs w:val="32"/>
          <w:highlight w:val="none"/>
        </w:rPr>
      </w:pPr>
      <w:r>
        <w:rPr>
          <w:rFonts w:hint="eastAsia" w:ascii="Times New Roman" w:hAnsi="Times New Roman" w:eastAsia="黑体" w:cs="宋体"/>
          <w:kern w:val="0"/>
          <w:sz w:val="32"/>
          <w:szCs w:val="32"/>
          <w:highlight w:val="none"/>
        </w:rPr>
        <w:t>申报要求</w:t>
      </w:r>
    </w:p>
    <w:p w14:paraId="2334BBAA">
      <w:pPr>
        <w:numPr>
          <w:ilvl w:val="0"/>
          <w:numId w:val="4"/>
        </w:numPr>
        <w:ind w:firstLine="630" w:firstLineChars="196"/>
        <w:rPr>
          <w:rFonts w:ascii="Times New Roman" w:hAnsi="Times New Roman" w:eastAsia="仿宋_GB2312" w:cs="宋体"/>
          <w:b/>
          <w:kern w:val="0"/>
          <w:sz w:val="32"/>
          <w:szCs w:val="32"/>
          <w:highlight w:val="none"/>
        </w:rPr>
      </w:pPr>
      <w:r>
        <w:rPr>
          <w:rFonts w:hint="eastAsia" w:ascii="Times New Roman" w:hAnsi="Times New Roman" w:eastAsia="仿宋_GB2312" w:cs="宋体"/>
          <w:b/>
          <w:kern w:val="0"/>
          <w:sz w:val="32"/>
          <w:szCs w:val="32"/>
          <w:highlight w:val="none"/>
        </w:rPr>
        <w:t>基本要求</w:t>
      </w:r>
    </w:p>
    <w:p w14:paraId="01BA7242">
      <w:p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申报单位应逐项对照下列基本要求进行自查，并按附件清单及格式要求提供相应证明材料：</w:t>
      </w:r>
    </w:p>
    <w:p w14:paraId="04603AEB">
      <w:pPr>
        <w:numPr>
          <w:ilvl w:val="0"/>
          <w:numId w:val="5"/>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管理机构已在相关主管部门或行业自律组织登记备案，实缴注册资本不低于</w:t>
      </w:r>
      <w:r>
        <w:rPr>
          <w:rFonts w:hint="eastAsia" w:ascii="Times New Roman" w:hAnsi="Times New Roman" w:eastAsia="仿宋_GB2312" w:cs="宋体"/>
          <w:kern w:val="0"/>
          <w:sz w:val="32"/>
          <w:szCs w:val="32"/>
          <w:highlight w:val="none"/>
          <w:lang w:val="en-US" w:eastAsia="zh-CN"/>
        </w:rPr>
        <w:t>1</w:t>
      </w:r>
      <w:r>
        <w:rPr>
          <w:rFonts w:hint="eastAsia" w:ascii="Times New Roman" w:hAnsi="Times New Roman" w:eastAsia="仿宋_GB2312" w:cs="宋体"/>
          <w:kern w:val="0"/>
          <w:sz w:val="32"/>
          <w:szCs w:val="32"/>
          <w:highlight w:val="none"/>
        </w:rPr>
        <w:t>000万元人民币；</w:t>
      </w:r>
    </w:p>
    <w:p w14:paraId="6D242D76">
      <w:pPr>
        <w:numPr>
          <w:ilvl w:val="0"/>
          <w:numId w:val="5"/>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依法设立，公司治理、内控机制和管理制度健全有效，</w:t>
      </w:r>
      <w:r>
        <w:rPr>
          <w:rFonts w:hint="eastAsia" w:ascii="Times New Roman" w:hAnsi="Times New Roman" w:eastAsia="仿宋_GB2312" w:cs="宋体"/>
          <w:kern w:val="0"/>
          <w:sz w:val="32"/>
          <w:szCs w:val="32"/>
          <w:highlight w:val="none"/>
          <w:lang w:val="en-US" w:eastAsia="zh-CN"/>
        </w:rPr>
        <w:t>国资背景优先，</w:t>
      </w:r>
      <w:r>
        <w:rPr>
          <w:rFonts w:hint="eastAsia" w:ascii="Times New Roman" w:hAnsi="Times New Roman" w:eastAsia="仿宋_GB2312" w:cs="宋体"/>
          <w:kern w:val="0"/>
          <w:sz w:val="32"/>
          <w:szCs w:val="32"/>
          <w:highlight w:val="none"/>
        </w:rPr>
        <w:t>具有丰富的创业投资管理经验，历史业绩优秀，为投资基金配备专属且稳定的管理团队；</w:t>
      </w:r>
    </w:p>
    <w:p w14:paraId="754DB064">
      <w:pPr>
        <w:numPr>
          <w:ilvl w:val="0"/>
          <w:numId w:val="5"/>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有健全的</w:t>
      </w:r>
      <w:r>
        <w:rPr>
          <w:rFonts w:hint="eastAsia" w:ascii="Times New Roman" w:hAnsi="Times New Roman" w:eastAsia="仿宋_GB2312" w:cs="宋体"/>
          <w:kern w:val="0"/>
          <w:sz w:val="32"/>
          <w:szCs w:val="32"/>
          <w:highlight w:val="none"/>
          <w:lang w:val="en-US" w:eastAsia="zh-CN"/>
        </w:rPr>
        <w:t>投资决策</w:t>
      </w:r>
      <w:r>
        <w:rPr>
          <w:rFonts w:hint="eastAsia" w:ascii="Times New Roman" w:hAnsi="Times New Roman" w:eastAsia="仿宋_GB2312" w:cs="宋体"/>
          <w:kern w:val="0"/>
          <w:sz w:val="32"/>
          <w:szCs w:val="32"/>
          <w:highlight w:val="none"/>
          <w:lang w:eastAsia="zh-CN"/>
        </w:rPr>
        <w:t>、</w:t>
      </w:r>
      <w:r>
        <w:rPr>
          <w:rFonts w:hint="eastAsia" w:ascii="Times New Roman" w:hAnsi="Times New Roman" w:eastAsia="仿宋_GB2312" w:cs="宋体"/>
          <w:kern w:val="0"/>
          <w:sz w:val="32"/>
          <w:szCs w:val="32"/>
          <w:highlight w:val="none"/>
          <w:lang w:val="en-US" w:eastAsia="zh-CN"/>
        </w:rPr>
        <w:t>投后管理、</w:t>
      </w:r>
      <w:r>
        <w:rPr>
          <w:rFonts w:hint="eastAsia" w:ascii="Times New Roman" w:hAnsi="Times New Roman" w:eastAsia="仿宋_GB2312" w:cs="宋体"/>
          <w:kern w:val="0"/>
          <w:sz w:val="32"/>
          <w:szCs w:val="32"/>
          <w:highlight w:val="none"/>
        </w:rPr>
        <w:t>资产托管和风险隔离机制；</w:t>
      </w:r>
    </w:p>
    <w:p w14:paraId="4FD2B34A">
      <w:pPr>
        <w:numPr>
          <w:ilvl w:val="0"/>
          <w:numId w:val="5"/>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接受国承公司涉及资金投资的质询，并根据其需要，及时向国承公司报告有关情况或提供相关资料；</w:t>
      </w:r>
    </w:p>
    <w:p w14:paraId="085CEF3B">
      <w:pPr>
        <w:numPr>
          <w:ilvl w:val="0"/>
          <w:numId w:val="5"/>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管理机构最近三年不存在重大违法违规行为；</w:t>
      </w:r>
    </w:p>
    <w:p w14:paraId="31CABC80">
      <w:pPr>
        <w:numPr>
          <w:ilvl w:val="0"/>
          <w:numId w:val="5"/>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有良好的募资能力，能在基金方案中明确募资规模；</w:t>
      </w:r>
    </w:p>
    <w:p w14:paraId="1F7712DB">
      <w:pPr>
        <w:numPr>
          <w:ilvl w:val="0"/>
          <w:numId w:val="5"/>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有符合投资领域的投资管理经验和优质项目储备。具体如下：</w:t>
      </w:r>
    </w:p>
    <w:p w14:paraId="3ACCF931">
      <w:pPr>
        <w:ind w:firstLine="627" w:firstLineChars="196"/>
        <w:rPr>
          <w:rFonts w:hint="eastAsia" w:ascii="Times New Roman" w:hAnsi="Times New Roman" w:eastAsia="仿宋_GB2312" w:cs="宋体"/>
          <w:kern w:val="0"/>
          <w:sz w:val="32"/>
          <w:szCs w:val="32"/>
          <w:highlight w:val="none"/>
          <w:lang w:eastAsia="zh-CN"/>
        </w:rPr>
      </w:pPr>
      <w:r>
        <w:rPr>
          <w:rFonts w:hint="eastAsia" w:ascii="Times New Roman" w:hAnsi="Times New Roman" w:eastAsia="仿宋_GB2312" w:cs="宋体"/>
          <w:kern w:val="0"/>
          <w:sz w:val="32"/>
          <w:szCs w:val="32"/>
          <w:highlight w:val="none"/>
        </w:rPr>
        <w:t>管理机构或其主要股东（公司制）、普通合伙人（合伙制）或3名以上管理团队主要成员以骨干身份共同累计管理投资基金</w:t>
      </w:r>
      <w:r>
        <w:rPr>
          <w:rFonts w:hint="eastAsia" w:ascii="Times New Roman" w:hAnsi="Times New Roman" w:eastAsia="仿宋_GB2312" w:cs="宋体"/>
          <w:kern w:val="0"/>
          <w:sz w:val="32"/>
          <w:szCs w:val="32"/>
          <w:highlight w:val="none"/>
          <w:lang w:val="en-US" w:eastAsia="zh-CN"/>
        </w:rPr>
        <w:t>实缴</w:t>
      </w:r>
      <w:r>
        <w:rPr>
          <w:rFonts w:hint="eastAsia" w:ascii="Times New Roman" w:hAnsi="Times New Roman" w:eastAsia="仿宋_GB2312" w:cs="宋体"/>
          <w:kern w:val="0"/>
          <w:sz w:val="32"/>
          <w:szCs w:val="32"/>
          <w:highlight w:val="none"/>
        </w:rPr>
        <w:t>规模不低于5亿元</w:t>
      </w:r>
      <w:r>
        <w:rPr>
          <w:rFonts w:hint="eastAsia" w:ascii="Times New Roman" w:hAnsi="Times New Roman" w:eastAsia="仿宋_GB2312" w:cs="宋体"/>
          <w:kern w:val="0"/>
          <w:sz w:val="32"/>
          <w:szCs w:val="32"/>
          <w:highlight w:val="none"/>
          <w:lang w:eastAsia="zh-CN"/>
        </w:rPr>
        <w:t>，</w:t>
      </w:r>
      <w:r>
        <w:rPr>
          <w:rFonts w:hint="eastAsia" w:ascii="Times New Roman" w:hAnsi="Times New Roman" w:eastAsia="仿宋_GB2312" w:cs="宋体"/>
          <w:kern w:val="0"/>
          <w:sz w:val="32"/>
          <w:szCs w:val="32"/>
          <w:highlight w:val="none"/>
          <w:lang w:val="en-US" w:eastAsia="zh-CN"/>
        </w:rPr>
        <w:t>且有一定数量的</w:t>
      </w:r>
      <w:r>
        <w:rPr>
          <w:rFonts w:hint="eastAsia" w:ascii="Times New Roman" w:hAnsi="Times New Roman" w:eastAsia="仿宋_GB2312" w:cs="宋体"/>
          <w:kern w:val="0"/>
          <w:sz w:val="32"/>
          <w:szCs w:val="32"/>
          <w:highlight w:val="none"/>
        </w:rPr>
        <w:t>成功投资案例</w:t>
      </w:r>
      <w:r>
        <w:rPr>
          <w:rFonts w:hint="eastAsia" w:ascii="Times New Roman" w:hAnsi="Times New Roman" w:eastAsia="仿宋_GB2312" w:cs="宋体"/>
          <w:kern w:val="0"/>
          <w:sz w:val="32"/>
          <w:szCs w:val="32"/>
          <w:highlight w:val="none"/>
          <w:lang w:eastAsia="zh-CN"/>
        </w:rPr>
        <w:t>。</w:t>
      </w:r>
    </w:p>
    <w:p w14:paraId="055B94A8">
      <w:pPr>
        <w:numPr>
          <w:ilvl w:val="0"/>
          <w:numId w:val="5"/>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lang w:val="en-US" w:eastAsia="zh-CN"/>
        </w:rPr>
        <w:t>对以下背景机构优先考虑：国内外知名高等院校（具体参考国家“双一流”建设高校名单或近三年世界知名高校综合排名前100名高校名单）；科研院所（具体参考在国家、省、市事业单位登记管理局登记的科研院所，或遴选世界顶级科研院所）；重点实验室（具体参考国家实验室、国家重点实验室、国家研究中心等国家科技创新基地或遴选世界顶级实验室）；国际知名的技术转移机构（具体参考科技部国家技术转移示范机构，且申请机构最近一次国家技术转移示范机构定期考核评价结果为“优秀”或“良好”，或遴选世界顶级技术转移机构）；国家级科技企业孵化器（经国家相关部委认定并公示的科技企业孵化器，且申请机构最近一次国家级科技企业孵化器年度考核评价结果为“优秀”或“良好”）。</w:t>
      </w:r>
    </w:p>
    <w:p w14:paraId="6855C2B3">
      <w:pPr>
        <w:numPr>
          <w:ilvl w:val="0"/>
          <w:numId w:val="5"/>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lang w:val="en-US" w:eastAsia="zh-CN"/>
        </w:rPr>
        <w:t>对于在申报前已完成基金认缴规模25%及以上金额募集的管理机构将优先考虑。</w:t>
      </w:r>
    </w:p>
    <w:p w14:paraId="02577332">
      <w:pPr>
        <w:numPr>
          <w:ilvl w:val="0"/>
          <w:numId w:val="4"/>
        </w:numPr>
        <w:ind w:firstLine="630" w:firstLineChars="196"/>
        <w:rPr>
          <w:rFonts w:ascii="Times New Roman" w:hAnsi="Times New Roman" w:eastAsia="仿宋_GB2312" w:cs="宋体"/>
          <w:b/>
          <w:kern w:val="0"/>
          <w:sz w:val="32"/>
          <w:szCs w:val="32"/>
          <w:highlight w:val="none"/>
        </w:rPr>
      </w:pPr>
      <w:r>
        <w:rPr>
          <w:rFonts w:hint="eastAsia" w:ascii="Times New Roman" w:hAnsi="Times New Roman" w:eastAsia="仿宋_GB2312" w:cs="宋体"/>
          <w:b/>
          <w:kern w:val="0"/>
          <w:sz w:val="32"/>
          <w:szCs w:val="32"/>
          <w:highlight w:val="none"/>
        </w:rPr>
        <w:t>管理要求</w:t>
      </w:r>
    </w:p>
    <w:p w14:paraId="5A6DF444">
      <w:pPr>
        <w:numPr>
          <w:ilvl w:val="0"/>
          <w:numId w:val="6"/>
        </w:numPr>
        <w:ind w:firstLine="627" w:firstLineChars="196"/>
        <w:rPr>
          <w:rFonts w:ascii="Times New Roman" w:hAnsi="Times New Roman"/>
          <w:highlight w:val="none"/>
        </w:rPr>
      </w:pPr>
      <w:r>
        <w:rPr>
          <w:rFonts w:hint="eastAsia" w:ascii="Times New Roman" w:hAnsi="Times New Roman" w:eastAsia="仿宋_GB2312" w:cs="宋体"/>
          <w:kern w:val="0"/>
          <w:sz w:val="32"/>
          <w:szCs w:val="32"/>
          <w:highlight w:val="none"/>
        </w:rPr>
        <w:t>团队配备要求。在基金存续期内配备专属且稳定的管理团队，拥有不少于5名专业投资人员，至少有3名具有3年以上项目投资经验或相关行业经验的高级管理人员，彼此之间有3年以上合作经历；管理团队主要成员无受过行政主管机关或司法机关处罚的不良记录；</w:t>
      </w:r>
    </w:p>
    <w:p w14:paraId="6B59BAB1">
      <w:pPr>
        <w:numPr>
          <w:ilvl w:val="0"/>
          <w:numId w:val="6"/>
        </w:numPr>
        <w:ind w:firstLine="627" w:firstLineChars="196"/>
        <w:rPr>
          <w:rFonts w:ascii="Times New Roman" w:hAnsi="Times New Roman"/>
          <w:highlight w:val="none"/>
        </w:rPr>
      </w:pPr>
      <w:r>
        <w:rPr>
          <w:rFonts w:hint="eastAsia" w:ascii="Times New Roman" w:hAnsi="Times New Roman" w:eastAsia="仿宋_GB2312" w:cs="宋体"/>
          <w:kern w:val="0"/>
          <w:sz w:val="32"/>
          <w:szCs w:val="32"/>
          <w:highlight w:val="none"/>
        </w:rPr>
        <w:t>专注度要求。基金合伙协议应当约定对</w:t>
      </w:r>
      <w:r>
        <w:rPr>
          <w:rFonts w:hint="eastAsia" w:ascii="Times New Roman" w:hAnsi="Times New Roman" w:eastAsia="仿宋_GB2312" w:cs="宋体"/>
          <w:kern w:val="0"/>
          <w:sz w:val="32"/>
          <w:szCs w:val="32"/>
          <w:highlight w:val="none"/>
          <w:lang w:val="en-US" w:eastAsia="zh-CN"/>
        </w:rPr>
        <w:t>基金关键人</w:t>
      </w:r>
      <w:r>
        <w:rPr>
          <w:rFonts w:hint="eastAsia" w:ascii="Times New Roman" w:hAnsi="Times New Roman" w:eastAsia="仿宋_GB2312" w:cs="宋体"/>
          <w:kern w:val="0"/>
          <w:sz w:val="32"/>
          <w:szCs w:val="32"/>
          <w:highlight w:val="none"/>
        </w:rPr>
        <w:t>进行锁定，</w:t>
      </w:r>
      <w:r>
        <w:rPr>
          <w:rFonts w:hint="eastAsia" w:ascii="Times New Roman" w:hAnsi="Times New Roman" w:eastAsia="仿宋_GB2312" w:cs="宋体"/>
          <w:kern w:val="0"/>
          <w:sz w:val="32"/>
          <w:szCs w:val="32"/>
          <w:highlight w:val="none"/>
          <w:lang w:val="en-US" w:eastAsia="zh-CN"/>
        </w:rPr>
        <w:t>基金关键人</w:t>
      </w:r>
      <w:r>
        <w:rPr>
          <w:rFonts w:hint="eastAsia" w:ascii="Times New Roman" w:hAnsi="Times New Roman" w:eastAsia="仿宋_GB2312" w:cs="宋体"/>
          <w:kern w:val="0"/>
          <w:sz w:val="32"/>
          <w:szCs w:val="32"/>
          <w:highlight w:val="none"/>
        </w:rPr>
        <w:t>原则上不得变更</w:t>
      </w:r>
      <w:r>
        <w:rPr>
          <w:rFonts w:hint="eastAsia" w:ascii="Times New Roman" w:hAnsi="Times New Roman" w:eastAsia="仿宋_GB2312" w:cs="宋体"/>
          <w:kern w:val="0"/>
          <w:sz w:val="32"/>
          <w:szCs w:val="32"/>
          <w:highlight w:val="none"/>
          <w:lang w:eastAsia="zh-CN"/>
        </w:rPr>
        <w:t>。</w:t>
      </w:r>
      <w:r>
        <w:rPr>
          <w:rFonts w:hint="eastAsia" w:ascii="Times New Roman" w:hAnsi="Times New Roman" w:eastAsia="仿宋_GB2312" w:cs="宋体"/>
          <w:kern w:val="0"/>
          <w:sz w:val="32"/>
          <w:szCs w:val="32"/>
          <w:highlight w:val="none"/>
        </w:rPr>
        <w:t>在基金完成70%的投资进度之前，</w:t>
      </w:r>
      <w:r>
        <w:rPr>
          <w:rFonts w:hint="eastAsia" w:ascii="Times New Roman" w:hAnsi="Times New Roman" w:eastAsia="仿宋_GB2312" w:cs="宋体"/>
          <w:kern w:val="0"/>
          <w:sz w:val="32"/>
          <w:szCs w:val="32"/>
          <w:highlight w:val="none"/>
          <w:lang w:val="en-US" w:eastAsia="zh-CN"/>
        </w:rPr>
        <w:t>基金管理人</w:t>
      </w:r>
      <w:r>
        <w:rPr>
          <w:rFonts w:hint="eastAsia" w:ascii="Times New Roman" w:hAnsi="Times New Roman" w:eastAsia="仿宋_GB2312" w:cs="宋体"/>
          <w:kern w:val="0"/>
          <w:sz w:val="32"/>
          <w:szCs w:val="32"/>
          <w:highlight w:val="none"/>
        </w:rPr>
        <w:t>不得募集、管理相同投资领域及</w:t>
      </w:r>
      <w:r>
        <w:rPr>
          <w:rFonts w:hint="eastAsia" w:ascii="Times New Roman" w:hAnsi="Times New Roman" w:eastAsia="仿宋_GB2312" w:cs="宋体"/>
          <w:kern w:val="0"/>
          <w:sz w:val="32"/>
          <w:szCs w:val="32"/>
          <w:highlight w:val="none"/>
          <w:lang w:val="en-US" w:eastAsia="zh-CN"/>
        </w:rPr>
        <w:t>地域</w:t>
      </w:r>
      <w:r>
        <w:rPr>
          <w:rFonts w:hint="eastAsia" w:ascii="Times New Roman" w:hAnsi="Times New Roman" w:eastAsia="仿宋_GB2312" w:cs="宋体"/>
          <w:kern w:val="0"/>
          <w:sz w:val="32"/>
          <w:szCs w:val="32"/>
          <w:highlight w:val="none"/>
        </w:rPr>
        <w:t>的其他</w:t>
      </w:r>
      <w:r>
        <w:rPr>
          <w:rFonts w:hint="eastAsia" w:ascii="Times New Roman" w:hAnsi="Times New Roman" w:eastAsia="仿宋_GB2312" w:cs="宋体"/>
          <w:kern w:val="0"/>
          <w:sz w:val="32"/>
          <w:szCs w:val="32"/>
          <w:highlight w:val="none"/>
          <w:lang w:val="en-US" w:eastAsia="zh-CN"/>
        </w:rPr>
        <w:t>基金</w:t>
      </w:r>
      <w:r>
        <w:rPr>
          <w:rFonts w:hint="eastAsia" w:ascii="Times New Roman" w:hAnsi="Times New Roman" w:eastAsia="仿宋_GB2312" w:cs="宋体"/>
          <w:kern w:val="0"/>
          <w:sz w:val="32"/>
          <w:szCs w:val="32"/>
          <w:highlight w:val="none"/>
          <w:lang w:eastAsia="zh-CN"/>
        </w:rPr>
        <w:t>。</w:t>
      </w:r>
      <w:r>
        <w:rPr>
          <w:rFonts w:hint="eastAsia" w:ascii="Times New Roman" w:hAnsi="Times New Roman" w:eastAsia="仿宋_GB2312" w:cs="宋体"/>
          <w:kern w:val="0"/>
          <w:sz w:val="32"/>
          <w:szCs w:val="32"/>
          <w:highlight w:val="none"/>
        </w:rPr>
        <w:t>锁定人员如发生变动应当经基金相关权力机构表决通过。</w:t>
      </w:r>
    </w:p>
    <w:p w14:paraId="79FD1655">
      <w:pPr>
        <w:numPr>
          <w:ilvl w:val="0"/>
          <w:numId w:val="1"/>
        </w:numPr>
        <w:spacing w:line="560" w:lineRule="exact"/>
        <w:ind w:firstLine="640" w:firstLineChars="200"/>
        <w:rPr>
          <w:rFonts w:ascii="Times New Roman" w:hAnsi="Times New Roman" w:eastAsia="黑体" w:cs="宋体"/>
          <w:kern w:val="0"/>
          <w:sz w:val="32"/>
          <w:szCs w:val="32"/>
          <w:highlight w:val="none"/>
        </w:rPr>
      </w:pPr>
      <w:r>
        <w:rPr>
          <w:rFonts w:hint="eastAsia" w:ascii="Times New Roman" w:hAnsi="Times New Roman" w:eastAsia="黑体" w:cs="宋体"/>
          <w:kern w:val="0"/>
          <w:sz w:val="32"/>
          <w:szCs w:val="32"/>
          <w:highlight w:val="none"/>
        </w:rPr>
        <w:t>限制性安排及风控要求</w:t>
      </w:r>
    </w:p>
    <w:p w14:paraId="229C27FD">
      <w:pPr>
        <w:numPr>
          <w:ilvl w:val="0"/>
          <w:numId w:val="7"/>
        </w:numPr>
        <w:ind w:firstLine="630" w:firstLineChars="196"/>
        <w:rPr>
          <w:highlight w:val="none"/>
        </w:rPr>
      </w:pPr>
      <w:r>
        <w:rPr>
          <w:rFonts w:hint="eastAsia" w:ascii="Times New Roman" w:hAnsi="Times New Roman" w:eastAsia="仿宋_GB2312" w:cs="宋体"/>
          <w:b/>
          <w:kern w:val="0"/>
          <w:sz w:val="32"/>
          <w:szCs w:val="32"/>
          <w:highlight w:val="none"/>
        </w:rPr>
        <w:t>基金运作中不得从事的业务</w:t>
      </w:r>
    </w:p>
    <w:p w14:paraId="09E6BC7E">
      <w:pPr>
        <w:numPr>
          <w:ilvl w:val="0"/>
          <w:numId w:val="8"/>
        </w:numPr>
        <w:ind w:firstLine="640" w:firstLineChars="200"/>
        <w:rPr>
          <w:rFonts w:hint="eastAsia"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不得从事担保、抵押、委托贷款等业务。</w:t>
      </w:r>
    </w:p>
    <w:p w14:paraId="618A901D">
      <w:pPr>
        <w:numPr>
          <w:ilvl w:val="0"/>
          <w:numId w:val="8"/>
        </w:numPr>
        <w:ind w:firstLine="640" w:firstLineChars="200"/>
        <w:rPr>
          <w:rFonts w:hint="eastAsia"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不得投资二级市场股票</w:t>
      </w:r>
      <w:r>
        <w:rPr>
          <w:rFonts w:hint="eastAsia" w:ascii="Times New Roman" w:hAnsi="Times New Roman" w:eastAsia="仿宋_GB2312" w:cs="宋体"/>
          <w:kern w:val="0"/>
          <w:sz w:val="32"/>
          <w:szCs w:val="32"/>
          <w:highlight w:val="none"/>
          <w:lang w:eastAsia="zh-CN"/>
        </w:rPr>
        <w:t>（</w:t>
      </w:r>
      <w:r>
        <w:rPr>
          <w:rFonts w:hint="eastAsia" w:ascii="Times New Roman" w:hAnsi="Times New Roman" w:eastAsia="仿宋_GB2312" w:cs="宋体"/>
          <w:kern w:val="0"/>
          <w:sz w:val="32"/>
          <w:szCs w:val="32"/>
          <w:highlight w:val="none"/>
          <w:lang w:val="en-US" w:eastAsia="zh-CN"/>
        </w:rPr>
        <w:t>通过战略配售、基石投资、定向增发、大宗交易或协议转让的股票除外</w:t>
      </w:r>
      <w:r>
        <w:rPr>
          <w:rFonts w:hint="eastAsia" w:ascii="Times New Roman" w:hAnsi="Times New Roman" w:eastAsia="仿宋_GB2312" w:cs="宋体"/>
          <w:kern w:val="0"/>
          <w:sz w:val="32"/>
          <w:szCs w:val="32"/>
          <w:highlight w:val="none"/>
          <w:lang w:eastAsia="zh-CN"/>
        </w:rPr>
        <w:t>）</w:t>
      </w:r>
      <w:r>
        <w:rPr>
          <w:rFonts w:hint="eastAsia" w:ascii="Times New Roman" w:hAnsi="Times New Roman" w:eastAsia="仿宋_GB2312" w:cs="宋体"/>
          <w:kern w:val="0"/>
          <w:sz w:val="32"/>
          <w:szCs w:val="32"/>
          <w:highlight w:val="none"/>
        </w:rPr>
        <w:t>、期货、房地产、证券投资基金、评级AAA以下的企业债、信托产品、非保本型理财产品、保险计划及其他金融衍生品。</w:t>
      </w:r>
    </w:p>
    <w:p w14:paraId="3069D02C">
      <w:pPr>
        <w:numPr>
          <w:ilvl w:val="0"/>
          <w:numId w:val="8"/>
        </w:numPr>
        <w:ind w:firstLine="640" w:firstLineChars="200"/>
        <w:rPr>
          <w:rFonts w:hint="eastAsia"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不得向任何第三方提供赞助、捐赠（经批准的公益性捐赠除外）。</w:t>
      </w:r>
    </w:p>
    <w:p w14:paraId="1F8042ED">
      <w:pPr>
        <w:numPr>
          <w:ilvl w:val="0"/>
          <w:numId w:val="8"/>
        </w:numPr>
        <w:ind w:firstLine="640" w:firstLineChars="200"/>
        <w:rPr>
          <w:rFonts w:hint="eastAsia"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不得吸收或变相吸收存款，或向第三方提供贷款、资金拆借。</w:t>
      </w:r>
    </w:p>
    <w:p w14:paraId="49FC192E">
      <w:pPr>
        <w:numPr>
          <w:ilvl w:val="0"/>
          <w:numId w:val="8"/>
        </w:numPr>
        <w:ind w:firstLine="640" w:firstLineChars="200"/>
        <w:rPr>
          <w:rFonts w:hint="eastAsia"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不得进行承担无限连带责任的对外投资。</w:t>
      </w:r>
    </w:p>
    <w:p w14:paraId="0A3FB7BE">
      <w:pPr>
        <w:numPr>
          <w:ilvl w:val="0"/>
          <w:numId w:val="8"/>
        </w:numPr>
        <w:ind w:firstLine="640" w:firstLineChars="200"/>
        <w:rPr>
          <w:rFonts w:hint="eastAsia"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不得发行信托或集合理财产品募集资金。</w:t>
      </w:r>
    </w:p>
    <w:p w14:paraId="77E00E3D">
      <w:pPr>
        <w:numPr>
          <w:ilvl w:val="0"/>
          <w:numId w:val="8"/>
        </w:numPr>
        <w:ind w:firstLine="640" w:firstLineChars="200"/>
        <w:rPr>
          <w:rFonts w:hint="eastAsia"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不得投资国家禁止或者限制投资的项目，以及不符合国家产业政策、环境保护政策、土地管理政策的项目。</w:t>
      </w:r>
    </w:p>
    <w:p w14:paraId="2229D78D">
      <w:pPr>
        <w:numPr>
          <w:ilvl w:val="0"/>
          <w:numId w:val="8"/>
        </w:numPr>
        <w:ind w:firstLine="640" w:firstLineChars="200"/>
        <w:rPr>
          <w:rFonts w:hint="eastAsia"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不得开展借（存）贷、担保、明股实债等非私募基金投资活动。</w:t>
      </w:r>
    </w:p>
    <w:p w14:paraId="1B538B4C">
      <w:pPr>
        <w:numPr>
          <w:ilvl w:val="0"/>
          <w:numId w:val="8"/>
        </w:numPr>
        <w:ind w:firstLine="640" w:firstLineChars="200"/>
        <w:rPr>
          <w:rFonts w:hint="eastAsia"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不得投资保理资产、融资租赁资产、典当资产等类信贷资产、股权或其收（受）益权。</w:t>
      </w:r>
    </w:p>
    <w:p w14:paraId="4BB03E15">
      <w:pPr>
        <w:numPr>
          <w:ilvl w:val="0"/>
          <w:numId w:val="8"/>
        </w:numPr>
        <w:ind w:firstLine="640" w:firstLineChars="200"/>
        <w:rPr>
          <w:rFonts w:hint="eastAsia"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不得投资金融资产交易中心发行的产品。</w:t>
      </w:r>
    </w:p>
    <w:p w14:paraId="27F344FC">
      <w:pPr>
        <w:numPr>
          <w:ilvl w:val="0"/>
          <w:numId w:val="8"/>
        </w:numPr>
        <w:ind w:firstLine="640" w:firstLineChars="200"/>
        <w:rPr>
          <w:rFonts w:hint="eastAsia"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不得投资首发企业股票。</w:t>
      </w:r>
    </w:p>
    <w:p w14:paraId="51A929C5">
      <w:pPr>
        <w:numPr>
          <w:ilvl w:val="0"/>
          <w:numId w:val="8"/>
        </w:numPr>
        <w:ind w:firstLine="640" w:firstLineChars="200"/>
        <w:rPr>
          <w:rFonts w:hint="eastAsia"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不得从事法律法规和中国证监会禁止的其他活动。</w:t>
      </w:r>
    </w:p>
    <w:p w14:paraId="51DC2E26">
      <w:pPr>
        <w:numPr>
          <w:ilvl w:val="0"/>
          <w:numId w:val="7"/>
        </w:numPr>
        <w:ind w:firstLine="630" w:firstLineChars="196"/>
        <w:rPr>
          <w:rFonts w:ascii="Times New Roman" w:hAnsi="Times New Roman" w:eastAsia="仿宋_GB2312" w:cs="宋体"/>
          <w:b/>
          <w:kern w:val="0"/>
          <w:sz w:val="32"/>
          <w:szCs w:val="32"/>
          <w:highlight w:val="none"/>
        </w:rPr>
      </w:pPr>
      <w:r>
        <w:rPr>
          <w:rFonts w:hint="eastAsia" w:ascii="Times New Roman" w:hAnsi="Times New Roman" w:eastAsia="仿宋_GB2312" w:cs="宋体"/>
          <w:b/>
          <w:kern w:val="0"/>
          <w:sz w:val="32"/>
          <w:szCs w:val="32"/>
          <w:highlight w:val="none"/>
        </w:rPr>
        <w:t>风险控制</w:t>
      </w:r>
    </w:p>
    <w:p w14:paraId="68CD6572">
      <w:pPr>
        <w:numPr>
          <w:ilvl w:val="0"/>
          <w:numId w:val="9"/>
        </w:numPr>
        <w:ind w:firstLine="640" w:firstLineChars="200"/>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资金托管。基金应委托一家在中国境内设立且具备资质的商业银行进行托管；</w:t>
      </w:r>
    </w:p>
    <w:p w14:paraId="22898302">
      <w:pPr>
        <w:numPr>
          <w:ilvl w:val="0"/>
          <w:numId w:val="9"/>
        </w:numPr>
        <w:ind w:firstLine="640" w:firstLineChars="200"/>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基金备案。基金应按中基协规定在募集完毕之日起</w:t>
      </w:r>
      <w:r>
        <w:rPr>
          <w:rFonts w:hint="eastAsia" w:ascii="Times New Roman" w:hAnsi="Times New Roman" w:eastAsia="仿宋_GB2312" w:cs="宋体"/>
          <w:kern w:val="0"/>
          <w:sz w:val="32"/>
          <w:szCs w:val="32"/>
          <w:highlight w:val="none"/>
          <w:lang w:val="en-US" w:eastAsia="zh-CN"/>
        </w:rPr>
        <w:t>2个月</w:t>
      </w:r>
      <w:r>
        <w:rPr>
          <w:rFonts w:hint="eastAsia" w:ascii="Times New Roman" w:hAnsi="Times New Roman" w:eastAsia="仿宋_GB2312" w:cs="宋体"/>
          <w:kern w:val="0"/>
          <w:sz w:val="32"/>
          <w:szCs w:val="32"/>
          <w:highlight w:val="none"/>
        </w:rPr>
        <w:t>内完成向中基协提交基金备案申请；</w:t>
      </w:r>
    </w:p>
    <w:p w14:paraId="5D012BC3">
      <w:pPr>
        <w:numPr>
          <w:ilvl w:val="0"/>
          <w:numId w:val="9"/>
        </w:numPr>
        <w:ind w:firstLine="640" w:firstLineChars="200"/>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一票否决权。国承公司有权委派观察员列席基金投资决策委员会等会议。国承公司有权对违反各自相关管理制度、合伙协议约定的投资项目行使一票否决权；</w:t>
      </w:r>
    </w:p>
    <w:p w14:paraId="09876BDD">
      <w:pPr>
        <w:numPr>
          <w:ilvl w:val="0"/>
          <w:numId w:val="9"/>
        </w:numPr>
        <w:ind w:firstLine="640" w:firstLineChars="200"/>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信息披露。建立基金重大事项披露制度，定期向国承公司提交基金运营报告、经审计的基金财务报告和银行托管报告等。按照国承公司的要求，报送具体基金投资运营相关信息；</w:t>
      </w:r>
    </w:p>
    <w:p w14:paraId="06AF20A0">
      <w:pPr>
        <w:numPr>
          <w:ilvl w:val="0"/>
          <w:numId w:val="9"/>
        </w:numPr>
        <w:ind w:firstLine="640" w:firstLineChars="200"/>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触发特定情形的风险控制措施。基金出现以下情况之一的，国承公司应当按照投资或合伙协议约定退出该基金。退出价格按照基金合伙协议约定的方式计算，国承公司有权要求收回投资本金及利息（按同期全国银行间同业拆借中心公布的贷款市场报价利率（LPR）及同期银行贷款利率孰高者计算）之和，如有收益分成部分，按照投资协议约定享有收益分配：</w:t>
      </w:r>
    </w:p>
    <w:p w14:paraId="6F5796E1">
      <w:pPr>
        <w:numPr>
          <w:ilvl w:val="0"/>
          <w:numId w:val="10"/>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基金未按合伙协议约定投资且未能有效整改的；</w:t>
      </w:r>
    </w:p>
    <w:p w14:paraId="2A90CD3A">
      <w:pPr>
        <w:numPr>
          <w:ilvl w:val="0"/>
          <w:numId w:val="10"/>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国承公司与基金管理机构首次签订投资或合伙协议后，基金管理机构未完成商事登记超过</w:t>
      </w:r>
      <w:r>
        <w:rPr>
          <w:rFonts w:ascii="Times New Roman" w:hAnsi="Times New Roman" w:eastAsia="仿宋_GB2312" w:cs="宋体"/>
          <w:kern w:val="0"/>
          <w:sz w:val="32"/>
          <w:szCs w:val="32"/>
          <w:highlight w:val="none"/>
        </w:rPr>
        <w:t>6</w:t>
      </w:r>
      <w:r>
        <w:rPr>
          <w:rFonts w:hint="eastAsia" w:ascii="Times New Roman" w:hAnsi="Times New Roman" w:eastAsia="仿宋_GB2312" w:cs="宋体"/>
          <w:kern w:val="0"/>
          <w:sz w:val="32"/>
          <w:szCs w:val="32"/>
          <w:highlight w:val="none"/>
        </w:rPr>
        <w:t>个月的；</w:t>
      </w:r>
    </w:p>
    <w:p w14:paraId="18FDEF10">
      <w:pPr>
        <w:numPr>
          <w:ilvl w:val="0"/>
          <w:numId w:val="10"/>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国承公司首轮出资资金拨付基金账户6个月，基金仍未开展投资业务的；</w:t>
      </w:r>
    </w:p>
    <w:p w14:paraId="427767CE">
      <w:pPr>
        <w:numPr>
          <w:ilvl w:val="0"/>
          <w:numId w:val="10"/>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基金投资项目不符合国承公司或开平市国资投资管理办法规定的政策导向的；</w:t>
      </w:r>
    </w:p>
    <w:p w14:paraId="478E59FF">
      <w:pPr>
        <w:numPr>
          <w:ilvl w:val="0"/>
          <w:numId w:val="10"/>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基金管理机构发生实质性变化的且未按基金协议履行相关程序的；</w:t>
      </w:r>
    </w:p>
    <w:p w14:paraId="7D5DA06F">
      <w:pPr>
        <w:numPr>
          <w:ilvl w:val="0"/>
          <w:numId w:val="10"/>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基金完成商事登记后，其他出资人未在</w:t>
      </w:r>
      <w:r>
        <w:rPr>
          <w:rFonts w:ascii="Times New Roman" w:hAnsi="Times New Roman" w:eastAsia="仿宋_GB2312" w:cs="宋体"/>
          <w:kern w:val="0"/>
          <w:sz w:val="32"/>
          <w:szCs w:val="32"/>
          <w:highlight w:val="none"/>
        </w:rPr>
        <w:t>6</w:t>
      </w:r>
      <w:r>
        <w:rPr>
          <w:rFonts w:hint="eastAsia" w:ascii="Times New Roman" w:hAnsi="Times New Roman" w:eastAsia="仿宋_GB2312" w:cs="宋体"/>
          <w:kern w:val="0"/>
          <w:sz w:val="32"/>
          <w:szCs w:val="32"/>
          <w:highlight w:val="none"/>
        </w:rPr>
        <w:t>个月内完成首轮出资的；</w:t>
      </w:r>
    </w:p>
    <w:p w14:paraId="1F8E85B7">
      <w:pPr>
        <w:numPr>
          <w:ilvl w:val="0"/>
          <w:numId w:val="10"/>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基金运营有违法违规行为被依法查处的；</w:t>
      </w:r>
    </w:p>
    <w:p w14:paraId="3EEF1A41">
      <w:pPr>
        <w:numPr>
          <w:ilvl w:val="0"/>
          <w:numId w:val="10"/>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基金出现重大审计问题且整改未达标的；</w:t>
      </w:r>
    </w:p>
    <w:p w14:paraId="779D7B38">
      <w:pPr>
        <w:numPr>
          <w:ilvl w:val="0"/>
          <w:numId w:val="10"/>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基金管理机构连续2年绩效考核不合格且整改未达标的；</w:t>
      </w:r>
    </w:p>
    <w:p w14:paraId="1B4B344F">
      <w:pPr>
        <w:numPr>
          <w:ilvl w:val="0"/>
          <w:numId w:val="10"/>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基金未达到合伙协议约定的政策目标，经整改仍然无法达到要求的。</w:t>
      </w:r>
    </w:p>
    <w:p w14:paraId="3D9F2E93">
      <w:pPr>
        <w:numPr>
          <w:ilvl w:val="0"/>
          <w:numId w:val="1"/>
        </w:numPr>
        <w:spacing w:line="560" w:lineRule="exact"/>
        <w:ind w:firstLine="640" w:firstLineChars="200"/>
        <w:rPr>
          <w:rFonts w:ascii="Times New Roman" w:hAnsi="Times New Roman" w:eastAsia="黑体" w:cs="宋体"/>
          <w:kern w:val="0"/>
          <w:sz w:val="32"/>
          <w:szCs w:val="32"/>
          <w:highlight w:val="none"/>
        </w:rPr>
      </w:pPr>
      <w:r>
        <w:rPr>
          <w:rFonts w:hint="eastAsia" w:ascii="Times New Roman" w:hAnsi="Times New Roman" w:eastAsia="黑体" w:cs="宋体"/>
          <w:kern w:val="0"/>
          <w:sz w:val="32"/>
          <w:szCs w:val="32"/>
          <w:highlight w:val="none"/>
        </w:rPr>
        <w:t>附则</w:t>
      </w:r>
    </w:p>
    <w:p w14:paraId="06AD9C0C">
      <w:pPr>
        <w:numPr>
          <w:ilvl w:val="0"/>
          <w:numId w:val="11"/>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本申报指南中，除非特别说明，“不低于”“不超过” “不高于”“不少于”“以上”“以下”等均含本数。</w:t>
      </w:r>
    </w:p>
    <w:p w14:paraId="35677A0B">
      <w:pPr>
        <w:numPr>
          <w:ilvl w:val="0"/>
          <w:numId w:val="11"/>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国承公司承诺对接收的报送材料保密，除审核流程的相关部门及人员或审计部门需要、或该信息于披露时属于可公开获取的信息或因相关法律规定而必须披露的信息。</w:t>
      </w:r>
    </w:p>
    <w:p w14:paraId="74B1462D">
      <w:pPr>
        <w:numPr>
          <w:ilvl w:val="0"/>
          <w:numId w:val="11"/>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国承公司对各申报单位提交的申报材料及其按要求提供的补充材料，均不予退回；对未进入下一环节或未中选申报单位不另行通知。</w:t>
      </w:r>
    </w:p>
    <w:p w14:paraId="16272087">
      <w:pPr>
        <w:numPr>
          <w:ilvl w:val="0"/>
          <w:numId w:val="11"/>
        </w:numPr>
        <w:ind w:firstLine="627" w:firstLineChars="196"/>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本申报指南（含附件）由国承公司负责解释。</w:t>
      </w:r>
    </w:p>
    <w:p w14:paraId="55991244">
      <w:pPr>
        <w:rPr>
          <w:rFonts w:ascii="Times New Roman" w:hAnsi="Times New Roman" w:eastAsia="仿宋_GB2312" w:cs="宋体"/>
          <w:kern w:val="0"/>
          <w:sz w:val="32"/>
          <w:szCs w:val="32"/>
          <w:highlight w:val="none"/>
        </w:rPr>
      </w:pPr>
    </w:p>
    <w:p w14:paraId="7288A04A">
      <w:pPr>
        <w:ind w:firstLine="640" w:firstLineChars="200"/>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附件：1.1 申报材料编制及报送说明</w:t>
      </w:r>
    </w:p>
    <w:p w14:paraId="4AACD1C4">
      <w:pPr>
        <w:ind w:firstLine="1600" w:firstLineChars="500"/>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1.2 申报材料封面及顺序目录</w:t>
      </w:r>
    </w:p>
    <w:p w14:paraId="74481F5C">
      <w:pPr>
        <w:ind w:firstLine="1600" w:firstLineChars="500"/>
        <w:rPr>
          <w:rFonts w:hint="eastAsia" w:ascii="Times New Roman" w:hAnsi="Times New Roman" w:eastAsia="仿宋_GB2312" w:cs="宋体"/>
          <w:kern w:val="0"/>
          <w:sz w:val="32"/>
          <w:szCs w:val="32"/>
          <w:highlight w:val="none"/>
          <w:lang w:eastAsia="zh-CN"/>
        </w:rPr>
      </w:pPr>
      <w:r>
        <w:rPr>
          <w:rFonts w:hint="eastAsia" w:ascii="Times New Roman" w:hAnsi="Times New Roman" w:eastAsia="仿宋_GB2312" w:cs="宋体"/>
          <w:kern w:val="0"/>
          <w:sz w:val="32"/>
          <w:szCs w:val="32"/>
          <w:highlight w:val="none"/>
        </w:rPr>
        <w:t>1.3 申报材料承诺书、声明函、授权书</w:t>
      </w:r>
      <w:r>
        <w:rPr>
          <w:rFonts w:hint="eastAsia" w:ascii="Times New Roman" w:hAnsi="Times New Roman" w:eastAsia="仿宋_GB2312" w:cs="宋体"/>
          <w:kern w:val="0"/>
          <w:sz w:val="32"/>
          <w:szCs w:val="32"/>
          <w:highlight w:val="none"/>
          <w:lang w:val="en-US" w:eastAsia="zh-CN"/>
        </w:rPr>
        <w:t>模板</w:t>
      </w:r>
      <w:bookmarkStart w:id="1" w:name="_GoBack"/>
      <w:bookmarkEnd w:id="1"/>
    </w:p>
    <w:p w14:paraId="2071A2EA">
      <w:pPr>
        <w:ind w:firstLine="1600" w:firstLineChars="500"/>
        <w:rPr>
          <w:rFonts w:ascii="Times New Roman" w:hAnsi="Times New Roman" w:eastAsia="仿宋_GB2312" w:cs="宋体"/>
          <w:kern w:val="0"/>
          <w:sz w:val="32"/>
          <w:szCs w:val="32"/>
          <w:highlight w:val="none"/>
        </w:rPr>
      </w:pPr>
      <w:r>
        <w:rPr>
          <w:rFonts w:hint="eastAsia" w:ascii="Times New Roman" w:hAnsi="Times New Roman" w:eastAsia="仿宋_GB2312" w:cs="宋体"/>
          <w:kern w:val="0"/>
          <w:sz w:val="32"/>
          <w:szCs w:val="32"/>
          <w:highlight w:val="none"/>
        </w:rPr>
        <w:t>1.4 申报材料附表模板</w:t>
      </w:r>
    </w:p>
    <w:sectPr>
      <w:footerReference r:id="rId3" w:type="default"/>
      <w:footerReference r:id="rId4" w:type="even"/>
      <w:pgSz w:w="11906" w:h="16838"/>
      <w:pgMar w:top="1588" w:right="1474" w:bottom="1474"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D0DCC">
    <w:pPr>
      <w:pStyle w:val="7"/>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5D2A06">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7</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75D2A06">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7</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p w14:paraId="2EE38EF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532492"/>
    </w:sdtPr>
    <w:sdtEndPr>
      <w:rPr>
        <w:rFonts w:ascii="宋体" w:hAnsi="宋体"/>
        <w:sz w:val="24"/>
        <w:szCs w:val="24"/>
      </w:rPr>
    </w:sdtEndPr>
    <w:sdtContent>
      <w:p w14:paraId="65BA2427">
        <w:pPr>
          <w:pStyle w:val="7"/>
        </w:pPr>
        <w:r>
          <w:rPr>
            <w:rFonts w:ascii="宋体" w:hAnsi="宋体"/>
            <w:sz w:val="24"/>
            <w:szCs w:val="24"/>
          </w:rPr>
          <w:fldChar w:fldCharType="begin"/>
        </w:r>
        <w:r>
          <w:rPr>
            <w:rFonts w:ascii="宋体" w:hAnsi="宋体"/>
            <w:sz w:val="24"/>
            <w:szCs w:val="24"/>
          </w:rPr>
          <w:instrText xml:space="preserve"> PAGE   \* MERGEFORMAT </w:instrText>
        </w:r>
        <w:r>
          <w:rPr>
            <w:rFonts w:ascii="宋体" w:hAnsi="宋体"/>
            <w:sz w:val="24"/>
            <w:szCs w:val="24"/>
          </w:rPr>
          <w:fldChar w:fldCharType="separate"/>
        </w:r>
        <w:r>
          <w:rPr>
            <w:rFonts w:ascii="宋体" w:hAnsi="宋体"/>
            <w:sz w:val="24"/>
            <w:szCs w:val="24"/>
          </w:rPr>
          <w:t>- 2 -</w:t>
        </w:r>
        <w:r>
          <w:rPr>
            <w:rFonts w:ascii="宋体" w:hAnsi="宋体"/>
            <w:sz w:val="24"/>
            <w:szCs w:val="24"/>
          </w:rPr>
          <w:fldChar w:fldCharType="end"/>
        </w:r>
      </w:p>
    </w:sdtContent>
  </w:sdt>
  <w:p w14:paraId="7746ED3B"/>
  <w:p w14:paraId="7B0B9BBE"/>
  <w:p w14:paraId="2CB1CF7C"/>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B14E8"/>
    <w:multiLevelType w:val="singleLevel"/>
    <w:tmpl w:val="87FB14E8"/>
    <w:lvl w:ilvl="0" w:tentative="0">
      <w:start w:val="1"/>
      <w:numFmt w:val="decimal"/>
      <w:suff w:val="space"/>
      <w:lvlText w:val="%1."/>
      <w:lvlJc w:val="left"/>
    </w:lvl>
  </w:abstractNum>
  <w:abstractNum w:abstractNumId="1">
    <w:nsid w:val="8CB2C1FC"/>
    <w:multiLevelType w:val="singleLevel"/>
    <w:tmpl w:val="8CB2C1FC"/>
    <w:lvl w:ilvl="0" w:tentative="0">
      <w:start w:val="1"/>
      <w:numFmt w:val="chineseCounting"/>
      <w:suff w:val="nothing"/>
      <w:lvlText w:val="（%1）"/>
      <w:lvlJc w:val="left"/>
      <w:rPr>
        <w:rFonts w:hint="eastAsia"/>
        <w:b/>
        <w:bCs/>
      </w:rPr>
    </w:lvl>
  </w:abstractNum>
  <w:abstractNum w:abstractNumId="2">
    <w:nsid w:val="8F880A66"/>
    <w:multiLevelType w:val="singleLevel"/>
    <w:tmpl w:val="8F880A66"/>
    <w:lvl w:ilvl="0" w:tentative="0">
      <w:start w:val="1"/>
      <w:numFmt w:val="decimal"/>
      <w:suff w:val="space"/>
      <w:lvlText w:val="%1."/>
      <w:lvlJc w:val="left"/>
    </w:lvl>
  </w:abstractNum>
  <w:abstractNum w:abstractNumId="3">
    <w:nsid w:val="AC4EF62D"/>
    <w:multiLevelType w:val="singleLevel"/>
    <w:tmpl w:val="AC4EF62D"/>
    <w:lvl w:ilvl="0" w:tentative="0">
      <w:start w:val="1"/>
      <w:numFmt w:val="decimal"/>
      <w:suff w:val="space"/>
      <w:lvlText w:val="%1."/>
      <w:lvlJc w:val="left"/>
    </w:lvl>
  </w:abstractNum>
  <w:abstractNum w:abstractNumId="4">
    <w:nsid w:val="C6D2A5B4"/>
    <w:multiLevelType w:val="singleLevel"/>
    <w:tmpl w:val="C6D2A5B4"/>
    <w:lvl w:ilvl="0" w:tentative="0">
      <w:start w:val="1"/>
      <w:numFmt w:val="chineseCounting"/>
      <w:suff w:val="nothing"/>
      <w:lvlText w:val="（%1）"/>
      <w:lvlJc w:val="left"/>
      <w:rPr>
        <w:rFonts w:hint="eastAsia"/>
        <w:b/>
        <w:bCs/>
      </w:rPr>
    </w:lvl>
  </w:abstractNum>
  <w:abstractNum w:abstractNumId="5">
    <w:nsid w:val="CA8C01F4"/>
    <w:multiLevelType w:val="singleLevel"/>
    <w:tmpl w:val="CA8C01F4"/>
    <w:lvl w:ilvl="0" w:tentative="0">
      <w:start w:val="1"/>
      <w:numFmt w:val="decimal"/>
      <w:suff w:val="space"/>
      <w:lvlText w:val="%1."/>
      <w:lvlJc w:val="left"/>
      <w:rPr>
        <w:rFonts w:hint="default"/>
        <w:sz w:val="32"/>
        <w:szCs w:val="32"/>
      </w:rPr>
    </w:lvl>
  </w:abstractNum>
  <w:abstractNum w:abstractNumId="6">
    <w:nsid w:val="E31926FD"/>
    <w:multiLevelType w:val="singleLevel"/>
    <w:tmpl w:val="E31926FD"/>
    <w:lvl w:ilvl="0" w:tentative="0">
      <w:start w:val="1"/>
      <w:numFmt w:val="decimal"/>
      <w:suff w:val="space"/>
      <w:lvlText w:val="%1."/>
      <w:lvlJc w:val="left"/>
    </w:lvl>
  </w:abstractNum>
  <w:abstractNum w:abstractNumId="7">
    <w:nsid w:val="FC466B4E"/>
    <w:multiLevelType w:val="singleLevel"/>
    <w:tmpl w:val="FC466B4E"/>
    <w:lvl w:ilvl="0" w:tentative="0">
      <w:start w:val="1"/>
      <w:numFmt w:val="chineseCounting"/>
      <w:suff w:val="nothing"/>
      <w:lvlText w:val="%1、"/>
      <w:lvlJc w:val="left"/>
      <w:rPr>
        <w:rFonts w:hint="eastAsia" w:ascii="黑体" w:hAnsi="黑体" w:eastAsia="黑体" w:cs="黑体"/>
        <w:sz w:val="32"/>
        <w:szCs w:val="32"/>
      </w:rPr>
    </w:lvl>
  </w:abstractNum>
  <w:abstractNum w:abstractNumId="8">
    <w:nsid w:val="204DE5C6"/>
    <w:multiLevelType w:val="singleLevel"/>
    <w:tmpl w:val="204DE5C6"/>
    <w:lvl w:ilvl="0" w:tentative="0">
      <w:start w:val="1"/>
      <w:numFmt w:val="chineseCounting"/>
      <w:suff w:val="nothing"/>
      <w:lvlText w:val="（%1）"/>
      <w:lvlJc w:val="left"/>
      <w:rPr>
        <w:rFonts w:hint="eastAsia" w:ascii="仿宋_GB2312" w:hAnsi="仿宋_GB2312" w:eastAsia="仿宋_GB2312" w:cs="仿宋_GB2312"/>
        <w:b/>
        <w:bCs/>
        <w:sz w:val="32"/>
        <w:szCs w:val="32"/>
      </w:rPr>
    </w:lvl>
  </w:abstractNum>
  <w:abstractNum w:abstractNumId="9">
    <w:nsid w:val="3FFBE6B4"/>
    <w:multiLevelType w:val="singleLevel"/>
    <w:tmpl w:val="3FFBE6B4"/>
    <w:lvl w:ilvl="0" w:tentative="0">
      <w:start w:val="1"/>
      <w:numFmt w:val="chineseCounting"/>
      <w:suff w:val="nothing"/>
      <w:lvlText w:val="（%1）"/>
      <w:lvlJc w:val="left"/>
      <w:rPr>
        <w:rFonts w:hint="eastAsia"/>
      </w:rPr>
    </w:lvl>
  </w:abstractNum>
  <w:abstractNum w:abstractNumId="10">
    <w:nsid w:val="7CE4FF77"/>
    <w:multiLevelType w:val="singleLevel"/>
    <w:tmpl w:val="7CE4FF77"/>
    <w:lvl w:ilvl="0" w:tentative="0">
      <w:start w:val="1"/>
      <w:numFmt w:val="decimal"/>
      <w:suff w:val="nothing"/>
      <w:lvlText w:val="（%1）"/>
      <w:lvlJc w:val="left"/>
    </w:lvl>
  </w:abstractNum>
  <w:num w:numId="1">
    <w:abstractNumId w:val="7"/>
  </w:num>
  <w:num w:numId="2">
    <w:abstractNumId w:val="1"/>
  </w:num>
  <w:num w:numId="3">
    <w:abstractNumId w:val="2"/>
  </w:num>
  <w:num w:numId="4">
    <w:abstractNumId w:val="4"/>
  </w:num>
  <w:num w:numId="5">
    <w:abstractNumId w:val="0"/>
  </w:num>
  <w:num w:numId="6">
    <w:abstractNumId w:val="5"/>
  </w:num>
  <w:num w:numId="7">
    <w:abstractNumId w:val="8"/>
  </w:num>
  <w:num w:numId="8">
    <w:abstractNumId w:val="3"/>
  </w:num>
  <w:num w:numId="9">
    <w:abstractNumId w:val="6"/>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E0D"/>
    <w:rsid w:val="00002F9B"/>
    <w:rsid w:val="00004FE1"/>
    <w:rsid w:val="000103C5"/>
    <w:rsid w:val="0001136D"/>
    <w:rsid w:val="000134B0"/>
    <w:rsid w:val="00014F90"/>
    <w:rsid w:val="00015E41"/>
    <w:rsid w:val="000205FA"/>
    <w:rsid w:val="00025241"/>
    <w:rsid w:val="000268F6"/>
    <w:rsid w:val="00027264"/>
    <w:rsid w:val="00030C3B"/>
    <w:rsid w:val="000311AF"/>
    <w:rsid w:val="00032212"/>
    <w:rsid w:val="00033749"/>
    <w:rsid w:val="00033E61"/>
    <w:rsid w:val="00035225"/>
    <w:rsid w:val="0003653E"/>
    <w:rsid w:val="0004611E"/>
    <w:rsid w:val="00046893"/>
    <w:rsid w:val="0004751D"/>
    <w:rsid w:val="000509AA"/>
    <w:rsid w:val="0005557E"/>
    <w:rsid w:val="0005719A"/>
    <w:rsid w:val="00072B9A"/>
    <w:rsid w:val="000735D8"/>
    <w:rsid w:val="00077352"/>
    <w:rsid w:val="000805C0"/>
    <w:rsid w:val="00082BD8"/>
    <w:rsid w:val="000836D4"/>
    <w:rsid w:val="00083E32"/>
    <w:rsid w:val="000879C9"/>
    <w:rsid w:val="000917DC"/>
    <w:rsid w:val="00097E70"/>
    <w:rsid w:val="000A2A1B"/>
    <w:rsid w:val="000A31FC"/>
    <w:rsid w:val="000A380D"/>
    <w:rsid w:val="000A4B7E"/>
    <w:rsid w:val="000A6B64"/>
    <w:rsid w:val="000B1716"/>
    <w:rsid w:val="000B22AD"/>
    <w:rsid w:val="000B39C8"/>
    <w:rsid w:val="000C0A93"/>
    <w:rsid w:val="000C6196"/>
    <w:rsid w:val="000D1105"/>
    <w:rsid w:val="000D262C"/>
    <w:rsid w:val="000D26E5"/>
    <w:rsid w:val="000E09AA"/>
    <w:rsid w:val="000E4141"/>
    <w:rsid w:val="000F38D7"/>
    <w:rsid w:val="000F491E"/>
    <w:rsid w:val="000F6448"/>
    <w:rsid w:val="00100CFA"/>
    <w:rsid w:val="001011CE"/>
    <w:rsid w:val="00102144"/>
    <w:rsid w:val="001041C7"/>
    <w:rsid w:val="00104D65"/>
    <w:rsid w:val="001106AA"/>
    <w:rsid w:val="00114D07"/>
    <w:rsid w:val="001167D0"/>
    <w:rsid w:val="00125919"/>
    <w:rsid w:val="00125F06"/>
    <w:rsid w:val="00126E42"/>
    <w:rsid w:val="00130017"/>
    <w:rsid w:val="00134B71"/>
    <w:rsid w:val="00135A4E"/>
    <w:rsid w:val="00135D30"/>
    <w:rsid w:val="00136F16"/>
    <w:rsid w:val="0014081E"/>
    <w:rsid w:val="001413BC"/>
    <w:rsid w:val="00143588"/>
    <w:rsid w:val="0014609A"/>
    <w:rsid w:val="001534FF"/>
    <w:rsid w:val="00154C4F"/>
    <w:rsid w:val="0015693B"/>
    <w:rsid w:val="00165C00"/>
    <w:rsid w:val="00167BF4"/>
    <w:rsid w:val="0017433A"/>
    <w:rsid w:val="00176222"/>
    <w:rsid w:val="00181239"/>
    <w:rsid w:val="00181307"/>
    <w:rsid w:val="00182420"/>
    <w:rsid w:val="00183429"/>
    <w:rsid w:val="001845F3"/>
    <w:rsid w:val="0019014F"/>
    <w:rsid w:val="00191588"/>
    <w:rsid w:val="001924FA"/>
    <w:rsid w:val="001946DE"/>
    <w:rsid w:val="00194EC7"/>
    <w:rsid w:val="001A2C74"/>
    <w:rsid w:val="001A4415"/>
    <w:rsid w:val="001A5770"/>
    <w:rsid w:val="001B242C"/>
    <w:rsid w:val="001B394D"/>
    <w:rsid w:val="001B47D5"/>
    <w:rsid w:val="001B5627"/>
    <w:rsid w:val="001C29A6"/>
    <w:rsid w:val="001C32FE"/>
    <w:rsid w:val="001D37F5"/>
    <w:rsid w:val="001E2A21"/>
    <w:rsid w:val="001E4C5D"/>
    <w:rsid w:val="001E7ECC"/>
    <w:rsid w:val="001F091E"/>
    <w:rsid w:val="001F14E3"/>
    <w:rsid w:val="001F2610"/>
    <w:rsid w:val="001F7729"/>
    <w:rsid w:val="00200E6C"/>
    <w:rsid w:val="00203363"/>
    <w:rsid w:val="002035C9"/>
    <w:rsid w:val="00203EBD"/>
    <w:rsid w:val="00207904"/>
    <w:rsid w:val="002104C4"/>
    <w:rsid w:val="00211EA1"/>
    <w:rsid w:val="00214270"/>
    <w:rsid w:val="00217ACE"/>
    <w:rsid w:val="00231114"/>
    <w:rsid w:val="002319D8"/>
    <w:rsid w:val="00232F4B"/>
    <w:rsid w:val="00235B46"/>
    <w:rsid w:val="002448DD"/>
    <w:rsid w:val="00250453"/>
    <w:rsid w:val="002539C6"/>
    <w:rsid w:val="002545E5"/>
    <w:rsid w:val="002559D2"/>
    <w:rsid w:val="00265A83"/>
    <w:rsid w:val="00266B2D"/>
    <w:rsid w:val="00266B30"/>
    <w:rsid w:val="00267F0D"/>
    <w:rsid w:val="002761E8"/>
    <w:rsid w:val="00280A2B"/>
    <w:rsid w:val="00280FF6"/>
    <w:rsid w:val="0028207B"/>
    <w:rsid w:val="00282A71"/>
    <w:rsid w:val="00286916"/>
    <w:rsid w:val="0029383B"/>
    <w:rsid w:val="00294C60"/>
    <w:rsid w:val="0029742D"/>
    <w:rsid w:val="002A3DB5"/>
    <w:rsid w:val="002B13C0"/>
    <w:rsid w:val="002B25BB"/>
    <w:rsid w:val="002B525F"/>
    <w:rsid w:val="002B5D0A"/>
    <w:rsid w:val="002B617A"/>
    <w:rsid w:val="002B78F4"/>
    <w:rsid w:val="002C0071"/>
    <w:rsid w:val="002C3F33"/>
    <w:rsid w:val="002E67CC"/>
    <w:rsid w:val="002E7337"/>
    <w:rsid w:val="002F3CF3"/>
    <w:rsid w:val="002F4B4F"/>
    <w:rsid w:val="003003F5"/>
    <w:rsid w:val="00303EF1"/>
    <w:rsid w:val="0031263B"/>
    <w:rsid w:val="00312AF2"/>
    <w:rsid w:val="00320077"/>
    <w:rsid w:val="003209A5"/>
    <w:rsid w:val="00320CFD"/>
    <w:rsid w:val="00321391"/>
    <w:rsid w:val="003229E9"/>
    <w:rsid w:val="00332F9D"/>
    <w:rsid w:val="00332FFF"/>
    <w:rsid w:val="003344DB"/>
    <w:rsid w:val="00337F2D"/>
    <w:rsid w:val="00337FBC"/>
    <w:rsid w:val="003403A5"/>
    <w:rsid w:val="00341C9B"/>
    <w:rsid w:val="00341FEE"/>
    <w:rsid w:val="00345A02"/>
    <w:rsid w:val="003521DA"/>
    <w:rsid w:val="0035782F"/>
    <w:rsid w:val="00365552"/>
    <w:rsid w:val="003678C7"/>
    <w:rsid w:val="00370DE5"/>
    <w:rsid w:val="00371E76"/>
    <w:rsid w:val="00372BCA"/>
    <w:rsid w:val="00373849"/>
    <w:rsid w:val="003833E7"/>
    <w:rsid w:val="003836EA"/>
    <w:rsid w:val="00387369"/>
    <w:rsid w:val="003909FB"/>
    <w:rsid w:val="003A6CF6"/>
    <w:rsid w:val="003A77FE"/>
    <w:rsid w:val="003A79FB"/>
    <w:rsid w:val="003B0E1B"/>
    <w:rsid w:val="003B2A59"/>
    <w:rsid w:val="003B2BEE"/>
    <w:rsid w:val="003B3427"/>
    <w:rsid w:val="003C1071"/>
    <w:rsid w:val="003D29A0"/>
    <w:rsid w:val="003D31D7"/>
    <w:rsid w:val="003D3857"/>
    <w:rsid w:val="003D581D"/>
    <w:rsid w:val="003D72C1"/>
    <w:rsid w:val="003E204D"/>
    <w:rsid w:val="003E4614"/>
    <w:rsid w:val="003E5753"/>
    <w:rsid w:val="003E5C35"/>
    <w:rsid w:val="003E6C1D"/>
    <w:rsid w:val="003F0577"/>
    <w:rsid w:val="003F50D8"/>
    <w:rsid w:val="003F51E5"/>
    <w:rsid w:val="003F594C"/>
    <w:rsid w:val="003F5B2B"/>
    <w:rsid w:val="003F6FF3"/>
    <w:rsid w:val="0040184A"/>
    <w:rsid w:val="00404124"/>
    <w:rsid w:val="0040560C"/>
    <w:rsid w:val="00413481"/>
    <w:rsid w:val="00414080"/>
    <w:rsid w:val="00414373"/>
    <w:rsid w:val="00417C5B"/>
    <w:rsid w:val="00422C20"/>
    <w:rsid w:val="004303D5"/>
    <w:rsid w:val="00432623"/>
    <w:rsid w:val="004336D1"/>
    <w:rsid w:val="0043412E"/>
    <w:rsid w:val="0044215E"/>
    <w:rsid w:val="00445794"/>
    <w:rsid w:val="0045110D"/>
    <w:rsid w:val="00453074"/>
    <w:rsid w:val="00453382"/>
    <w:rsid w:val="00455974"/>
    <w:rsid w:val="00456E32"/>
    <w:rsid w:val="004651E9"/>
    <w:rsid w:val="00467633"/>
    <w:rsid w:val="00467886"/>
    <w:rsid w:val="004732B0"/>
    <w:rsid w:val="004747ED"/>
    <w:rsid w:val="00477549"/>
    <w:rsid w:val="00480775"/>
    <w:rsid w:val="00480F88"/>
    <w:rsid w:val="004824F6"/>
    <w:rsid w:val="00485E90"/>
    <w:rsid w:val="004872CF"/>
    <w:rsid w:val="00487545"/>
    <w:rsid w:val="0049260D"/>
    <w:rsid w:val="0049290B"/>
    <w:rsid w:val="0049413B"/>
    <w:rsid w:val="004959E1"/>
    <w:rsid w:val="00496E1B"/>
    <w:rsid w:val="004A1E07"/>
    <w:rsid w:val="004A3C2A"/>
    <w:rsid w:val="004A4292"/>
    <w:rsid w:val="004A5835"/>
    <w:rsid w:val="004B460F"/>
    <w:rsid w:val="004B5BE2"/>
    <w:rsid w:val="004B6F3F"/>
    <w:rsid w:val="004C47F1"/>
    <w:rsid w:val="004C502D"/>
    <w:rsid w:val="004C5224"/>
    <w:rsid w:val="004C7F30"/>
    <w:rsid w:val="004D3A15"/>
    <w:rsid w:val="004E049E"/>
    <w:rsid w:val="004E7C83"/>
    <w:rsid w:val="004F30B6"/>
    <w:rsid w:val="004F4F61"/>
    <w:rsid w:val="004F5168"/>
    <w:rsid w:val="004F7527"/>
    <w:rsid w:val="00502173"/>
    <w:rsid w:val="0050634D"/>
    <w:rsid w:val="00506AC7"/>
    <w:rsid w:val="005106DF"/>
    <w:rsid w:val="00511AC4"/>
    <w:rsid w:val="00513306"/>
    <w:rsid w:val="005142BC"/>
    <w:rsid w:val="00514894"/>
    <w:rsid w:val="00520DEB"/>
    <w:rsid w:val="00524B39"/>
    <w:rsid w:val="0052767B"/>
    <w:rsid w:val="00531F79"/>
    <w:rsid w:val="005365C2"/>
    <w:rsid w:val="00536AFA"/>
    <w:rsid w:val="00537BAA"/>
    <w:rsid w:val="00537CAD"/>
    <w:rsid w:val="00542B89"/>
    <w:rsid w:val="0054485C"/>
    <w:rsid w:val="00546BDB"/>
    <w:rsid w:val="0055058A"/>
    <w:rsid w:val="005528F4"/>
    <w:rsid w:val="00560701"/>
    <w:rsid w:val="005621C8"/>
    <w:rsid w:val="00562C47"/>
    <w:rsid w:val="00565E0D"/>
    <w:rsid w:val="005711DA"/>
    <w:rsid w:val="00575081"/>
    <w:rsid w:val="00582A7A"/>
    <w:rsid w:val="00585F26"/>
    <w:rsid w:val="005872A1"/>
    <w:rsid w:val="00591415"/>
    <w:rsid w:val="005971E7"/>
    <w:rsid w:val="00597EAF"/>
    <w:rsid w:val="005A12F1"/>
    <w:rsid w:val="005A2451"/>
    <w:rsid w:val="005A4067"/>
    <w:rsid w:val="005A4905"/>
    <w:rsid w:val="005B4FF3"/>
    <w:rsid w:val="005C0601"/>
    <w:rsid w:val="005C070D"/>
    <w:rsid w:val="005C6E1B"/>
    <w:rsid w:val="005D3D9C"/>
    <w:rsid w:val="005E2BDE"/>
    <w:rsid w:val="005E5A01"/>
    <w:rsid w:val="005F39B0"/>
    <w:rsid w:val="005F3A83"/>
    <w:rsid w:val="005F5A20"/>
    <w:rsid w:val="005F77A1"/>
    <w:rsid w:val="00600A9E"/>
    <w:rsid w:val="00602B41"/>
    <w:rsid w:val="00611E85"/>
    <w:rsid w:val="00614C37"/>
    <w:rsid w:val="00615224"/>
    <w:rsid w:val="00615BF0"/>
    <w:rsid w:val="0061675F"/>
    <w:rsid w:val="00617277"/>
    <w:rsid w:val="00617EE5"/>
    <w:rsid w:val="00620F85"/>
    <w:rsid w:val="006224D4"/>
    <w:rsid w:val="0062407E"/>
    <w:rsid w:val="00627606"/>
    <w:rsid w:val="00635EC0"/>
    <w:rsid w:val="0064114F"/>
    <w:rsid w:val="00641382"/>
    <w:rsid w:val="006462B0"/>
    <w:rsid w:val="006517BC"/>
    <w:rsid w:val="00661992"/>
    <w:rsid w:val="00663885"/>
    <w:rsid w:val="006709DC"/>
    <w:rsid w:val="00671B9D"/>
    <w:rsid w:val="00673F66"/>
    <w:rsid w:val="00674350"/>
    <w:rsid w:val="00680BE0"/>
    <w:rsid w:val="00682959"/>
    <w:rsid w:val="006875E1"/>
    <w:rsid w:val="00691415"/>
    <w:rsid w:val="00693642"/>
    <w:rsid w:val="006957D3"/>
    <w:rsid w:val="006960B7"/>
    <w:rsid w:val="006A2F04"/>
    <w:rsid w:val="006A2FB8"/>
    <w:rsid w:val="006A6A7C"/>
    <w:rsid w:val="006B11B3"/>
    <w:rsid w:val="006B1DA0"/>
    <w:rsid w:val="006B537E"/>
    <w:rsid w:val="006B746B"/>
    <w:rsid w:val="006B748E"/>
    <w:rsid w:val="006B7D58"/>
    <w:rsid w:val="006C13AD"/>
    <w:rsid w:val="006C64FA"/>
    <w:rsid w:val="006D6904"/>
    <w:rsid w:val="006D6D22"/>
    <w:rsid w:val="006E12FA"/>
    <w:rsid w:val="006E2B2F"/>
    <w:rsid w:val="006E50A0"/>
    <w:rsid w:val="006E5E92"/>
    <w:rsid w:val="006F01BA"/>
    <w:rsid w:val="007034A4"/>
    <w:rsid w:val="00705E8A"/>
    <w:rsid w:val="00707913"/>
    <w:rsid w:val="00707927"/>
    <w:rsid w:val="00712498"/>
    <w:rsid w:val="00712F7A"/>
    <w:rsid w:val="00716DDF"/>
    <w:rsid w:val="00721DAC"/>
    <w:rsid w:val="00724693"/>
    <w:rsid w:val="007247F0"/>
    <w:rsid w:val="00724A1A"/>
    <w:rsid w:val="00726385"/>
    <w:rsid w:val="00730B48"/>
    <w:rsid w:val="00735225"/>
    <w:rsid w:val="00737F0F"/>
    <w:rsid w:val="00741AEA"/>
    <w:rsid w:val="0074480A"/>
    <w:rsid w:val="0074602A"/>
    <w:rsid w:val="007461FC"/>
    <w:rsid w:val="007466F5"/>
    <w:rsid w:val="00747FF7"/>
    <w:rsid w:val="00752C30"/>
    <w:rsid w:val="00752E65"/>
    <w:rsid w:val="00756514"/>
    <w:rsid w:val="00756C85"/>
    <w:rsid w:val="00763D81"/>
    <w:rsid w:val="00766064"/>
    <w:rsid w:val="00766294"/>
    <w:rsid w:val="00766CFD"/>
    <w:rsid w:val="00767B52"/>
    <w:rsid w:val="00767BF0"/>
    <w:rsid w:val="00770453"/>
    <w:rsid w:val="00772B4B"/>
    <w:rsid w:val="00772DE3"/>
    <w:rsid w:val="00772FC6"/>
    <w:rsid w:val="00774405"/>
    <w:rsid w:val="007757B4"/>
    <w:rsid w:val="00780048"/>
    <w:rsid w:val="007808D7"/>
    <w:rsid w:val="007848E0"/>
    <w:rsid w:val="00785FF9"/>
    <w:rsid w:val="00795996"/>
    <w:rsid w:val="00797AB9"/>
    <w:rsid w:val="007A1422"/>
    <w:rsid w:val="007A1DD4"/>
    <w:rsid w:val="007A32C3"/>
    <w:rsid w:val="007A39C8"/>
    <w:rsid w:val="007A6A94"/>
    <w:rsid w:val="007B238C"/>
    <w:rsid w:val="007B2BD3"/>
    <w:rsid w:val="007C1BA8"/>
    <w:rsid w:val="007C3E2A"/>
    <w:rsid w:val="007C57C4"/>
    <w:rsid w:val="007C79F0"/>
    <w:rsid w:val="007D42DD"/>
    <w:rsid w:val="007D4434"/>
    <w:rsid w:val="007D71B2"/>
    <w:rsid w:val="007D7EBB"/>
    <w:rsid w:val="007E10F6"/>
    <w:rsid w:val="007E255E"/>
    <w:rsid w:val="007E51FC"/>
    <w:rsid w:val="007E7C74"/>
    <w:rsid w:val="007E7F19"/>
    <w:rsid w:val="007F1DFA"/>
    <w:rsid w:val="007F4019"/>
    <w:rsid w:val="007F7A4A"/>
    <w:rsid w:val="008054C9"/>
    <w:rsid w:val="008104A5"/>
    <w:rsid w:val="00814833"/>
    <w:rsid w:val="00815C1C"/>
    <w:rsid w:val="00822EA1"/>
    <w:rsid w:val="00824801"/>
    <w:rsid w:val="008278F9"/>
    <w:rsid w:val="00832AE4"/>
    <w:rsid w:val="008334BE"/>
    <w:rsid w:val="008347BD"/>
    <w:rsid w:val="00835B9F"/>
    <w:rsid w:val="00837398"/>
    <w:rsid w:val="008405EC"/>
    <w:rsid w:val="0084240A"/>
    <w:rsid w:val="008432F5"/>
    <w:rsid w:val="0084688A"/>
    <w:rsid w:val="00851CE9"/>
    <w:rsid w:val="00854362"/>
    <w:rsid w:val="00863379"/>
    <w:rsid w:val="008659DE"/>
    <w:rsid w:val="00872299"/>
    <w:rsid w:val="00880DE3"/>
    <w:rsid w:val="00881CDB"/>
    <w:rsid w:val="00882001"/>
    <w:rsid w:val="0088451F"/>
    <w:rsid w:val="00885124"/>
    <w:rsid w:val="008936A8"/>
    <w:rsid w:val="00893D3D"/>
    <w:rsid w:val="008962F8"/>
    <w:rsid w:val="008A1899"/>
    <w:rsid w:val="008B320D"/>
    <w:rsid w:val="008B39ED"/>
    <w:rsid w:val="008B5C78"/>
    <w:rsid w:val="008C2ABD"/>
    <w:rsid w:val="008C6C97"/>
    <w:rsid w:val="008C77D7"/>
    <w:rsid w:val="008D3037"/>
    <w:rsid w:val="008D76C0"/>
    <w:rsid w:val="008E0377"/>
    <w:rsid w:val="008E27DE"/>
    <w:rsid w:val="008E2B62"/>
    <w:rsid w:val="008E4754"/>
    <w:rsid w:val="008E5FF8"/>
    <w:rsid w:val="008F0F06"/>
    <w:rsid w:val="008F3A4B"/>
    <w:rsid w:val="008F3E69"/>
    <w:rsid w:val="008F618B"/>
    <w:rsid w:val="0090799E"/>
    <w:rsid w:val="0091211E"/>
    <w:rsid w:val="009127C3"/>
    <w:rsid w:val="00914521"/>
    <w:rsid w:val="00917066"/>
    <w:rsid w:val="009205B6"/>
    <w:rsid w:val="0092724E"/>
    <w:rsid w:val="00933B7B"/>
    <w:rsid w:val="009417D7"/>
    <w:rsid w:val="00944D86"/>
    <w:rsid w:val="0094546E"/>
    <w:rsid w:val="009475A7"/>
    <w:rsid w:val="009558F2"/>
    <w:rsid w:val="009617F0"/>
    <w:rsid w:val="009624D2"/>
    <w:rsid w:val="00963217"/>
    <w:rsid w:val="009636E2"/>
    <w:rsid w:val="0096434D"/>
    <w:rsid w:val="00967BB9"/>
    <w:rsid w:val="00971264"/>
    <w:rsid w:val="00971498"/>
    <w:rsid w:val="00972928"/>
    <w:rsid w:val="0098168F"/>
    <w:rsid w:val="009838F6"/>
    <w:rsid w:val="0098625F"/>
    <w:rsid w:val="0099306D"/>
    <w:rsid w:val="00994CE7"/>
    <w:rsid w:val="00996546"/>
    <w:rsid w:val="009A136F"/>
    <w:rsid w:val="009A2898"/>
    <w:rsid w:val="009A30B0"/>
    <w:rsid w:val="009A6E5F"/>
    <w:rsid w:val="009A719F"/>
    <w:rsid w:val="009B1D8D"/>
    <w:rsid w:val="009B1F5F"/>
    <w:rsid w:val="009B4B67"/>
    <w:rsid w:val="009B6A2C"/>
    <w:rsid w:val="009B6E45"/>
    <w:rsid w:val="009C0317"/>
    <w:rsid w:val="009C13D9"/>
    <w:rsid w:val="009C6A5F"/>
    <w:rsid w:val="009D0749"/>
    <w:rsid w:val="009D0E2A"/>
    <w:rsid w:val="009D3A79"/>
    <w:rsid w:val="009D47E2"/>
    <w:rsid w:val="009D79EF"/>
    <w:rsid w:val="009E119A"/>
    <w:rsid w:val="009E1B8D"/>
    <w:rsid w:val="009E36F0"/>
    <w:rsid w:val="009E5E25"/>
    <w:rsid w:val="009F256E"/>
    <w:rsid w:val="009F593D"/>
    <w:rsid w:val="00A001EB"/>
    <w:rsid w:val="00A0184C"/>
    <w:rsid w:val="00A0393E"/>
    <w:rsid w:val="00A060F7"/>
    <w:rsid w:val="00A06451"/>
    <w:rsid w:val="00A06D3F"/>
    <w:rsid w:val="00A12BF9"/>
    <w:rsid w:val="00A147AF"/>
    <w:rsid w:val="00A15397"/>
    <w:rsid w:val="00A22536"/>
    <w:rsid w:val="00A22C0D"/>
    <w:rsid w:val="00A25D07"/>
    <w:rsid w:val="00A26AB2"/>
    <w:rsid w:val="00A27C63"/>
    <w:rsid w:val="00A32190"/>
    <w:rsid w:val="00A373F3"/>
    <w:rsid w:val="00A40532"/>
    <w:rsid w:val="00A43F89"/>
    <w:rsid w:val="00A56789"/>
    <w:rsid w:val="00A56B2A"/>
    <w:rsid w:val="00A629F0"/>
    <w:rsid w:val="00A62EFD"/>
    <w:rsid w:val="00A63DF5"/>
    <w:rsid w:val="00A64897"/>
    <w:rsid w:val="00A64D1B"/>
    <w:rsid w:val="00A657BE"/>
    <w:rsid w:val="00A673DE"/>
    <w:rsid w:val="00A67FB0"/>
    <w:rsid w:val="00A7184A"/>
    <w:rsid w:val="00A73619"/>
    <w:rsid w:val="00A73C83"/>
    <w:rsid w:val="00A76439"/>
    <w:rsid w:val="00A77700"/>
    <w:rsid w:val="00A86DFB"/>
    <w:rsid w:val="00A90C70"/>
    <w:rsid w:val="00A94703"/>
    <w:rsid w:val="00A95479"/>
    <w:rsid w:val="00A963E0"/>
    <w:rsid w:val="00AA37AD"/>
    <w:rsid w:val="00AA3F41"/>
    <w:rsid w:val="00AA424D"/>
    <w:rsid w:val="00AB3C7C"/>
    <w:rsid w:val="00AB553C"/>
    <w:rsid w:val="00AB5CC8"/>
    <w:rsid w:val="00AC0715"/>
    <w:rsid w:val="00AC472D"/>
    <w:rsid w:val="00AC4AA4"/>
    <w:rsid w:val="00AC6FED"/>
    <w:rsid w:val="00AD35AF"/>
    <w:rsid w:val="00AD4D69"/>
    <w:rsid w:val="00AD78E3"/>
    <w:rsid w:val="00AD7A6B"/>
    <w:rsid w:val="00AE190D"/>
    <w:rsid w:val="00AE5567"/>
    <w:rsid w:val="00AE6BED"/>
    <w:rsid w:val="00AF7B7A"/>
    <w:rsid w:val="00B030C3"/>
    <w:rsid w:val="00B0455A"/>
    <w:rsid w:val="00B049CC"/>
    <w:rsid w:val="00B06662"/>
    <w:rsid w:val="00B16E4F"/>
    <w:rsid w:val="00B238F9"/>
    <w:rsid w:val="00B24314"/>
    <w:rsid w:val="00B36005"/>
    <w:rsid w:val="00B43924"/>
    <w:rsid w:val="00B455F6"/>
    <w:rsid w:val="00B51B7B"/>
    <w:rsid w:val="00B5228E"/>
    <w:rsid w:val="00B527B8"/>
    <w:rsid w:val="00B542F7"/>
    <w:rsid w:val="00B70719"/>
    <w:rsid w:val="00B70BB4"/>
    <w:rsid w:val="00B71F56"/>
    <w:rsid w:val="00B72E65"/>
    <w:rsid w:val="00B7516A"/>
    <w:rsid w:val="00B80BD8"/>
    <w:rsid w:val="00B81185"/>
    <w:rsid w:val="00B874F7"/>
    <w:rsid w:val="00BA01CB"/>
    <w:rsid w:val="00BA17A5"/>
    <w:rsid w:val="00BA793E"/>
    <w:rsid w:val="00BB2A35"/>
    <w:rsid w:val="00BB6248"/>
    <w:rsid w:val="00BC3A0E"/>
    <w:rsid w:val="00BC3D57"/>
    <w:rsid w:val="00BC4B35"/>
    <w:rsid w:val="00BC5F99"/>
    <w:rsid w:val="00BC7B87"/>
    <w:rsid w:val="00BD15AC"/>
    <w:rsid w:val="00BD77DD"/>
    <w:rsid w:val="00BE17A7"/>
    <w:rsid w:val="00BE1890"/>
    <w:rsid w:val="00BF0682"/>
    <w:rsid w:val="00BF2747"/>
    <w:rsid w:val="00BF3F0C"/>
    <w:rsid w:val="00C05CCA"/>
    <w:rsid w:val="00C07F95"/>
    <w:rsid w:val="00C132D8"/>
    <w:rsid w:val="00C13A1C"/>
    <w:rsid w:val="00C16752"/>
    <w:rsid w:val="00C24C31"/>
    <w:rsid w:val="00C2581E"/>
    <w:rsid w:val="00C30D5F"/>
    <w:rsid w:val="00C3119D"/>
    <w:rsid w:val="00C33CC5"/>
    <w:rsid w:val="00C3434F"/>
    <w:rsid w:val="00C406FE"/>
    <w:rsid w:val="00C40EB6"/>
    <w:rsid w:val="00C42D17"/>
    <w:rsid w:val="00C47137"/>
    <w:rsid w:val="00C4715E"/>
    <w:rsid w:val="00C47DD6"/>
    <w:rsid w:val="00C60056"/>
    <w:rsid w:val="00C674C8"/>
    <w:rsid w:val="00C677C5"/>
    <w:rsid w:val="00C81985"/>
    <w:rsid w:val="00C91833"/>
    <w:rsid w:val="00C92445"/>
    <w:rsid w:val="00CA125B"/>
    <w:rsid w:val="00CA3F72"/>
    <w:rsid w:val="00CA639D"/>
    <w:rsid w:val="00CA6ED3"/>
    <w:rsid w:val="00CB2F16"/>
    <w:rsid w:val="00CB479D"/>
    <w:rsid w:val="00CB539D"/>
    <w:rsid w:val="00CC0DDC"/>
    <w:rsid w:val="00CC2DFE"/>
    <w:rsid w:val="00CC507C"/>
    <w:rsid w:val="00CD0894"/>
    <w:rsid w:val="00CD4F2D"/>
    <w:rsid w:val="00CD5A4F"/>
    <w:rsid w:val="00CE17DF"/>
    <w:rsid w:val="00CE2AC1"/>
    <w:rsid w:val="00CE508D"/>
    <w:rsid w:val="00CE652E"/>
    <w:rsid w:val="00CF0402"/>
    <w:rsid w:val="00CF3ADB"/>
    <w:rsid w:val="00CF4ABF"/>
    <w:rsid w:val="00D038A1"/>
    <w:rsid w:val="00D07760"/>
    <w:rsid w:val="00D11BAB"/>
    <w:rsid w:val="00D13BB0"/>
    <w:rsid w:val="00D17BDC"/>
    <w:rsid w:val="00D22DD1"/>
    <w:rsid w:val="00D230F0"/>
    <w:rsid w:val="00D234F7"/>
    <w:rsid w:val="00D23BDC"/>
    <w:rsid w:val="00D27C51"/>
    <w:rsid w:val="00D3194D"/>
    <w:rsid w:val="00D319D1"/>
    <w:rsid w:val="00D31E41"/>
    <w:rsid w:val="00D34F60"/>
    <w:rsid w:val="00D35DA1"/>
    <w:rsid w:val="00D417FB"/>
    <w:rsid w:val="00D41FF9"/>
    <w:rsid w:val="00D42B0C"/>
    <w:rsid w:val="00D44A75"/>
    <w:rsid w:val="00D459DB"/>
    <w:rsid w:val="00D51D42"/>
    <w:rsid w:val="00D52251"/>
    <w:rsid w:val="00D559F6"/>
    <w:rsid w:val="00D57679"/>
    <w:rsid w:val="00D64C06"/>
    <w:rsid w:val="00D672EC"/>
    <w:rsid w:val="00D74B25"/>
    <w:rsid w:val="00D754BB"/>
    <w:rsid w:val="00D7586F"/>
    <w:rsid w:val="00D81477"/>
    <w:rsid w:val="00D81E3E"/>
    <w:rsid w:val="00D92333"/>
    <w:rsid w:val="00D9380C"/>
    <w:rsid w:val="00DA01C0"/>
    <w:rsid w:val="00DA3633"/>
    <w:rsid w:val="00DA3A6C"/>
    <w:rsid w:val="00DA3F0B"/>
    <w:rsid w:val="00DA4BE9"/>
    <w:rsid w:val="00DA6C03"/>
    <w:rsid w:val="00DA6EFB"/>
    <w:rsid w:val="00DB097E"/>
    <w:rsid w:val="00DB1F42"/>
    <w:rsid w:val="00DB1F72"/>
    <w:rsid w:val="00DC3DDB"/>
    <w:rsid w:val="00DD0D67"/>
    <w:rsid w:val="00DD4D4D"/>
    <w:rsid w:val="00DE2BBE"/>
    <w:rsid w:val="00DE5696"/>
    <w:rsid w:val="00DE5D87"/>
    <w:rsid w:val="00DE757C"/>
    <w:rsid w:val="00DE7B85"/>
    <w:rsid w:val="00E01C5B"/>
    <w:rsid w:val="00E05BF6"/>
    <w:rsid w:val="00E06B5D"/>
    <w:rsid w:val="00E10452"/>
    <w:rsid w:val="00E160DF"/>
    <w:rsid w:val="00E16A01"/>
    <w:rsid w:val="00E20B9D"/>
    <w:rsid w:val="00E30DAB"/>
    <w:rsid w:val="00E3345F"/>
    <w:rsid w:val="00E33952"/>
    <w:rsid w:val="00E424D8"/>
    <w:rsid w:val="00E43EA5"/>
    <w:rsid w:val="00E51E2C"/>
    <w:rsid w:val="00E52C2C"/>
    <w:rsid w:val="00E53169"/>
    <w:rsid w:val="00E539D4"/>
    <w:rsid w:val="00E545EB"/>
    <w:rsid w:val="00E56B9E"/>
    <w:rsid w:val="00E63D5C"/>
    <w:rsid w:val="00E65A97"/>
    <w:rsid w:val="00E661DE"/>
    <w:rsid w:val="00E67F34"/>
    <w:rsid w:val="00E70EC8"/>
    <w:rsid w:val="00E73321"/>
    <w:rsid w:val="00E7432F"/>
    <w:rsid w:val="00E75E0D"/>
    <w:rsid w:val="00E765F3"/>
    <w:rsid w:val="00E80D23"/>
    <w:rsid w:val="00E83F03"/>
    <w:rsid w:val="00E90AF0"/>
    <w:rsid w:val="00E90C6E"/>
    <w:rsid w:val="00E921F2"/>
    <w:rsid w:val="00E941B5"/>
    <w:rsid w:val="00E9550B"/>
    <w:rsid w:val="00E97524"/>
    <w:rsid w:val="00EA0907"/>
    <w:rsid w:val="00EA43BE"/>
    <w:rsid w:val="00EA4E67"/>
    <w:rsid w:val="00EA715A"/>
    <w:rsid w:val="00EC3D4C"/>
    <w:rsid w:val="00EC5D67"/>
    <w:rsid w:val="00ED050F"/>
    <w:rsid w:val="00ED0CA9"/>
    <w:rsid w:val="00EE1343"/>
    <w:rsid w:val="00EE4EF7"/>
    <w:rsid w:val="00EF080B"/>
    <w:rsid w:val="00EF1BC9"/>
    <w:rsid w:val="00EF551B"/>
    <w:rsid w:val="00F0622B"/>
    <w:rsid w:val="00F06E37"/>
    <w:rsid w:val="00F11780"/>
    <w:rsid w:val="00F2102A"/>
    <w:rsid w:val="00F22A9B"/>
    <w:rsid w:val="00F25CBF"/>
    <w:rsid w:val="00F30135"/>
    <w:rsid w:val="00F31EFF"/>
    <w:rsid w:val="00F331E7"/>
    <w:rsid w:val="00F3542B"/>
    <w:rsid w:val="00F36D25"/>
    <w:rsid w:val="00F37359"/>
    <w:rsid w:val="00F41B96"/>
    <w:rsid w:val="00F42145"/>
    <w:rsid w:val="00F452DF"/>
    <w:rsid w:val="00F537C1"/>
    <w:rsid w:val="00F54110"/>
    <w:rsid w:val="00F54600"/>
    <w:rsid w:val="00F60A4B"/>
    <w:rsid w:val="00F6324C"/>
    <w:rsid w:val="00F70D3A"/>
    <w:rsid w:val="00F76F1C"/>
    <w:rsid w:val="00F8189B"/>
    <w:rsid w:val="00F831C8"/>
    <w:rsid w:val="00F84D03"/>
    <w:rsid w:val="00F85F2B"/>
    <w:rsid w:val="00F86DE3"/>
    <w:rsid w:val="00F90C96"/>
    <w:rsid w:val="00FA4169"/>
    <w:rsid w:val="00FA4389"/>
    <w:rsid w:val="00FA52A2"/>
    <w:rsid w:val="00FA7092"/>
    <w:rsid w:val="00FA7E4B"/>
    <w:rsid w:val="00FB133A"/>
    <w:rsid w:val="00FB64B8"/>
    <w:rsid w:val="00FC3621"/>
    <w:rsid w:val="00FD315D"/>
    <w:rsid w:val="00FD449D"/>
    <w:rsid w:val="00FD6C13"/>
    <w:rsid w:val="00FE50E3"/>
    <w:rsid w:val="00FE5396"/>
    <w:rsid w:val="00FF0069"/>
    <w:rsid w:val="00FF0B61"/>
    <w:rsid w:val="00FF505C"/>
    <w:rsid w:val="02B1002C"/>
    <w:rsid w:val="02D516BE"/>
    <w:rsid w:val="039C52B6"/>
    <w:rsid w:val="04CC6077"/>
    <w:rsid w:val="05510BE7"/>
    <w:rsid w:val="064C75F3"/>
    <w:rsid w:val="06575399"/>
    <w:rsid w:val="06834147"/>
    <w:rsid w:val="069B7C33"/>
    <w:rsid w:val="09AC7FD2"/>
    <w:rsid w:val="0AEE08D7"/>
    <w:rsid w:val="0CD32F2F"/>
    <w:rsid w:val="0DE13910"/>
    <w:rsid w:val="0E240E2C"/>
    <w:rsid w:val="0EFE1E30"/>
    <w:rsid w:val="0FB57FB7"/>
    <w:rsid w:val="10E8616A"/>
    <w:rsid w:val="11190E46"/>
    <w:rsid w:val="14431C69"/>
    <w:rsid w:val="16614423"/>
    <w:rsid w:val="18675A62"/>
    <w:rsid w:val="1B4668DD"/>
    <w:rsid w:val="1BC85CF3"/>
    <w:rsid w:val="1C197E29"/>
    <w:rsid w:val="1CF01837"/>
    <w:rsid w:val="1D5E62C6"/>
    <w:rsid w:val="1EF9CF2F"/>
    <w:rsid w:val="1FDA2D68"/>
    <w:rsid w:val="208C3BE9"/>
    <w:rsid w:val="22384334"/>
    <w:rsid w:val="26057982"/>
    <w:rsid w:val="26B66F56"/>
    <w:rsid w:val="276478BC"/>
    <w:rsid w:val="27C9064C"/>
    <w:rsid w:val="28985B45"/>
    <w:rsid w:val="28E415FE"/>
    <w:rsid w:val="2A6F3AD2"/>
    <w:rsid w:val="2AA94D90"/>
    <w:rsid w:val="2B5244B4"/>
    <w:rsid w:val="2B907FD3"/>
    <w:rsid w:val="2BE11100"/>
    <w:rsid w:val="2C257AFB"/>
    <w:rsid w:val="2C43758B"/>
    <w:rsid w:val="2C6C2D9B"/>
    <w:rsid w:val="2EDD4558"/>
    <w:rsid w:val="2F0E4B96"/>
    <w:rsid w:val="2F883E50"/>
    <w:rsid w:val="313905F0"/>
    <w:rsid w:val="31702904"/>
    <w:rsid w:val="32CA0E54"/>
    <w:rsid w:val="36DE8180"/>
    <w:rsid w:val="377A4EA8"/>
    <w:rsid w:val="37BF77CD"/>
    <w:rsid w:val="397D49CC"/>
    <w:rsid w:val="399F5439"/>
    <w:rsid w:val="3A3FA965"/>
    <w:rsid w:val="3B680ACD"/>
    <w:rsid w:val="3BC96ABC"/>
    <w:rsid w:val="3BE680F0"/>
    <w:rsid w:val="3E5B28EE"/>
    <w:rsid w:val="3E791DE7"/>
    <w:rsid w:val="415504CE"/>
    <w:rsid w:val="41BA52EB"/>
    <w:rsid w:val="4339522A"/>
    <w:rsid w:val="4429047F"/>
    <w:rsid w:val="44B47C6C"/>
    <w:rsid w:val="462F4BA1"/>
    <w:rsid w:val="47B849FD"/>
    <w:rsid w:val="49FA0B63"/>
    <w:rsid w:val="4A320FEB"/>
    <w:rsid w:val="4B1F08EE"/>
    <w:rsid w:val="4BC9197F"/>
    <w:rsid w:val="4D102B55"/>
    <w:rsid w:val="4DB2474B"/>
    <w:rsid w:val="4EFF349C"/>
    <w:rsid w:val="50102C97"/>
    <w:rsid w:val="51755912"/>
    <w:rsid w:val="517B291F"/>
    <w:rsid w:val="51E464C3"/>
    <w:rsid w:val="5212481A"/>
    <w:rsid w:val="559639D8"/>
    <w:rsid w:val="56E7DBAD"/>
    <w:rsid w:val="591143A3"/>
    <w:rsid w:val="59E51647"/>
    <w:rsid w:val="5B7C368B"/>
    <w:rsid w:val="5BAC6181"/>
    <w:rsid w:val="5BDDA92B"/>
    <w:rsid w:val="5DB669A1"/>
    <w:rsid w:val="5DDD135D"/>
    <w:rsid w:val="5DDD9A7C"/>
    <w:rsid w:val="5EF97E08"/>
    <w:rsid w:val="5F724B4A"/>
    <w:rsid w:val="5FBD4A36"/>
    <w:rsid w:val="5FBF8C35"/>
    <w:rsid w:val="5FDA2CFC"/>
    <w:rsid w:val="60192EA5"/>
    <w:rsid w:val="603E496C"/>
    <w:rsid w:val="60B61338"/>
    <w:rsid w:val="610539B6"/>
    <w:rsid w:val="64F6708B"/>
    <w:rsid w:val="6A0A6C2C"/>
    <w:rsid w:val="6CB579C7"/>
    <w:rsid w:val="6D7753A8"/>
    <w:rsid w:val="6DA5C2E4"/>
    <w:rsid w:val="73DA2F5F"/>
    <w:rsid w:val="74D7297A"/>
    <w:rsid w:val="753543BD"/>
    <w:rsid w:val="767EF3F9"/>
    <w:rsid w:val="76C60195"/>
    <w:rsid w:val="777F18CD"/>
    <w:rsid w:val="77DFBBEF"/>
    <w:rsid w:val="78145B7A"/>
    <w:rsid w:val="78A606A5"/>
    <w:rsid w:val="78C07143"/>
    <w:rsid w:val="78C86807"/>
    <w:rsid w:val="79DF750A"/>
    <w:rsid w:val="7A443D48"/>
    <w:rsid w:val="7ADE1466"/>
    <w:rsid w:val="7AE4B4CA"/>
    <w:rsid w:val="7BBEA0F5"/>
    <w:rsid w:val="7C6216A3"/>
    <w:rsid w:val="7D6F937A"/>
    <w:rsid w:val="7DFEEF71"/>
    <w:rsid w:val="7E464B21"/>
    <w:rsid w:val="7EDB1185"/>
    <w:rsid w:val="7EED6A8D"/>
    <w:rsid w:val="7F9FE45C"/>
    <w:rsid w:val="7FBB07DD"/>
    <w:rsid w:val="7FBB5D6E"/>
    <w:rsid w:val="7FC8211E"/>
    <w:rsid w:val="7FD1AD7B"/>
    <w:rsid w:val="7FFE0E70"/>
    <w:rsid w:val="7FFFD4F8"/>
    <w:rsid w:val="9E7BCC48"/>
    <w:rsid w:val="9FFD416E"/>
    <w:rsid w:val="9FFE010F"/>
    <w:rsid w:val="A1B2B988"/>
    <w:rsid w:val="AEBFAC99"/>
    <w:rsid w:val="BBFDA020"/>
    <w:rsid w:val="BF7FD7B9"/>
    <w:rsid w:val="BFBE451E"/>
    <w:rsid w:val="BFEDF36A"/>
    <w:rsid w:val="BFEE200E"/>
    <w:rsid w:val="BFF790C1"/>
    <w:rsid w:val="CB4777D7"/>
    <w:rsid w:val="CFF79ED0"/>
    <w:rsid w:val="D6D9110D"/>
    <w:rsid w:val="DFAA4559"/>
    <w:rsid w:val="DFF70F0B"/>
    <w:rsid w:val="E76CA99D"/>
    <w:rsid w:val="EB681F41"/>
    <w:rsid w:val="ED9F497C"/>
    <w:rsid w:val="EDCFB524"/>
    <w:rsid w:val="EDEFFD25"/>
    <w:rsid w:val="EF8B7AC3"/>
    <w:rsid w:val="EF9DACFC"/>
    <w:rsid w:val="EFBDCE7A"/>
    <w:rsid w:val="EFEE698E"/>
    <w:rsid w:val="F5D33793"/>
    <w:rsid w:val="F5EA397B"/>
    <w:rsid w:val="F5FF5A0B"/>
    <w:rsid w:val="F727C04C"/>
    <w:rsid w:val="F7BDB0A3"/>
    <w:rsid w:val="F7FF1619"/>
    <w:rsid w:val="FABFB597"/>
    <w:rsid w:val="FAFFC152"/>
    <w:rsid w:val="FB3C54C3"/>
    <w:rsid w:val="FB750711"/>
    <w:rsid w:val="FC7F5F0B"/>
    <w:rsid w:val="FDF73E82"/>
    <w:rsid w:val="FE6F12F8"/>
    <w:rsid w:val="FEFFE1DF"/>
    <w:rsid w:val="FF47CB67"/>
    <w:rsid w:val="FF7DBC1C"/>
    <w:rsid w:val="FFB667FB"/>
    <w:rsid w:val="FFE7D0F6"/>
    <w:rsid w:val="FFEF6ECA"/>
    <w:rsid w:val="FFF68FE3"/>
    <w:rsid w:val="FFF84CF6"/>
    <w:rsid w:val="FFFE71AC"/>
    <w:rsid w:val="FFFF2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4"/>
    <w:qFormat/>
    <w:uiPriority w:val="9"/>
    <w:pPr>
      <w:autoSpaceDE w:val="0"/>
      <w:autoSpaceDN w:val="0"/>
      <w:spacing w:before="31"/>
      <w:ind w:left="737"/>
      <w:jc w:val="left"/>
      <w:outlineLvl w:val="0"/>
    </w:pPr>
    <w:rPr>
      <w:rFonts w:ascii="楷体" w:hAnsi="楷体" w:eastAsia="楷体" w:cs="楷体"/>
      <w:b/>
      <w:bCs/>
      <w:kern w:val="0"/>
      <w:sz w:val="32"/>
      <w:szCs w:val="32"/>
      <w:lang w:eastAsia="en-US"/>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0"/>
    <w:pPr>
      <w:ind w:firstLine="420"/>
    </w:pPr>
  </w:style>
  <w:style w:type="paragraph" w:styleId="4">
    <w:name w:val="annotation text"/>
    <w:basedOn w:val="1"/>
    <w:link w:val="19"/>
    <w:unhideWhenUsed/>
    <w:qFormat/>
    <w:uiPriority w:val="99"/>
    <w:pPr>
      <w:jc w:val="left"/>
    </w:pPr>
  </w:style>
  <w:style w:type="paragraph" w:styleId="5">
    <w:name w:val="Body Text"/>
    <w:basedOn w:val="1"/>
    <w:link w:val="23"/>
    <w:qFormat/>
    <w:uiPriority w:val="1"/>
    <w:pPr>
      <w:autoSpaceDE w:val="0"/>
      <w:autoSpaceDN w:val="0"/>
      <w:spacing w:before="140"/>
      <w:ind w:left="111"/>
      <w:jc w:val="left"/>
    </w:pPr>
    <w:rPr>
      <w:rFonts w:ascii="仿宋_GB2312" w:hAnsi="仿宋_GB2312" w:eastAsia="仿宋_GB2312" w:cs="仿宋_GB2312"/>
      <w:kern w:val="0"/>
      <w:sz w:val="32"/>
      <w:szCs w:val="32"/>
      <w:lang w:eastAsia="en-US"/>
    </w:rPr>
  </w:style>
  <w:style w:type="paragraph" w:styleId="6">
    <w:name w:val="Balloon Text"/>
    <w:basedOn w:val="1"/>
    <w:link w:val="21"/>
    <w:semiHidden/>
    <w:unhideWhenUsed/>
    <w:qFormat/>
    <w:uiPriority w:val="99"/>
    <w:rPr>
      <w:rFonts w:ascii="宋体"/>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styleId="10">
    <w:name w:val="annotation subject"/>
    <w:basedOn w:val="4"/>
    <w:next w:val="4"/>
    <w:link w:val="20"/>
    <w:semiHidden/>
    <w:unhideWhenUsed/>
    <w:qFormat/>
    <w:uiPriority w:val="99"/>
    <w:rPr>
      <w:b/>
      <w:bCs/>
    </w:rPr>
  </w:style>
  <w:style w:type="character" w:styleId="13">
    <w:name w:val="annotation reference"/>
    <w:basedOn w:val="12"/>
    <w:semiHidden/>
    <w:unhideWhenUsed/>
    <w:qFormat/>
    <w:uiPriority w:val="99"/>
    <w:rPr>
      <w:sz w:val="21"/>
      <w:szCs w:val="21"/>
    </w:rPr>
  </w:style>
  <w:style w:type="paragraph" w:customStyle="1" w:styleId="14">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5">
    <w:name w:val="彩色列表 - 着色 11"/>
    <w:basedOn w:val="1"/>
    <w:qFormat/>
    <w:uiPriority w:val="34"/>
    <w:pPr>
      <w:spacing w:line="440" w:lineRule="exact"/>
      <w:ind w:firstLine="420" w:firstLineChars="200"/>
    </w:pPr>
    <w:rPr>
      <w:rFonts w:ascii="Arial" w:hAnsi="Arial"/>
      <w:szCs w:val="24"/>
    </w:rPr>
  </w:style>
  <w:style w:type="character" w:customStyle="1" w:styleId="16">
    <w:name w:val="页眉 Char"/>
    <w:basedOn w:val="12"/>
    <w:link w:val="8"/>
    <w:qFormat/>
    <w:uiPriority w:val="99"/>
    <w:rPr>
      <w:rFonts w:ascii="Calibri" w:hAnsi="Calibri" w:eastAsia="宋体" w:cs="Times New Roman"/>
      <w:sz w:val="18"/>
      <w:szCs w:val="18"/>
    </w:rPr>
  </w:style>
  <w:style w:type="character" w:customStyle="1" w:styleId="17">
    <w:name w:val="页脚 Char"/>
    <w:basedOn w:val="12"/>
    <w:link w:val="7"/>
    <w:qFormat/>
    <w:uiPriority w:val="99"/>
    <w:rPr>
      <w:rFonts w:ascii="Calibri" w:hAnsi="Calibri" w:eastAsia="宋体" w:cs="Times New Roman"/>
      <w:sz w:val="18"/>
      <w:szCs w:val="18"/>
    </w:rPr>
  </w:style>
  <w:style w:type="paragraph" w:customStyle="1" w:styleId="18">
    <w:name w:val="_Style 1"/>
    <w:basedOn w:val="1"/>
    <w:qFormat/>
    <w:uiPriority w:val="34"/>
    <w:pPr>
      <w:ind w:firstLine="420" w:firstLineChars="200"/>
    </w:pPr>
    <w:rPr>
      <w:szCs w:val="24"/>
    </w:rPr>
  </w:style>
  <w:style w:type="character" w:customStyle="1" w:styleId="19">
    <w:name w:val="批注文字 Char"/>
    <w:basedOn w:val="12"/>
    <w:link w:val="4"/>
    <w:qFormat/>
    <w:uiPriority w:val="99"/>
    <w:rPr>
      <w:rFonts w:ascii="Calibri" w:hAnsi="Calibri" w:eastAsia="宋体" w:cs="Times New Roman"/>
    </w:rPr>
  </w:style>
  <w:style w:type="character" w:customStyle="1" w:styleId="20">
    <w:name w:val="批注主题 Char"/>
    <w:basedOn w:val="19"/>
    <w:link w:val="10"/>
    <w:semiHidden/>
    <w:qFormat/>
    <w:uiPriority w:val="99"/>
    <w:rPr>
      <w:rFonts w:ascii="Calibri" w:hAnsi="Calibri" w:eastAsia="宋体" w:cs="Times New Roman"/>
      <w:b/>
      <w:bCs/>
    </w:rPr>
  </w:style>
  <w:style w:type="character" w:customStyle="1" w:styleId="21">
    <w:name w:val="批注框文本 Char"/>
    <w:basedOn w:val="12"/>
    <w:link w:val="6"/>
    <w:semiHidden/>
    <w:qFormat/>
    <w:uiPriority w:val="99"/>
    <w:rPr>
      <w:rFonts w:ascii="宋体" w:hAnsi="Calibri" w:eastAsia="宋体" w:cs="Times New Roman"/>
      <w:sz w:val="18"/>
      <w:szCs w:val="18"/>
    </w:rPr>
  </w:style>
  <w:style w:type="paragraph" w:customStyle="1" w:styleId="22">
    <w:name w:val="修订1"/>
    <w:hidden/>
    <w:semiHidden/>
    <w:qFormat/>
    <w:uiPriority w:val="99"/>
    <w:rPr>
      <w:rFonts w:ascii="Calibri" w:hAnsi="Calibri" w:eastAsia="宋体" w:cs="Times New Roman"/>
      <w:kern w:val="2"/>
      <w:sz w:val="21"/>
      <w:szCs w:val="22"/>
      <w:lang w:val="en-US" w:eastAsia="zh-CN" w:bidi="ar-SA"/>
    </w:rPr>
  </w:style>
  <w:style w:type="character" w:customStyle="1" w:styleId="23">
    <w:name w:val="正文文本 Char"/>
    <w:basedOn w:val="12"/>
    <w:link w:val="5"/>
    <w:qFormat/>
    <w:uiPriority w:val="1"/>
    <w:rPr>
      <w:rFonts w:ascii="仿宋_GB2312" w:hAnsi="仿宋_GB2312" w:eastAsia="仿宋_GB2312" w:cs="仿宋_GB2312"/>
      <w:sz w:val="32"/>
      <w:szCs w:val="32"/>
      <w:lang w:eastAsia="en-US"/>
    </w:rPr>
  </w:style>
  <w:style w:type="character" w:customStyle="1" w:styleId="24">
    <w:name w:val="标题 1 Char"/>
    <w:basedOn w:val="12"/>
    <w:link w:val="2"/>
    <w:qFormat/>
    <w:uiPriority w:val="9"/>
    <w:rPr>
      <w:rFonts w:ascii="楷体" w:hAnsi="楷体" w:eastAsia="楷体" w:cs="楷体"/>
      <w:b/>
      <w:bCs/>
      <w:sz w:val="32"/>
      <w:szCs w:val="32"/>
      <w:lang w:eastAsia="en-US"/>
    </w:rPr>
  </w:style>
  <w:style w:type="paragraph" w:customStyle="1" w:styleId="25">
    <w:name w:val="修订2"/>
    <w:hidden/>
    <w:unhideWhenUsed/>
    <w:qFormat/>
    <w:uiPriority w:val="99"/>
    <w:rPr>
      <w:rFonts w:ascii="Calibri" w:hAnsi="Calibri" w:eastAsia="宋体" w:cs="Times New Roman"/>
      <w:kern w:val="2"/>
      <w:sz w:val="21"/>
      <w:szCs w:val="22"/>
      <w:lang w:val="en-US" w:eastAsia="zh-CN" w:bidi="ar-SA"/>
    </w:rPr>
  </w:style>
  <w:style w:type="paragraph" w:customStyle="1" w:styleId="26">
    <w:name w:val="修订3"/>
    <w:hidden/>
    <w:unhideWhenUsed/>
    <w:qFormat/>
    <w:uiPriority w:val="99"/>
    <w:rPr>
      <w:rFonts w:ascii="Calibri" w:hAnsi="Calibri" w:eastAsia="宋体" w:cs="Times New Roman"/>
      <w:kern w:val="2"/>
      <w:sz w:val="21"/>
      <w:szCs w:val="22"/>
      <w:lang w:val="en-US" w:eastAsia="zh-CN" w:bidi="ar-SA"/>
    </w:rPr>
  </w:style>
  <w:style w:type="paragraph" w:customStyle="1" w:styleId="27">
    <w:name w:val="修订4"/>
    <w:hidden/>
    <w:unhideWhenUsed/>
    <w:qFormat/>
    <w:uiPriority w:val="99"/>
    <w:rPr>
      <w:rFonts w:ascii="Calibri" w:hAnsi="Calibri" w:eastAsia="宋体" w:cs="Times New Roman"/>
      <w:kern w:val="2"/>
      <w:sz w:val="21"/>
      <w:szCs w:val="22"/>
      <w:lang w:val="en-US" w:eastAsia="zh-CN" w:bidi="ar-SA"/>
    </w:rPr>
  </w:style>
  <w:style w:type="paragraph" w:styleId="28">
    <w:name w:val="List Paragraph"/>
    <w:basedOn w:val="1"/>
    <w:unhideWhenUsed/>
    <w:qFormat/>
    <w:uiPriority w:val="99"/>
    <w:pPr>
      <w:ind w:firstLine="420" w:firstLineChars="200"/>
    </w:pPr>
  </w:style>
  <w:style w:type="paragraph" w:customStyle="1" w:styleId="29">
    <w:name w:val="修订5"/>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SixthEditionOfficeOnline.xsl" Version="6" StyleName="APA"/>
</file>

<file path=customXml/item3.xml><?xml version="1.0" encoding="utf-8"?>
<contractReview xmlns="http://schemas.wps.cn/vas-ai-hub/contract-review">
  <reviewItems>
    <reviewItem>
      <errorID>103da1da-8643-4b93-9241-b45dc7b496d4</errorID>
      <errorWord>、</errorWord>
      <group>L1_Word</group>
      <groupName>字词问题</groupName>
      <ability>L2_Typo</ability>
      <abilityName>字词错误</abilityName>
      <candidateList>
        <item>、具</item>
      </candidateList>
      <explain/>
      <paraID>4B9042F7</paraID>
      <start>34</start>
      <end>35</end>
      <status>unmodified</status>
      <modifiedWord/>
      <trackRevisions>false</trackRevisions>
    </reviewItem>
    <reviewItem>
      <errorID>2c6cb2b2-1112-49ad-b890-aa864d29e24c</errorID>
      <errorWord>至少有3名具有3年以上</errorWord>
      <group>L1_Grammar</group>
      <groupName>语法问题</groupName>
      <ability>L2_Grammar</ability>
      <abilityName>语法错误</abilityName>
      <candidateList>
        <item>至少有3名具有3年</item>
      </candidateList>
      <explain>该表达中的“至少有3名具有3年以上”存在语义重复。</explain>
      <paraID>5A6DF444</paraID>
      <start>41</start>
      <end>52</end>
      <status>unmodified</status>
      <modifiedWord/>
      <trackRevisions>false</trackRevisions>
    </reviewItem>
    <reviewItem>
      <errorID>f0ff58b0-ccad-4610-9bc0-9e9ca7e5fbb5</errorID>
      <errorWord>（</errorWord>
      <group>L1_Punc</group>
      <groupName>标点问题</groupName>
      <ability>L2_Punc_CN</ability>
      <abilityName>标点符号问题</abilityName>
      <candidateList/>
      <explain>同一形式括号套用。</explain>
      <paraID> 6AF20A0</paraID>
      <start>112</start>
      <end>113</end>
      <status>unmodified</status>
      <modifiedWord/>
      <trackRevisions>false</trackRevisions>
    </reviewItem>
    <reviewItem>
      <errorID>86775383-ad9c-4d50-a249-6a8cdf1e28dc</errorID>
      <errorWord>）</errorWord>
      <group>L1_Punc</group>
      <groupName>标点问题</groupName>
      <ability>L2_Punc_CN</ability>
      <abilityName>标点符号问题</abilityName>
      <candidateList/>
      <explain>同一形式括号套用。</explain>
      <paraID> 6AF20A0</paraID>
      <start>116</start>
      <end>117</end>
      <status>unmodified</status>
      <modifiedWord/>
      <trackRevisions>false</trackRevisions>
    </reviewItem>
    <reviewItem>
      <errorID>cb3c3a0e-1b90-4299-a716-88154ef703ba</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35677A0B</paraID>
      <start>37</start>
      <end>39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783CB7-AFC0-456D-8F14-8DA96C0ED17B}">
  <ds:schemaRefs/>
</ds:datastoreItem>
</file>

<file path=customXml/itemProps3.xml><?xml version="1.0" encoding="utf-8"?>
<ds:datastoreItem xmlns:ds="http://schemas.openxmlformats.org/officeDocument/2006/customXml" ds:itemID="{b12195e4-3002-4ab6-8e9e-b37c85de885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3142</Words>
  <Characters>3190</Characters>
  <Lines>20</Lines>
  <Paragraphs>5</Paragraphs>
  <TotalTime>6</TotalTime>
  <ScaleCrop>false</ScaleCrop>
  <LinksUpToDate>false</LinksUpToDate>
  <CharactersWithSpaces>3195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2025-02-21T13:15:00Z</dcterms:created>
  <dc:creator>任俊学</dc:creator>
  <cp:lastModifiedBy>李婷婷</cp:lastModifiedBy>
  <cp:lastPrinted>2025-02-20T14:55:00Z</cp:lastPrinted>
  <dcterms:modified xsi:type="dcterms:W3CDTF">2026-07-14T07:30:19Z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0EE778B5812441E8A789CEE44DAC153C_13</vt:lpwstr>
  </property>
  <property fmtid="{D5CDD505-2E9C-101B-9397-08002B2CF9AE}" pid="4" name="KSOTemplateDocerSaveRecord">
    <vt:lpwstr>eyJoZGlkIjoiNzA4MmI2MTAxZGRiNjQ4ZmUzZjg2MDc2MTgxMzZkMzQiLCJ1c2VySWQiOiIyODc0MTAwNjcifQ==</vt:lpwstr>
  </property>
</Properties>
</file>