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7E1BA">
      <w:pPr>
        <w:keepNext w:val="0"/>
        <w:keepLines w:val="0"/>
        <w:pageBreakBefore w:val="0"/>
        <w:widowControl w:val="0"/>
        <w:suppressAutoHyphens/>
        <w:kinsoku/>
        <w:wordWrap/>
        <w:overflowPunct/>
        <w:topLinePunct w:val="0"/>
        <w:autoSpaceDE/>
        <w:autoSpaceDN/>
        <w:bidi w:val="0"/>
        <w:adjustRightInd/>
        <w:snapToGrid/>
        <w:spacing w:line="480" w:lineRule="exact"/>
        <w:jc w:val="left"/>
        <w:textAlignment w:val="auto"/>
        <w:rPr>
          <w:rFonts w:hint="eastAsia" w:ascii="黑体" w:hAnsi="黑体" w:eastAsia="黑体" w:cs="黑体"/>
          <w:sz w:val="28"/>
          <w:szCs w:val="28"/>
          <w:lang w:val="en-US" w:eastAsia="zh-CN"/>
        </w:rPr>
      </w:pPr>
      <w:r>
        <w:rPr>
          <w:rFonts w:hint="eastAsia" w:ascii="黑体" w:hAnsi="黑体" w:eastAsia="黑体" w:cs="黑体"/>
          <w:sz w:val="28"/>
          <w:szCs w:val="28"/>
        </w:rPr>
        <w:t>附件</w:t>
      </w:r>
      <w:r>
        <w:rPr>
          <w:rFonts w:hint="eastAsia" w:ascii="黑体" w:hAnsi="黑体" w:eastAsia="黑体" w:cs="黑体"/>
          <w:sz w:val="28"/>
          <w:szCs w:val="28"/>
          <w:lang w:val="en-US" w:eastAsia="zh-CN"/>
        </w:rPr>
        <w:t>1</w:t>
      </w:r>
    </w:p>
    <w:p w14:paraId="07870C63">
      <w:pPr>
        <w:keepNext w:val="0"/>
        <w:keepLines w:val="0"/>
        <w:pageBreakBefore w:val="0"/>
        <w:widowControl w:val="0"/>
        <w:suppressAutoHyphens/>
        <w:kinsoku/>
        <w:wordWrap/>
        <w:overflowPunct/>
        <w:topLinePunct w:val="0"/>
        <w:autoSpaceDE/>
        <w:autoSpaceDN/>
        <w:bidi w:val="0"/>
        <w:adjustRightInd/>
        <w:snapToGrid/>
        <w:spacing w:line="480" w:lineRule="exact"/>
        <w:jc w:val="left"/>
        <w:textAlignment w:val="auto"/>
        <w:rPr>
          <w:rFonts w:hint="eastAsia" w:ascii="黑体" w:hAnsi="黑体" w:eastAsia="黑体" w:cs="黑体"/>
          <w:sz w:val="28"/>
          <w:szCs w:val="28"/>
          <w:lang w:val="en-US" w:eastAsia="zh-CN"/>
        </w:rPr>
      </w:pPr>
    </w:p>
    <w:tbl>
      <w:tblPr>
        <w:tblStyle w:val="5"/>
        <w:tblW w:w="9645" w:type="dxa"/>
        <w:jc w:val="center"/>
        <w:tblLayout w:type="fixed"/>
        <w:tblCellMar>
          <w:top w:w="0" w:type="dxa"/>
          <w:left w:w="108" w:type="dxa"/>
          <w:bottom w:w="0" w:type="dxa"/>
          <w:right w:w="108" w:type="dxa"/>
        </w:tblCellMar>
      </w:tblPr>
      <w:tblGrid>
        <w:gridCol w:w="1395"/>
        <w:gridCol w:w="8250"/>
      </w:tblGrid>
      <w:tr w14:paraId="714715C6">
        <w:tblPrEx>
          <w:tblCellMar>
            <w:top w:w="0" w:type="dxa"/>
            <w:left w:w="108" w:type="dxa"/>
            <w:bottom w:w="0" w:type="dxa"/>
            <w:right w:w="108" w:type="dxa"/>
          </w:tblCellMar>
        </w:tblPrEx>
        <w:trPr>
          <w:trHeight w:val="924" w:hRule="exact"/>
          <w:jc w:val="center"/>
        </w:trPr>
        <w:tc>
          <w:tcPr>
            <w:tcW w:w="1395" w:type="dxa"/>
            <w:vMerge w:val="restart"/>
            <w:tcBorders>
              <w:top w:val="single" w:color="000000" w:sz="4" w:space="0"/>
              <w:left w:val="single" w:color="000000" w:sz="4" w:space="0"/>
              <w:bottom w:val="single" w:color="000000" w:sz="4" w:space="0"/>
              <w:right w:val="single" w:color="000000" w:sz="4" w:space="0"/>
            </w:tcBorders>
            <w:noWrap/>
            <w:vAlign w:val="center"/>
          </w:tcPr>
          <w:p w14:paraId="7BC219AA">
            <w:pPr>
              <w:widowControl/>
              <w:suppressAutoHyphens/>
              <w:bidi w:val="0"/>
              <w:jc w:val="center"/>
              <w:textAlignment w:val="center"/>
              <w:rPr>
                <w:rFonts w:hint="eastAsia" w:ascii="黑体" w:hAnsi="黑体" w:eastAsia="黑体" w:cs="黑体"/>
                <w:b w:val="0"/>
                <w:bCs w:val="0"/>
                <w:color w:val="000000"/>
                <w:sz w:val="28"/>
                <w:szCs w:val="28"/>
              </w:rPr>
            </w:pPr>
            <w:r>
              <w:rPr>
                <w:rFonts w:hint="eastAsia" w:ascii="黑体" w:hAnsi="黑体" w:eastAsia="黑体" w:cs="黑体"/>
                <w:b w:val="0"/>
                <w:bCs w:val="0"/>
                <w:color w:val="000000"/>
                <w:kern w:val="0"/>
                <w:sz w:val="28"/>
                <w:szCs w:val="28"/>
              </w:rPr>
              <w:t>评分项目</w:t>
            </w:r>
          </w:p>
        </w:tc>
        <w:tc>
          <w:tcPr>
            <w:tcW w:w="8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406B2172">
            <w:pPr>
              <w:widowControl/>
              <w:suppressAutoHyphens/>
              <w:bidi w:val="0"/>
              <w:jc w:val="center"/>
              <w:textAlignment w:val="center"/>
              <w:rPr>
                <w:rFonts w:hint="eastAsia" w:ascii="黑体" w:hAnsi="黑体" w:eastAsia="黑体" w:cs="黑体"/>
                <w:b w:val="0"/>
                <w:bCs w:val="0"/>
                <w:color w:val="000000"/>
                <w:sz w:val="28"/>
                <w:szCs w:val="28"/>
              </w:rPr>
            </w:pPr>
            <w:r>
              <w:rPr>
                <w:rFonts w:hint="eastAsia" w:ascii="黑体" w:hAnsi="黑体" w:eastAsia="黑体" w:cs="黑体"/>
                <w:b w:val="0"/>
                <w:bCs w:val="0"/>
                <w:color w:val="000000"/>
                <w:kern w:val="0"/>
                <w:sz w:val="28"/>
                <w:szCs w:val="28"/>
              </w:rPr>
              <w:t>评审标准</w:t>
            </w:r>
          </w:p>
        </w:tc>
      </w:tr>
      <w:tr w14:paraId="73B36BCD">
        <w:tblPrEx>
          <w:tblCellMar>
            <w:top w:w="0" w:type="dxa"/>
            <w:left w:w="108" w:type="dxa"/>
            <w:bottom w:w="0" w:type="dxa"/>
            <w:right w:w="108" w:type="dxa"/>
          </w:tblCellMar>
        </w:tblPrEx>
        <w:trPr>
          <w:trHeight w:val="312" w:hRule="atLeast"/>
          <w:jc w:val="center"/>
        </w:trPr>
        <w:tc>
          <w:tcPr>
            <w:tcW w:w="1395" w:type="dxa"/>
            <w:vMerge w:val="continue"/>
            <w:tcBorders>
              <w:top w:val="single" w:color="000000" w:sz="4" w:space="0"/>
              <w:left w:val="single" w:color="000000" w:sz="4" w:space="0"/>
              <w:bottom w:val="single" w:color="000000" w:sz="4" w:space="0"/>
              <w:right w:val="single" w:color="000000" w:sz="4" w:space="0"/>
            </w:tcBorders>
            <w:noWrap/>
            <w:vAlign w:val="center"/>
          </w:tcPr>
          <w:p w14:paraId="5E490838">
            <w:pPr>
              <w:suppressAutoHyphens/>
              <w:bidi w:val="0"/>
              <w:jc w:val="center"/>
              <w:rPr>
                <w:rFonts w:ascii="宋体" w:hAnsi="宋体" w:eastAsia="宋体" w:cs="宋体"/>
                <w:b/>
                <w:bCs/>
                <w:color w:val="000000"/>
                <w:sz w:val="28"/>
                <w:szCs w:val="28"/>
              </w:rPr>
            </w:pPr>
          </w:p>
        </w:tc>
        <w:tc>
          <w:tcPr>
            <w:tcW w:w="8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399B3B">
            <w:pPr>
              <w:suppressAutoHyphens/>
              <w:bidi w:val="0"/>
              <w:jc w:val="center"/>
              <w:rPr>
                <w:rFonts w:ascii="宋体" w:hAnsi="宋体" w:eastAsia="宋体" w:cs="宋体"/>
                <w:b/>
                <w:bCs/>
                <w:color w:val="000000"/>
                <w:sz w:val="28"/>
                <w:szCs w:val="28"/>
              </w:rPr>
            </w:pPr>
          </w:p>
        </w:tc>
      </w:tr>
      <w:tr w14:paraId="44B48204">
        <w:tblPrEx>
          <w:tblCellMar>
            <w:top w:w="0" w:type="dxa"/>
            <w:left w:w="108" w:type="dxa"/>
            <w:bottom w:w="0" w:type="dxa"/>
            <w:right w:w="108" w:type="dxa"/>
          </w:tblCellMar>
        </w:tblPrEx>
        <w:trPr>
          <w:trHeight w:val="3353" w:hRule="atLeast"/>
          <w:jc w:val="center"/>
        </w:trPr>
        <w:tc>
          <w:tcPr>
            <w:tcW w:w="1395" w:type="dxa"/>
            <w:tcBorders>
              <w:top w:val="single" w:color="000000" w:sz="4" w:space="0"/>
              <w:left w:val="single" w:color="000000" w:sz="4" w:space="0"/>
              <w:bottom w:val="single" w:color="000000" w:sz="4" w:space="0"/>
              <w:right w:val="single" w:color="000000" w:sz="4" w:space="0"/>
            </w:tcBorders>
            <w:noWrap w:val="0"/>
            <w:vAlign w:val="center"/>
          </w:tcPr>
          <w:p w14:paraId="672F3F8C">
            <w:pPr>
              <w:widowControl/>
              <w:suppressAutoHyphens/>
              <w:bidi w:val="0"/>
              <w:jc w:val="center"/>
              <w:textAlignment w:val="center"/>
              <w:rPr>
                <w:rFonts w:ascii="宋体" w:hAnsi="宋体" w:eastAsia="宋体" w:cs="宋体"/>
                <w:color w:val="000000"/>
                <w:sz w:val="28"/>
                <w:szCs w:val="28"/>
              </w:rPr>
            </w:pPr>
            <w:r>
              <w:rPr>
                <w:rFonts w:hint="eastAsia" w:ascii="宋体" w:hAnsi="宋体" w:eastAsia="宋体" w:cs="宋体"/>
                <w:color w:val="000000"/>
                <w:kern w:val="0"/>
                <w:sz w:val="24"/>
              </w:rPr>
              <w:t>法律服务实施方案（30分）</w:t>
            </w:r>
          </w:p>
        </w:tc>
        <w:tc>
          <w:tcPr>
            <w:tcW w:w="8250" w:type="dxa"/>
            <w:tcBorders>
              <w:top w:val="single" w:color="000000" w:sz="4" w:space="0"/>
              <w:left w:val="single" w:color="000000" w:sz="4" w:space="0"/>
              <w:bottom w:val="single" w:color="000000" w:sz="4" w:space="0"/>
              <w:right w:val="single" w:color="000000" w:sz="4" w:space="0"/>
            </w:tcBorders>
            <w:noWrap w:val="0"/>
            <w:vAlign w:val="center"/>
          </w:tcPr>
          <w:p w14:paraId="2564DD09">
            <w:pPr>
              <w:widowControl/>
              <w:suppressAutoHyphens/>
              <w:bidi w:val="0"/>
              <w:jc w:val="left"/>
              <w:textAlignment w:val="center"/>
              <w:rPr>
                <w:rFonts w:ascii="宋体" w:hAnsi="宋体" w:eastAsia="宋体" w:cs="宋体"/>
                <w:color w:val="000000"/>
                <w:sz w:val="24"/>
              </w:rPr>
            </w:pPr>
            <w:r>
              <w:rPr>
                <w:rFonts w:hint="eastAsia" w:ascii="宋体" w:hAnsi="宋体" w:eastAsia="宋体" w:cs="宋体"/>
                <w:color w:val="000000"/>
                <w:kern w:val="0"/>
                <w:sz w:val="24"/>
              </w:rPr>
              <w:t>根据采购项目公告内采购内容及要求提供的整体运作流程和实施方案进行评审，对方案的全面性、可操作性、针对性、合理性、服务承诺及质量保证措施等要点进行评分：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①项目整体实施方案完整全面、详细，针对性及可操作性强，得30分；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②项目整体实施方案比较全面、详细，针对性及可操作性较强，得20分；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③项目整体实施方案一般，细节待完善，针对性和可操作性一般，各环节考虑基本全面，得10分；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④项目整体实施方案简单、针对性和可操作性差，各环节考虑简单，得5分；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⑤未提供相应项目整体实施方案不得分。</w:t>
            </w:r>
          </w:p>
        </w:tc>
      </w:tr>
      <w:tr w14:paraId="08931003">
        <w:tblPrEx>
          <w:tblCellMar>
            <w:top w:w="0" w:type="dxa"/>
            <w:left w:w="108" w:type="dxa"/>
            <w:bottom w:w="0" w:type="dxa"/>
            <w:right w:w="108" w:type="dxa"/>
          </w:tblCellMar>
        </w:tblPrEx>
        <w:trPr>
          <w:trHeight w:val="1570" w:hRule="atLeast"/>
          <w:jc w:val="center"/>
        </w:trPr>
        <w:tc>
          <w:tcPr>
            <w:tcW w:w="1395" w:type="dxa"/>
            <w:tcBorders>
              <w:top w:val="single" w:color="000000" w:sz="4" w:space="0"/>
              <w:left w:val="single" w:color="000000" w:sz="4" w:space="0"/>
              <w:bottom w:val="single" w:color="000000" w:sz="4" w:space="0"/>
              <w:right w:val="single" w:color="000000" w:sz="4" w:space="0"/>
            </w:tcBorders>
            <w:noWrap w:val="0"/>
            <w:vAlign w:val="center"/>
          </w:tcPr>
          <w:p w14:paraId="0E1E35D9">
            <w:pPr>
              <w:widowControl/>
              <w:suppressAutoHyphens/>
              <w:bidi w:val="0"/>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同类项目业绩证明材料</w:t>
            </w:r>
          </w:p>
          <w:p w14:paraId="093BDF07">
            <w:pPr>
              <w:widowControl/>
              <w:suppressAutoHyphens/>
              <w:bidi w:val="0"/>
              <w:jc w:val="center"/>
              <w:textAlignment w:val="center"/>
              <w:rPr>
                <w:rFonts w:ascii="宋体" w:hAnsi="宋体" w:eastAsia="宋体" w:cs="宋体"/>
                <w:color w:val="000000"/>
                <w:sz w:val="28"/>
                <w:szCs w:val="28"/>
              </w:rPr>
            </w:pPr>
            <w:r>
              <w:rPr>
                <w:rFonts w:hint="eastAsia" w:ascii="宋体" w:hAnsi="宋体" w:eastAsia="宋体" w:cs="宋体"/>
                <w:color w:val="000000"/>
                <w:kern w:val="0"/>
                <w:sz w:val="24"/>
              </w:rPr>
              <w:t>（20分）</w:t>
            </w:r>
          </w:p>
        </w:tc>
        <w:tc>
          <w:tcPr>
            <w:tcW w:w="8250" w:type="dxa"/>
            <w:tcBorders>
              <w:top w:val="single" w:color="000000" w:sz="4" w:space="0"/>
              <w:left w:val="single" w:color="000000" w:sz="4" w:space="0"/>
              <w:bottom w:val="single" w:color="000000" w:sz="4" w:space="0"/>
              <w:right w:val="single" w:color="000000" w:sz="4" w:space="0"/>
            </w:tcBorders>
            <w:noWrap w:val="0"/>
            <w:vAlign w:val="center"/>
          </w:tcPr>
          <w:p w14:paraId="5423FD5D">
            <w:pPr>
              <w:widowControl/>
              <w:suppressAutoHyphens/>
              <w:bidi w:val="0"/>
              <w:jc w:val="left"/>
              <w:textAlignment w:val="center"/>
              <w:rPr>
                <w:rFonts w:ascii="宋体" w:hAnsi="宋体" w:eastAsia="宋体" w:cs="宋体"/>
                <w:color w:val="000000"/>
                <w:sz w:val="24"/>
              </w:rPr>
            </w:pPr>
            <w:r>
              <w:rPr>
                <w:rFonts w:hint="eastAsia" w:ascii="宋体" w:hAnsi="宋体" w:eastAsia="宋体" w:cs="宋体"/>
                <w:color w:val="000000"/>
                <w:kern w:val="0"/>
                <w:sz w:val="24"/>
              </w:rPr>
              <w:t>投标人承担过同类项目的，每项得5分，本项最高得20分，需提供项目合同关键页复印件，包括但不限于项目名称、合同金额、项目内容、双方盖章、签订日期等</w:t>
            </w:r>
          </w:p>
        </w:tc>
      </w:tr>
      <w:tr w14:paraId="31AD6418">
        <w:tblPrEx>
          <w:tblCellMar>
            <w:top w:w="0" w:type="dxa"/>
            <w:left w:w="108" w:type="dxa"/>
            <w:bottom w:w="0" w:type="dxa"/>
            <w:right w:w="108" w:type="dxa"/>
          </w:tblCellMar>
        </w:tblPrEx>
        <w:trPr>
          <w:trHeight w:val="1633" w:hRule="atLeast"/>
          <w:jc w:val="center"/>
        </w:trPr>
        <w:tc>
          <w:tcPr>
            <w:tcW w:w="1395" w:type="dxa"/>
            <w:tcBorders>
              <w:top w:val="single" w:color="000000" w:sz="4" w:space="0"/>
              <w:left w:val="single" w:color="000000" w:sz="4" w:space="0"/>
              <w:bottom w:val="single" w:color="000000" w:sz="4" w:space="0"/>
              <w:right w:val="single" w:color="000000" w:sz="4" w:space="0"/>
            </w:tcBorders>
            <w:noWrap w:val="0"/>
            <w:vAlign w:val="center"/>
          </w:tcPr>
          <w:p w14:paraId="1A4BD36A">
            <w:pPr>
              <w:widowControl/>
              <w:suppressAutoHyphens/>
              <w:bidi w:val="0"/>
              <w:jc w:val="center"/>
              <w:textAlignment w:val="center"/>
              <w:rPr>
                <w:rFonts w:ascii="宋体" w:hAnsi="宋体" w:eastAsia="宋体" w:cs="宋体"/>
                <w:color w:val="000000"/>
                <w:sz w:val="28"/>
                <w:szCs w:val="28"/>
              </w:rPr>
            </w:pPr>
            <w:r>
              <w:rPr>
                <w:rFonts w:hint="eastAsia" w:ascii="宋体" w:hAnsi="宋体" w:eastAsia="宋体" w:cs="宋体"/>
                <w:color w:val="000000"/>
                <w:kern w:val="0"/>
                <w:sz w:val="24"/>
              </w:rPr>
              <w:t>投标价格（15分）</w:t>
            </w:r>
          </w:p>
        </w:tc>
        <w:tc>
          <w:tcPr>
            <w:tcW w:w="8250" w:type="dxa"/>
            <w:tcBorders>
              <w:top w:val="single" w:color="000000" w:sz="4" w:space="0"/>
              <w:left w:val="single" w:color="000000" w:sz="4" w:space="0"/>
              <w:bottom w:val="single" w:color="000000" w:sz="4" w:space="0"/>
              <w:right w:val="single" w:color="000000" w:sz="4" w:space="0"/>
            </w:tcBorders>
            <w:noWrap w:val="0"/>
            <w:vAlign w:val="center"/>
          </w:tcPr>
          <w:p w14:paraId="0CC1F00F">
            <w:pPr>
              <w:widowControl/>
              <w:suppressAutoHyphens/>
              <w:bidi w:val="0"/>
              <w:jc w:val="left"/>
              <w:textAlignment w:val="center"/>
              <w:rPr>
                <w:rFonts w:ascii="宋体" w:hAnsi="宋体" w:eastAsia="宋体" w:cs="宋体"/>
                <w:color w:val="000000"/>
                <w:sz w:val="24"/>
              </w:rPr>
            </w:pPr>
            <w:r>
              <w:rPr>
                <w:rFonts w:hint="eastAsia" w:ascii="宋体" w:hAnsi="宋体" w:eastAsia="宋体" w:cs="宋体"/>
                <w:color w:val="000000"/>
                <w:kern w:val="0"/>
                <w:sz w:val="24"/>
              </w:rPr>
              <w:t>投标报价得分＝（评标基准价/投标报价）×价格分值   【注：满足招标文件要求且投标价格最低的投标报价为评标基准价。】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最低报价不是中标的唯一依据。因落实政府采购政策进行价格调整的，以调整后的价格计算评标基准价和投标报价。</w:t>
            </w:r>
          </w:p>
        </w:tc>
      </w:tr>
      <w:tr w14:paraId="5C981CE3">
        <w:tblPrEx>
          <w:tblCellMar>
            <w:top w:w="0" w:type="dxa"/>
            <w:left w:w="108" w:type="dxa"/>
            <w:bottom w:w="0" w:type="dxa"/>
            <w:right w:w="108" w:type="dxa"/>
          </w:tblCellMar>
        </w:tblPrEx>
        <w:trPr>
          <w:trHeight w:val="2012" w:hRule="atLeast"/>
          <w:jc w:val="center"/>
        </w:trPr>
        <w:tc>
          <w:tcPr>
            <w:tcW w:w="1395" w:type="dxa"/>
            <w:tcBorders>
              <w:top w:val="single" w:color="000000" w:sz="4" w:space="0"/>
              <w:left w:val="single" w:color="000000" w:sz="4" w:space="0"/>
              <w:bottom w:val="single" w:color="000000" w:sz="4" w:space="0"/>
              <w:right w:val="single" w:color="000000" w:sz="4" w:space="0"/>
            </w:tcBorders>
            <w:noWrap w:val="0"/>
            <w:vAlign w:val="center"/>
          </w:tcPr>
          <w:p w14:paraId="02DA60A8">
            <w:pPr>
              <w:widowControl/>
              <w:suppressAutoHyphens/>
              <w:bidi w:val="0"/>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企业资质情况</w:t>
            </w:r>
          </w:p>
          <w:p w14:paraId="145AC59E">
            <w:pPr>
              <w:widowControl/>
              <w:suppressAutoHyphens/>
              <w:bidi w:val="0"/>
              <w:jc w:val="center"/>
              <w:textAlignment w:val="center"/>
              <w:rPr>
                <w:rFonts w:ascii="宋体" w:hAnsi="宋体" w:eastAsia="宋体" w:cs="宋体"/>
                <w:color w:val="000000"/>
                <w:sz w:val="28"/>
                <w:szCs w:val="28"/>
              </w:rPr>
            </w:pPr>
            <w:r>
              <w:rPr>
                <w:rFonts w:hint="eastAsia" w:ascii="宋体" w:hAnsi="宋体" w:eastAsia="宋体" w:cs="宋体"/>
                <w:color w:val="000000"/>
                <w:kern w:val="0"/>
                <w:sz w:val="24"/>
              </w:rPr>
              <w:t>（15分）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w:t>
            </w:r>
          </w:p>
        </w:tc>
        <w:tc>
          <w:tcPr>
            <w:tcW w:w="8250" w:type="dxa"/>
            <w:tcBorders>
              <w:top w:val="single" w:color="000000" w:sz="4" w:space="0"/>
              <w:left w:val="single" w:color="000000" w:sz="4" w:space="0"/>
              <w:bottom w:val="single" w:color="000000" w:sz="4" w:space="0"/>
              <w:right w:val="single" w:color="000000" w:sz="4" w:space="0"/>
            </w:tcBorders>
            <w:noWrap w:val="0"/>
            <w:vAlign w:val="center"/>
          </w:tcPr>
          <w:p w14:paraId="24E30E7D">
            <w:pPr>
              <w:widowControl/>
              <w:suppressAutoHyphens/>
              <w:bidi w:val="0"/>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①</w:t>
            </w:r>
            <w:bookmarkStart w:id="0" w:name="OLE_LINK2"/>
            <w:bookmarkStart w:id="1" w:name="OLE_LINK1"/>
            <w:r>
              <w:rPr>
                <w:rFonts w:ascii="Segoe UI" w:hAnsi="Segoe UI" w:eastAsia="Segoe UI" w:cs="Segoe UI"/>
                <w:color w:val="000000"/>
                <w:sz w:val="24"/>
              </w:rPr>
              <w:t>具有合法有效的律师事务所执业许可证</w:t>
            </w:r>
            <w:r>
              <w:rPr>
                <w:rFonts w:hint="eastAsia" w:ascii="宋体" w:hAnsi="宋体" w:eastAsia="宋体" w:cs="宋体"/>
                <w:color w:val="000000"/>
                <w:kern w:val="0"/>
                <w:sz w:val="24"/>
              </w:rPr>
              <w:t xml:space="preserve">； </w:t>
            </w:r>
            <w:bookmarkEnd w:id="0"/>
            <w:bookmarkEnd w:id="1"/>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②</w:t>
            </w:r>
            <w:r>
              <w:rPr>
                <w:rFonts w:ascii="Segoe UI" w:hAnsi="Segoe UI" w:eastAsia="Segoe UI" w:cs="Segoe UI"/>
                <w:color w:val="000000"/>
                <w:sz w:val="24"/>
              </w:rPr>
              <w:t>具有合法有效的律师事务所</w:t>
            </w:r>
            <w:r>
              <w:rPr>
                <w:rFonts w:hint="eastAsia" w:ascii="Segoe UI" w:hAnsi="Segoe UI" w:eastAsia="宋体" w:cs="Segoe UI"/>
                <w:color w:val="000000"/>
                <w:sz w:val="24"/>
              </w:rPr>
              <w:t>律师</w:t>
            </w:r>
            <w:r>
              <w:rPr>
                <w:rFonts w:ascii="Segoe UI" w:hAnsi="Segoe UI" w:eastAsia="Segoe UI" w:cs="Segoe UI"/>
                <w:color w:val="000000"/>
                <w:sz w:val="24"/>
              </w:rPr>
              <w:t>执业证</w:t>
            </w:r>
            <w:r>
              <w:rPr>
                <w:rFonts w:hint="eastAsia" w:ascii="宋体" w:hAnsi="宋体" w:eastAsia="宋体" w:cs="宋体"/>
                <w:color w:val="000000"/>
                <w:kern w:val="0"/>
                <w:sz w:val="24"/>
              </w:rPr>
              <w:t>；</w:t>
            </w:r>
          </w:p>
          <w:p w14:paraId="3A9B26FA">
            <w:pPr>
              <w:widowControl/>
              <w:suppressAutoHyphens/>
              <w:bidi w:val="0"/>
              <w:jc w:val="left"/>
              <w:textAlignment w:val="center"/>
              <w:rPr>
                <w:rFonts w:ascii="宋体" w:hAnsi="宋体" w:eastAsia="宋体" w:cs="宋体"/>
                <w:color w:val="000000"/>
                <w:sz w:val="24"/>
              </w:rPr>
            </w:pPr>
            <w:r>
              <w:rPr>
                <w:rFonts w:hint="eastAsia" w:ascii="宋体" w:hAnsi="宋体" w:eastAsia="宋体" w:cs="宋体"/>
                <w:color w:val="000000"/>
                <w:kern w:val="0"/>
                <w:sz w:val="24"/>
              </w:rPr>
              <w:t xml:space="preserve"> 每项得7.5分，最高得15分。</w:t>
            </w:r>
            <w:bookmarkStart w:id="2" w:name="_GoBack"/>
            <w:bookmarkEnd w:id="2"/>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备注:须提供有效期内的证书复印件或扫描件，加盖投标人公章，否则不得分。</w:t>
            </w:r>
          </w:p>
        </w:tc>
      </w:tr>
      <w:tr w14:paraId="67ED6022">
        <w:tblPrEx>
          <w:tblCellMar>
            <w:top w:w="0" w:type="dxa"/>
            <w:left w:w="108" w:type="dxa"/>
            <w:bottom w:w="0" w:type="dxa"/>
            <w:right w:w="108" w:type="dxa"/>
          </w:tblCellMar>
        </w:tblPrEx>
        <w:trPr>
          <w:trHeight w:val="2839" w:hRule="atLeast"/>
          <w:jc w:val="center"/>
        </w:trPr>
        <w:tc>
          <w:tcPr>
            <w:tcW w:w="1395" w:type="dxa"/>
            <w:tcBorders>
              <w:top w:val="single" w:color="000000" w:sz="4" w:space="0"/>
              <w:left w:val="single" w:color="000000" w:sz="4" w:space="0"/>
              <w:bottom w:val="single" w:color="000000" w:sz="4" w:space="0"/>
              <w:right w:val="single" w:color="000000" w:sz="4" w:space="0"/>
            </w:tcBorders>
            <w:noWrap w:val="0"/>
            <w:vAlign w:val="center"/>
          </w:tcPr>
          <w:p w14:paraId="2AFE47A6">
            <w:pPr>
              <w:widowControl/>
              <w:suppressAutoHyphens/>
              <w:bidi w:val="0"/>
              <w:jc w:val="center"/>
              <w:textAlignment w:val="center"/>
              <w:rPr>
                <w:rFonts w:ascii="宋体" w:hAnsi="宋体" w:eastAsia="宋体" w:cs="宋体"/>
                <w:color w:val="000000"/>
                <w:sz w:val="28"/>
                <w:szCs w:val="28"/>
              </w:rPr>
            </w:pPr>
            <w:r>
              <w:rPr>
                <w:rFonts w:hint="eastAsia" w:ascii="宋体" w:hAnsi="宋体" w:eastAsia="宋体" w:cs="宋体"/>
                <w:color w:val="000000"/>
                <w:kern w:val="0"/>
                <w:sz w:val="24"/>
              </w:rPr>
              <w:t>保密方案（20分）</w:t>
            </w:r>
          </w:p>
        </w:tc>
        <w:tc>
          <w:tcPr>
            <w:tcW w:w="8250" w:type="dxa"/>
            <w:tcBorders>
              <w:top w:val="single" w:color="000000" w:sz="4" w:space="0"/>
              <w:left w:val="single" w:color="000000" w:sz="4" w:space="0"/>
              <w:bottom w:val="single" w:color="000000" w:sz="4" w:space="0"/>
              <w:right w:val="single" w:color="000000" w:sz="4" w:space="0"/>
            </w:tcBorders>
            <w:noWrap w:val="0"/>
            <w:vAlign w:val="center"/>
          </w:tcPr>
          <w:p w14:paraId="017E2B3A">
            <w:pPr>
              <w:widowControl/>
              <w:suppressAutoHyphens/>
              <w:bidi w:val="0"/>
              <w:jc w:val="left"/>
              <w:textAlignment w:val="center"/>
              <w:rPr>
                <w:rFonts w:ascii="宋体" w:hAnsi="宋体" w:eastAsia="宋体" w:cs="宋体"/>
                <w:color w:val="000000"/>
                <w:sz w:val="24"/>
              </w:rPr>
            </w:pPr>
            <w:r>
              <w:rPr>
                <w:rFonts w:hint="eastAsia" w:ascii="宋体" w:hAnsi="宋体" w:eastAsia="宋体" w:cs="宋体"/>
                <w:color w:val="000000"/>
                <w:kern w:val="0"/>
                <w:sz w:val="24"/>
              </w:rPr>
              <w:t>根据供应商提供的保密方案（包括但不限于管理措施、保密管理制度等）进行综合评审：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①管理措施和保密管理制度详细完善、严谨科学，可行性高的得20分；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②管理措施和保密管理制度较详细完善，可行性较强的得15分；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③管理措施和保密管理制度详细完善度一般，可行性一般的得10分；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④管理措施和保密管理制度粗略，合理性差的得5分；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⑤未提供对应方案不得分。</w:t>
            </w:r>
          </w:p>
        </w:tc>
      </w:tr>
    </w:tbl>
    <w:p w14:paraId="6F97E1A6"/>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ans">
    <w:altName w:val="Noto Sans SC"/>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30000003" w:usb1="2BDF3C10" w:usb2="00000016" w:usb3="00000000" w:csb0="602E0107" w:csb1="00000000"/>
  </w:font>
  <w:font w:name="Segoe UI">
    <w:panose1 w:val="020B0502040204020203"/>
    <w:charset w:val="00"/>
    <w:family w:val="auto"/>
    <w:pitch w:val="default"/>
    <w:sig w:usb0="E4002EFF" w:usb1="C000E47F" w:usb2="00000009" w:usb3="00000000" w:csb0="200001FF" w:csb1="00000000"/>
  </w:font>
  <w:font w:name="Noto Sans SC">
    <w:panose1 w:val="020B02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0"/>
  <w:displayVerticalDrawingGridEvery w:val="0"/>
  <w:doNotUseMarginsForDrawingGridOrigin w:val="1"/>
  <w:drawingGridHorizontalOrigin w:val="0"/>
  <w:drawingGridVerticalOrigin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306EAD"/>
    <w:rsid w:val="4CB55159"/>
    <w:rsid w:val="5FEFBA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6">
    <w:name w:val="Default Paragraph Fon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caption"/>
    <w:basedOn w:val="1"/>
    <w:uiPriority w:val="0"/>
    <w:pPr>
      <w:widowControl w:val="0"/>
      <w:suppressLineNumbers/>
      <w:suppressAutoHyphens/>
      <w:spacing w:before="120" w:after="120"/>
    </w:pPr>
    <w:rPr>
      <w:i/>
      <w:iCs/>
      <w:sz w:val="24"/>
      <w:szCs w:val="24"/>
    </w:rPr>
  </w:style>
  <w:style w:type="paragraph" w:styleId="3">
    <w:name w:val="Body Text"/>
    <w:basedOn w:val="1"/>
    <w:uiPriority w:val="0"/>
    <w:pPr>
      <w:spacing w:before="0" w:after="140" w:line="276" w:lineRule="auto"/>
    </w:pPr>
  </w:style>
  <w:style w:type="paragraph" w:styleId="4">
    <w:name w:val="List"/>
    <w:basedOn w:val="3"/>
    <w:uiPriority w:val="0"/>
  </w:style>
  <w:style w:type="character" w:customStyle="1" w:styleId="7">
    <w:name w:val="默认段落字体1"/>
    <w:uiPriority w:val="0"/>
  </w:style>
  <w:style w:type="paragraph" w:customStyle="1" w:styleId="8">
    <w:name w:val="Heading"/>
    <w:basedOn w:val="1"/>
    <w:next w:val="3"/>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9">
    <w:name w:val="Index"/>
    <w:basedOn w:val="1"/>
    <w:uiPriority w:val="0"/>
    <w:pPr>
      <w:widowControl w:val="0"/>
      <w:suppressLineNumbers/>
      <w:suppressAutoHyphens/>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722</Words>
  <Characters>737</Characters>
  <TotalTime>4</TotalTime>
  <ScaleCrop>false</ScaleCrop>
  <LinksUpToDate>false</LinksUpToDate>
  <CharactersWithSpaces>760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2018-11-27T01:47:00Z</dcterms:created>
  <dc:creator>uos</dc:creator>
  <cp:lastModifiedBy>权</cp:lastModifiedBy>
  <dcterms:modified xsi:type="dcterms:W3CDTF">2026-07-13T08:59:57Z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16D6966808234F08828E8E604EC1D1F7_13</vt:lpwstr>
  </property>
</Properties>
</file>