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outlineLvl w:val="9"/>
        <w:rPr>
          <w:color w:val="auto"/>
        </w:rPr>
      </w:pPr>
    </w:p>
    <w:p>
      <w:pPr>
        <w:spacing w:line="240" w:lineRule="auto"/>
        <w:jc w:val="center"/>
        <w:rPr>
          <w:rFonts w:ascii="仿宋_GB2312" w:eastAsia="仿宋_GB2312"/>
          <w:color w:val="auto"/>
          <w:sz w:val="44"/>
          <w:szCs w:val="44"/>
        </w:rPr>
      </w:pPr>
    </w:p>
    <w:p>
      <w:pPr>
        <w:spacing w:line="240" w:lineRule="auto"/>
        <w:jc w:val="center"/>
        <w:rPr>
          <w:rFonts w:ascii="仿宋_GB2312" w:eastAsia="仿宋_GB2312"/>
          <w:color w:val="auto"/>
          <w:sz w:val="44"/>
          <w:szCs w:val="44"/>
        </w:rPr>
      </w:pPr>
    </w:p>
    <w:p>
      <w:pPr>
        <w:spacing w:line="240" w:lineRule="auto"/>
        <w:jc w:val="center"/>
        <w:rPr>
          <w:rFonts w:hint="eastAsia" w:ascii="方正小标宋简体" w:hAnsi="方正小标宋简体" w:eastAsia="方正小标宋简体" w:cs="方正小标宋简体"/>
          <w:b/>
          <w:color w:val="auto"/>
          <w:sz w:val="44"/>
          <w:szCs w:val="44"/>
        </w:rPr>
      </w:pPr>
      <w:r>
        <w:rPr>
          <w:rFonts w:hint="eastAsia" w:ascii="方正小标宋简体" w:hAnsi="方正小标宋简体" w:eastAsia="方正小标宋简体" w:cs="方正小标宋简体"/>
          <w:b/>
          <w:color w:val="auto"/>
          <w:sz w:val="44"/>
          <w:szCs w:val="44"/>
        </w:rPr>
        <w:t>开平市推动科技创新与新型工业化</w:t>
      </w:r>
    </w:p>
    <w:p>
      <w:pPr>
        <w:spacing w:line="240" w:lineRule="auto"/>
        <w:jc w:val="center"/>
        <w:rPr>
          <w:rFonts w:hint="eastAsia" w:ascii="方正小标宋简体" w:hAnsi="方正小标宋简体" w:eastAsia="方正小标宋简体" w:cs="方正小标宋简体"/>
          <w:b/>
          <w:color w:val="auto"/>
          <w:sz w:val="44"/>
          <w:szCs w:val="44"/>
        </w:rPr>
      </w:pPr>
      <w:r>
        <w:rPr>
          <w:rFonts w:hint="eastAsia" w:ascii="方正小标宋简体" w:hAnsi="方正小标宋简体" w:eastAsia="方正小标宋简体" w:cs="方正小标宋简体"/>
          <w:b/>
          <w:color w:val="auto"/>
          <w:sz w:val="44"/>
          <w:szCs w:val="44"/>
        </w:rPr>
        <w:t>“十五五”规划</w:t>
      </w:r>
    </w:p>
    <w:p>
      <w:pPr>
        <w:spacing w:line="240" w:lineRule="auto"/>
        <w:jc w:val="center"/>
        <w:rPr>
          <w:rFonts w:hint="eastAsia" w:ascii="方正小标宋简体" w:hAnsi="方正小标宋简体" w:eastAsia="方正小标宋简体" w:cs="方正小标宋简体"/>
          <w:b/>
          <w:color w:val="auto"/>
          <w:sz w:val="44"/>
          <w:szCs w:val="44"/>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征求意见稿</w:t>
      </w:r>
      <w:r>
        <w:rPr>
          <w:rFonts w:hint="eastAsia" w:ascii="楷体_GB2312" w:hAnsi="楷体_GB2312" w:eastAsia="楷体_GB2312" w:cs="楷体_GB2312"/>
          <w:color w:val="auto"/>
          <w:sz w:val="32"/>
          <w:szCs w:val="32"/>
          <w:lang w:eastAsia="zh-CN"/>
        </w:rPr>
        <w:t>）</w:t>
      </w:r>
    </w:p>
    <w:p>
      <w:pPr>
        <w:spacing w:line="240" w:lineRule="auto"/>
        <w:jc w:val="center"/>
        <w:rPr>
          <w:rFonts w:ascii="宋体" w:hAnsi="宋体" w:eastAsia="宋体"/>
          <w:b/>
          <w:color w:val="auto"/>
          <w:sz w:val="44"/>
          <w:szCs w:val="44"/>
        </w:rPr>
      </w:pPr>
    </w:p>
    <w:p>
      <w:pPr>
        <w:spacing w:line="240" w:lineRule="auto"/>
        <w:jc w:val="center"/>
        <w:rPr>
          <w:rFonts w:ascii="宋体" w:hAnsi="宋体" w:eastAsia="宋体"/>
          <w:b/>
          <w:color w:val="auto"/>
          <w:sz w:val="44"/>
          <w:szCs w:val="44"/>
        </w:rPr>
      </w:pPr>
    </w:p>
    <w:p>
      <w:pPr>
        <w:spacing w:line="240" w:lineRule="auto"/>
        <w:jc w:val="center"/>
        <w:rPr>
          <w:rFonts w:ascii="宋体" w:hAnsi="宋体" w:eastAsia="宋体"/>
          <w:b/>
          <w:color w:val="auto"/>
          <w:sz w:val="44"/>
          <w:szCs w:val="44"/>
        </w:rPr>
      </w:pPr>
    </w:p>
    <w:p>
      <w:pPr>
        <w:spacing w:line="240" w:lineRule="auto"/>
        <w:jc w:val="center"/>
        <w:rPr>
          <w:rFonts w:ascii="宋体" w:hAnsi="宋体" w:eastAsia="宋体"/>
          <w:b/>
          <w:color w:val="auto"/>
          <w:sz w:val="44"/>
          <w:szCs w:val="44"/>
        </w:rPr>
      </w:pPr>
    </w:p>
    <w:p>
      <w:pPr>
        <w:spacing w:line="240" w:lineRule="auto"/>
        <w:jc w:val="center"/>
        <w:rPr>
          <w:rFonts w:ascii="宋体" w:hAnsi="宋体" w:eastAsia="宋体"/>
          <w:b/>
          <w:color w:val="auto"/>
          <w:sz w:val="44"/>
          <w:szCs w:val="44"/>
        </w:rPr>
      </w:pPr>
    </w:p>
    <w:p>
      <w:pPr>
        <w:spacing w:line="240" w:lineRule="auto"/>
        <w:jc w:val="center"/>
        <w:rPr>
          <w:rFonts w:ascii="宋体" w:hAnsi="宋体" w:eastAsia="宋体"/>
          <w:b/>
          <w:color w:val="auto"/>
          <w:sz w:val="44"/>
          <w:szCs w:val="44"/>
        </w:rPr>
      </w:pPr>
    </w:p>
    <w:p>
      <w:pPr>
        <w:spacing w:line="240" w:lineRule="auto"/>
        <w:jc w:val="center"/>
        <w:rPr>
          <w:rFonts w:ascii="宋体" w:hAnsi="宋体" w:eastAsia="宋体"/>
          <w:b/>
          <w:color w:val="auto"/>
          <w:sz w:val="44"/>
          <w:szCs w:val="44"/>
        </w:rPr>
      </w:pPr>
    </w:p>
    <w:p>
      <w:pPr>
        <w:spacing w:line="240" w:lineRule="auto"/>
        <w:jc w:val="center"/>
        <w:rPr>
          <w:rFonts w:ascii="宋体" w:hAnsi="宋体" w:eastAsia="宋体"/>
          <w:b/>
          <w:color w:val="auto"/>
          <w:sz w:val="44"/>
          <w:szCs w:val="44"/>
        </w:rPr>
      </w:pPr>
    </w:p>
    <w:p>
      <w:pPr>
        <w:spacing w:line="360" w:lineRule="auto"/>
        <w:jc w:val="center"/>
        <w:rPr>
          <w:rFonts w:hint="default" w:ascii="楷体" w:hAnsi="楷体" w:eastAsia="楷体"/>
          <w:b/>
          <w:color w:val="auto"/>
          <w:sz w:val="32"/>
          <w:szCs w:val="32"/>
          <w:lang w:val="en-US" w:eastAsia="zh-CN"/>
        </w:rPr>
      </w:pPr>
      <w:r>
        <w:rPr>
          <w:rFonts w:hint="eastAsia" w:ascii="楷体" w:hAnsi="楷体" w:eastAsia="楷体"/>
          <w:b/>
          <w:color w:val="auto"/>
          <w:sz w:val="32"/>
          <w:szCs w:val="32"/>
          <w:lang w:val="en-US" w:eastAsia="zh-CN"/>
        </w:rPr>
        <w:t>开平市科工商务局</w:t>
      </w:r>
    </w:p>
    <w:p>
      <w:pPr>
        <w:spacing w:line="360" w:lineRule="auto"/>
        <w:jc w:val="center"/>
        <w:rPr>
          <w:rFonts w:ascii="楷体" w:hAnsi="楷体" w:eastAsia="楷体"/>
          <w:b/>
          <w:color w:val="auto"/>
          <w:sz w:val="32"/>
          <w:szCs w:val="32"/>
        </w:rPr>
      </w:pPr>
      <w:r>
        <w:rPr>
          <w:rFonts w:hint="eastAsia" w:ascii="楷体" w:hAnsi="楷体" w:eastAsia="楷体"/>
          <w:b/>
          <w:color w:val="auto"/>
          <w:sz w:val="32"/>
          <w:szCs w:val="32"/>
          <w:lang w:val="en-US" w:eastAsia="zh-CN"/>
        </w:rPr>
        <w:t>2026</w:t>
      </w:r>
      <w:r>
        <w:rPr>
          <w:rFonts w:ascii="楷体" w:hAnsi="楷体" w:eastAsia="楷体"/>
          <w:b/>
          <w:color w:val="auto"/>
          <w:sz w:val="32"/>
          <w:szCs w:val="32"/>
        </w:rPr>
        <w:t>年</w:t>
      </w:r>
      <w:r>
        <w:rPr>
          <w:rFonts w:hint="eastAsia" w:ascii="楷体" w:hAnsi="楷体" w:eastAsia="楷体"/>
          <w:b/>
          <w:color w:val="auto"/>
          <w:sz w:val="32"/>
          <w:szCs w:val="32"/>
          <w:lang w:val="en-US" w:eastAsia="zh-CN"/>
        </w:rPr>
        <w:t>7</w:t>
      </w:r>
      <w:r>
        <w:rPr>
          <w:rFonts w:ascii="楷体" w:hAnsi="楷体" w:eastAsia="楷体"/>
          <w:b/>
          <w:color w:val="auto"/>
          <w:sz w:val="32"/>
          <w:szCs w:val="32"/>
        </w:rPr>
        <w:t>月</w:t>
      </w:r>
    </w:p>
    <w:p>
      <w:pPr>
        <w:spacing w:line="240" w:lineRule="auto"/>
        <w:jc w:val="center"/>
        <w:rPr>
          <w:rFonts w:hint="eastAsia" w:ascii="方正小标宋简体" w:hAnsi="方正小标宋简体" w:eastAsia="方正小标宋简体" w:cs="方正小标宋简体"/>
          <w:b/>
          <w:color w:val="auto"/>
          <w:sz w:val="32"/>
          <w:szCs w:val="32"/>
        </w:rPr>
        <w:sectPr>
          <w:pgSz w:w="11906" w:h="16838"/>
          <w:pgMar w:top="1440" w:right="1800" w:bottom="1440" w:left="1800" w:header="851" w:footer="992" w:gutter="0"/>
          <w:cols w:space="425" w:num="1"/>
          <w:docGrid w:type="lines" w:linePitch="312" w:charSpace="0"/>
        </w:sectPr>
      </w:pPr>
    </w:p>
    <w:p>
      <w:pPr>
        <w:spacing w:line="240" w:lineRule="auto"/>
        <w:jc w:val="center"/>
        <w:rPr>
          <w:rFonts w:hint="eastAsia" w:ascii="方正小标宋简体" w:hAnsi="方正小标宋简体" w:eastAsia="方正小标宋简体" w:cs="方正小标宋简体"/>
          <w:b/>
          <w:color w:val="auto"/>
          <w:sz w:val="32"/>
          <w:szCs w:val="32"/>
        </w:rPr>
        <w:sectPr>
          <w:pgSz w:w="11906" w:h="16838"/>
          <w:pgMar w:top="1440" w:right="1800" w:bottom="1440" w:left="1800" w:header="851" w:footer="992" w:gutter="0"/>
          <w:cols w:space="425" w:num="1"/>
          <w:docGrid w:type="lines" w:linePitch="312" w:charSpace="0"/>
        </w:sectPr>
      </w:pPr>
    </w:p>
    <w:sdt>
      <w:sdtPr>
        <w:rPr>
          <w:rFonts w:ascii="宋体" w:hAnsi="宋体" w:eastAsia="宋体" w:cstheme="minorBidi"/>
          <w:color w:val="auto"/>
          <w:kern w:val="2"/>
          <w:sz w:val="28"/>
          <w:szCs w:val="28"/>
          <w:lang w:val="en-US" w:eastAsia="zh-CN" w:bidi="ar-SA"/>
        </w:rPr>
        <w:id w:val="147454450"/>
        <w15:color w:val="DBDBDB"/>
        <w:docPartObj>
          <w:docPartGallery w:val="Table of Contents"/>
          <w:docPartUnique/>
        </w:docPartObj>
      </w:sdtPr>
      <w:sdtEndPr>
        <w:rPr>
          <w:rFonts w:hint="eastAsia" w:ascii="黑体" w:hAnsi="黑体" w:eastAsia="黑体" w:cs="黑体"/>
          <w:color w:val="auto"/>
          <w:kern w:val="2"/>
          <w:sz w:val="28"/>
          <w:szCs w:val="28"/>
          <w:lang w:val="en-US" w:eastAsia="zh-CN" w:bidi="ar-SA"/>
        </w:rPr>
      </w:sdtEndPr>
      <w:sdtContent>
        <w:p>
          <w:pPr>
            <w:spacing w:before="0" w:beforeLines="0" w:after="0" w:afterLines="0" w:line="240" w:lineRule="auto"/>
            <w:ind w:left="0" w:leftChars="0" w:right="0" w:rightChars="0" w:firstLine="0" w:firstLineChars="0"/>
            <w:jc w:val="center"/>
            <w:rPr>
              <w:color w:val="auto"/>
              <w:sz w:val="28"/>
              <w:szCs w:val="28"/>
            </w:rPr>
          </w:pPr>
          <w:r>
            <w:rPr>
              <w:rFonts w:ascii="宋体" w:hAnsi="宋体" w:eastAsia="宋体"/>
              <w:color w:val="auto"/>
              <w:sz w:val="28"/>
              <w:szCs w:val="28"/>
            </w:rPr>
            <w:t>目录</w:t>
          </w:r>
        </w:p>
        <w:p>
          <w:pPr>
            <w:pStyle w:val="8"/>
            <w:tabs>
              <w:tab w:val="right" w:leader="dot" w:pos="8306"/>
            </w:tabs>
            <w:rPr>
              <w:color w:val="auto"/>
            </w:rPr>
          </w:pPr>
          <w:r>
            <w:rPr>
              <w:rFonts w:hint="eastAsia" w:ascii="黑体" w:hAnsi="黑体" w:eastAsia="黑体" w:cs="黑体"/>
              <w:color w:val="auto"/>
              <w:sz w:val="28"/>
              <w:szCs w:val="28"/>
              <w:lang w:val="en-US" w:eastAsia="zh-CN"/>
            </w:rPr>
            <w:fldChar w:fldCharType="begin"/>
          </w:r>
          <w:r>
            <w:rPr>
              <w:rFonts w:hint="eastAsia" w:ascii="黑体" w:hAnsi="黑体" w:eastAsia="黑体" w:cs="黑体"/>
              <w:color w:val="auto"/>
              <w:sz w:val="28"/>
              <w:szCs w:val="28"/>
              <w:lang w:val="en-US" w:eastAsia="zh-CN"/>
            </w:rPr>
            <w:instrText xml:space="preserve">TOC \o "1-2" \h \u </w:instrText>
          </w:r>
          <w:r>
            <w:rPr>
              <w:rFonts w:hint="eastAsia" w:ascii="黑体" w:hAnsi="黑体" w:eastAsia="黑体" w:cs="黑体"/>
              <w:color w:val="auto"/>
              <w:sz w:val="28"/>
              <w:szCs w:val="28"/>
              <w:lang w:val="en-US" w:eastAsia="zh-CN"/>
            </w:rPr>
            <w:fldChar w:fldCharType="separate"/>
          </w: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_Toc30875 </w:instrText>
          </w:r>
          <w:r>
            <w:rPr>
              <w:rFonts w:hint="eastAsia" w:ascii="黑体" w:hAnsi="黑体" w:eastAsia="黑体" w:cs="黑体"/>
              <w:color w:val="auto"/>
              <w:szCs w:val="28"/>
              <w:lang w:val="en-US" w:eastAsia="zh-CN"/>
            </w:rPr>
            <w:fldChar w:fldCharType="separate"/>
          </w:r>
          <w:r>
            <w:rPr>
              <w:rFonts w:hint="eastAsia" w:ascii="黑体" w:hAnsi="黑体" w:eastAsia="黑体" w:cs="黑体"/>
              <w:color w:val="auto"/>
              <w:szCs w:val="32"/>
              <w:lang w:val="en-US" w:eastAsia="zh-CN"/>
            </w:rPr>
            <w:t>前 言</w:t>
          </w:r>
          <w:r>
            <w:rPr>
              <w:color w:val="auto"/>
            </w:rPr>
            <w:tab/>
          </w:r>
          <w:r>
            <w:rPr>
              <w:color w:val="auto"/>
            </w:rPr>
            <w:fldChar w:fldCharType="begin"/>
          </w:r>
          <w:r>
            <w:rPr>
              <w:color w:val="auto"/>
            </w:rPr>
            <w:instrText xml:space="preserve"> PAGEREF _Toc30875 \h </w:instrText>
          </w:r>
          <w:r>
            <w:rPr>
              <w:color w:val="auto"/>
            </w:rPr>
            <w:fldChar w:fldCharType="separate"/>
          </w:r>
          <w:r>
            <w:rPr>
              <w:color w:val="auto"/>
            </w:rPr>
            <w:t>1</w:t>
          </w:r>
          <w:r>
            <w:rPr>
              <w:color w:val="auto"/>
            </w:rPr>
            <w:fldChar w:fldCharType="end"/>
          </w:r>
          <w:r>
            <w:rPr>
              <w:rFonts w:hint="eastAsia" w:ascii="黑体" w:hAnsi="黑体" w:eastAsia="黑体" w:cs="黑体"/>
              <w:color w:val="auto"/>
              <w:szCs w:val="28"/>
              <w:lang w:val="en-US" w:eastAsia="zh-CN"/>
            </w:rPr>
            <w:fldChar w:fldCharType="end"/>
          </w:r>
        </w:p>
        <w:p>
          <w:pPr>
            <w:pStyle w:val="8"/>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_Toc16513 </w:instrText>
          </w:r>
          <w:r>
            <w:rPr>
              <w:rFonts w:hint="eastAsia" w:ascii="黑体" w:hAnsi="黑体" w:eastAsia="黑体" w:cs="黑体"/>
              <w:color w:val="auto"/>
              <w:szCs w:val="28"/>
              <w:lang w:val="en-US" w:eastAsia="zh-CN"/>
            </w:rPr>
            <w:fldChar w:fldCharType="separate"/>
          </w:r>
          <w:r>
            <w:rPr>
              <w:rFonts w:hint="eastAsia" w:ascii="黑体" w:hAnsi="黑体" w:eastAsia="黑体" w:cs="黑体"/>
              <w:color w:val="auto"/>
              <w:szCs w:val="32"/>
              <w:lang w:val="en-US" w:eastAsia="zh-CN"/>
            </w:rPr>
            <w:t>第一章 发展现状与形势</w:t>
          </w:r>
          <w:r>
            <w:rPr>
              <w:color w:val="auto"/>
            </w:rPr>
            <w:tab/>
          </w:r>
          <w:r>
            <w:rPr>
              <w:color w:val="auto"/>
            </w:rPr>
            <w:fldChar w:fldCharType="begin"/>
          </w:r>
          <w:r>
            <w:rPr>
              <w:color w:val="auto"/>
            </w:rPr>
            <w:instrText xml:space="preserve"> PAGEREF _Toc16513 \h </w:instrText>
          </w:r>
          <w:r>
            <w:rPr>
              <w:color w:val="auto"/>
            </w:rPr>
            <w:fldChar w:fldCharType="separate"/>
          </w:r>
          <w:r>
            <w:rPr>
              <w:color w:val="auto"/>
            </w:rPr>
            <w:t>2</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_Toc1730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第一节 “十四五”期间发展现状</w:t>
          </w:r>
          <w:r>
            <w:rPr>
              <w:color w:val="auto"/>
            </w:rPr>
            <w:tab/>
          </w:r>
          <w:r>
            <w:rPr>
              <w:color w:val="auto"/>
            </w:rPr>
            <w:fldChar w:fldCharType="begin"/>
          </w:r>
          <w:r>
            <w:rPr>
              <w:color w:val="auto"/>
            </w:rPr>
            <w:instrText xml:space="preserve"> PAGEREF _Toc1730 \h </w:instrText>
          </w:r>
          <w:r>
            <w:rPr>
              <w:color w:val="auto"/>
            </w:rPr>
            <w:fldChar w:fldCharType="separate"/>
          </w:r>
          <w:r>
            <w:rPr>
              <w:color w:val="auto"/>
            </w:rPr>
            <w:t>2</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_Toc25493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第二节 “十五五”时期面临形势</w:t>
          </w:r>
          <w:r>
            <w:rPr>
              <w:color w:val="auto"/>
            </w:rPr>
            <w:tab/>
          </w:r>
          <w:r>
            <w:rPr>
              <w:color w:val="auto"/>
            </w:rPr>
            <w:fldChar w:fldCharType="begin"/>
          </w:r>
          <w:r>
            <w:rPr>
              <w:color w:val="auto"/>
            </w:rPr>
            <w:instrText xml:space="preserve"> PAGEREF _Toc25493 \h </w:instrText>
          </w:r>
          <w:r>
            <w:rPr>
              <w:color w:val="auto"/>
            </w:rPr>
            <w:fldChar w:fldCharType="separate"/>
          </w:r>
          <w:r>
            <w:rPr>
              <w:color w:val="auto"/>
            </w:rPr>
            <w:t>4</w:t>
          </w:r>
          <w:r>
            <w:rPr>
              <w:color w:val="auto"/>
            </w:rPr>
            <w:fldChar w:fldCharType="end"/>
          </w:r>
          <w:r>
            <w:rPr>
              <w:rFonts w:hint="eastAsia" w:ascii="黑体" w:hAnsi="黑体" w:eastAsia="黑体" w:cs="黑体"/>
              <w:color w:val="auto"/>
              <w:szCs w:val="28"/>
              <w:lang w:val="en-US" w:eastAsia="zh-CN"/>
            </w:rPr>
            <w:fldChar w:fldCharType="end"/>
          </w:r>
        </w:p>
        <w:p>
          <w:pPr>
            <w:pStyle w:val="8"/>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_Toc25100 </w:instrText>
          </w:r>
          <w:r>
            <w:rPr>
              <w:rFonts w:hint="eastAsia" w:ascii="黑体" w:hAnsi="黑体" w:eastAsia="黑体" w:cs="黑体"/>
              <w:color w:val="auto"/>
              <w:szCs w:val="28"/>
              <w:lang w:val="en-US" w:eastAsia="zh-CN"/>
            </w:rPr>
            <w:fldChar w:fldCharType="separate"/>
          </w:r>
          <w:r>
            <w:rPr>
              <w:rFonts w:hint="eastAsia" w:ascii="黑体" w:hAnsi="黑体" w:eastAsia="黑体" w:cs="黑体"/>
              <w:color w:val="auto"/>
              <w:szCs w:val="32"/>
              <w:lang w:val="en-US" w:eastAsia="zh-CN"/>
            </w:rPr>
            <w:t>第二章 总体要求</w:t>
          </w:r>
          <w:r>
            <w:rPr>
              <w:color w:val="auto"/>
            </w:rPr>
            <w:tab/>
          </w:r>
          <w:r>
            <w:rPr>
              <w:color w:val="auto"/>
            </w:rPr>
            <w:fldChar w:fldCharType="begin"/>
          </w:r>
          <w:r>
            <w:rPr>
              <w:color w:val="auto"/>
            </w:rPr>
            <w:instrText xml:space="preserve"> PAGEREF _Toc25100 \h </w:instrText>
          </w:r>
          <w:r>
            <w:rPr>
              <w:color w:val="auto"/>
            </w:rPr>
            <w:fldChar w:fldCharType="separate"/>
          </w:r>
          <w:r>
            <w:rPr>
              <w:color w:val="auto"/>
            </w:rPr>
            <w:t>7</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_Toc31941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kern w:val="0"/>
              <w:szCs w:val="32"/>
              <w:lang w:val="en-US" w:eastAsia="zh-CN" w:bidi="ar"/>
            </w:rPr>
            <w:t xml:space="preserve">第一节 </w:t>
          </w:r>
          <w:r>
            <w:rPr>
              <w:rFonts w:hint="eastAsia" w:ascii="楷体" w:hAnsi="楷体" w:eastAsia="楷体" w:cs="楷体"/>
              <w:bCs/>
              <w:color w:val="auto"/>
              <w:kern w:val="0"/>
              <w:szCs w:val="32"/>
              <w:lang w:bidi="ar"/>
            </w:rPr>
            <w:t>指导思想</w:t>
          </w:r>
          <w:r>
            <w:rPr>
              <w:color w:val="auto"/>
            </w:rPr>
            <w:tab/>
          </w:r>
          <w:r>
            <w:rPr>
              <w:color w:val="auto"/>
            </w:rPr>
            <w:fldChar w:fldCharType="begin"/>
          </w:r>
          <w:r>
            <w:rPr>
              <w:color w:val="auto"/>
            </w:rPr>
            <w:instrText xml:space="preserve"> PAGEREF _Toc31941 \h </w:instrText>
          </w:r>
          <w:r>
            <w:rPr>
              <w:color w:val="auto"/>
            </w:rPr>
            <w:fldChar w:fldCharType="separate"/>
          </w:r>
          <w:r>
            <w:rPr>
              <w:color w:val="auto"/>
            </w:rPr>
            <w:t>7</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_Toc11117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 xml:space="preserve">第二节 </w:t>
          </w:r>
          <w:r>
            <w:rPr>
              <w:rFonts w:hint="eastAsia" w:ascii="楷体" w:hAnsi="楷体" w:eastAsia="楷体" w:cs="楷体"/>
              <w:bCs/>
              <w:color w:val="auto"/>
              <w:szCs w:val="32"/>
            </w:rPr>
            <w:t>基本原则</w:t>
          </w:r>
          <w:r>
            <w:rPr>
              <w:color w:val="auto"/>
            </w:rPr>
            <w:tab/>
          </w:r>
          <w:r>
            <w:rPr>
              <w:color w:val="auto"/>
            </w:rPr>
            <w:fldChar w:fldCharType="begin"/>
          </w:r>
          <w:r>
            <w:rPr>
              <w:color w:val="auto"/>
            </w:rPr>
            <w:instrText xml:space="preserve"> PAGEREF _Toc11117 \h </w:instrText>
          </w:r>
          <w:r>
            <w:rPr>
              <w:color w:val="auto"/>
            </w:rPr>
            <w:fldChar w:fldCharType="separate"/>
          </w:r>
          <w:r>
            <w:rPr>
              <w:color w:val="auto"/>
            </w:rPr>
            <w:t>7</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_Toc8041 </w:instrText>
          </w:r>
          <w:r>
            <w:rPr>
              <w:rFonts w:hint="eastAsia" w:ascii="黑体" w:hAnsi="黑体" w:eastAsia="黑体" w:cs="黑体"/>
              <w:color w:val="auto"/>
              <w:szCs w:val="28"/>
              <w:lang w:val="en-US" w:eastAsia="zh-CN"/>
            </w:rPr>
            <w:fldChar w:fldCharType="separate"/>
          </w:r>
          <w:r>
            <w:rPr>
              <w:rFonts w:hint="eastAsia" w:ascii="楷体" w:hAnsi="楷体" w:eastAsia="楷体" w:cs="楷体"/>
              <w:color w:val="auto"/>
              <w:szCs w:val="32"/>
              <w:highlight w:val="none"/>
              <w:lang w:val="en-US" w:eastAsia="zh-CN"/>
            </w:rPr>
            <w:t>第三节 战略定位</w:t>
          </w:r>
          <w:r>
            <w:rPr>
              <w:color w:val="auto"/>
            </w:rPr>
            <w:tab/>
          </w:r>
          <w:r>
            <w:rPr>
              <w:color w:val="auto"/>
            </w:rPr>
            <w:fldChar w:fldCharType="begin"/>
          </w:r>
          <w:r>
            <w:rPr>
              <w:color w:val="auto"/>
            </w:rPr>
            <w:instrText xml:space="preserve"> PAGEREF _Toc8041 \h </w:instrText>
          </w:r>
          <w:r>
            <w:rPr>
              <w:color w:val="auto"/>
            </w:rPr>
            <w:fldChar w:fldCharType="separate"/>
          </w:r>
          <w:r>
            <w:rPr>
              <w:color w:val="auto"/>
            </w:rPr>
            <w:t>8</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_Toc3660 </w:instrText>
          </w:r>
          <w:r>
            <w:rPr>
              <w:rFonts w:hint="eastAsia" w:ascii="黑体" w:hAnsi="黑体" w:eastAsia="黑体" w:cs="黑体"/>
              <w:color w:val="auto"/>
              <w:szCs w:val="28"/>
              <w:lang w:val="en-US" w:eastAsia="zh-CN"/>
            </w:rPr>
            <w:fldChar w:fldCharType="separate"/>
          </w:r>
          <w:r>
            <w:rPr>
              <w:rFonts w:hint="eastAsia" w:ascii="楷体" w:hAnsi="楷体" w:eastAsia="楷体" w:cs="楷体"/>
              <w:color w:val="auto"/>
              <w:szCs w:val="32"/>
              <w:highlight w:val="none"/>
              <w:lang w:val="en-US" w:eastAsia="zh-CN"/>
            </w:rPr>
            <w:t>第四节 建设目标</w:t>
          </w:r>
          <w:r>
            <w:rPr>
              <w:color w:val="auto"/>
            </w:rPr>
            <w:tab/>
          </w:r>
          <w:r>
            <w:rPr>
              <w:color w:val="auto"/>
            </w:rPr>
            <w:fldChar w:fldCharType="begin"/>
          </w:r>
          <w:r>
            <w:rPr>
              <w:color w:val="auto"/>
            </w:rPr>
            <w:instrText xml:space="preserve"> PAGEREF _Toc3660 \h </w:instrText>
          </w:r>
          <w:r>
            <w:rPr>
              <w:color w:val="auto"/>
            </w:rPr>
            <w:fldChar w:fldCharType="separate"/>
          </w:r>
          <w:r>
            <w:rPr>
              <w:color w:val="auto"/>
            </w:rPr>
            <w:t>8</w:t>
          </w:r>
          <w:r>
            <w:rPr>
              <w:color w:val="auto"/>
            </w:rPr>
            <w:fldChar w:fldCharType="end"/>
          </w:r>
          <w:r>
            <w:rPr>
              <w:rFonts w:hint="eastAsia" w:ascii="黑体" w:hAnsi="黑体" w:eastAsia="黑体" w:cs="黑体"/>
              <w:color w:val="auto"/>
              <w:szCs w:val="28"/>
              <w:lang w:val="en-US" w:eastAsia="zh-CN"/>
            </w:rPr>
            <w:fldChar w:fldCharType="end"/>
          </w:r>
        </w:p>
        <w:p>
          <w:pPr>
            <w:pStyle w:val="8"/>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_Toc16653 </w:instrText>
          </w:r>
          <w:r>
            <w:rPr>
              <w:rFonts w:hint="eastAsia" w:ascii="黑体" w:hAnsi="黑体" w:eastAsia="黑体" w:cs="黑体"/>
              <w:color w:val="auto"/>
              <w:szCs w:val="28"/>
              <w:lang w:val="en-US" w:eastAsia="zh-CN"/>
            </w:rPr>
            <w:fldChar w:fldCharType="separate"/>
          </w:r>
          <w:r>
            <w:rPr>
              <w:rFonts w:hint="eastAsia" w:ascii="黑体" w:hAnsi="黑体" w:eastAsia="黑体" w:cs="黑体"/>
              <w:color w:val="auto"/>
              <w:szCs w:val="32"/>
              <w:lang w:val="en-US" w:eastAsia="zh-CN"/>
            </w:rPr>
            <w:t>第三章 加大科技创新力度</w:t>
          </w:r>
          <w:r>
            <w:rPr>
              <w:color w:val="auto"/>
            </w:rPr>
            <w:tab/>
          </w:r>
          <w:r>
            <w:rPr>
              <w:color w:val="auto"/>
            </w:rPr>
            <w:fldChar w:fldCharType="begin"/>
          </w:r>
          <w:r>
            <w:rPr>
              <w:color w:val="auto"/>
            </w:rPr>
            <w:instrText xml:space="preserve"> PAGEREF _Toc16653 \h </w:instrText>
          </w:r>
          <w:r>
            <w:rPr>
              <w:color w:val="auto"/>
            </w:rPr>
            <w:fldChar w:fldCharType="separate"/>
          </w:r>
          <w:r>
            <w:rPr>
              <w:color w:val="auto"/>
            </w:rPr>
            <w:t>12</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_Toc19133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第一节 提高基础研究水平</w:t>
          </w:r>
          <w:r>
            <w:rPr>
              <w:color w:val="auto"/>
            </w:rPr>
            <w:tab/>
          </w:r>
          <w:r>
            <w:rPr>
              <w:color w:val="auto"/>
            </w:rPr>
            <w:fldChar w:fldCharType="begin"/>
          </w:r>
          <w:r>
            <w:rPr>
              <w:color w:val="auto"/>
            </w:rPr>
            <w:instrText xml:space="preserve"> PAGEREF _Toc19133 \h </w:instrText>
          </w:r>
          <w:r>
            <w:rPr>
              <w:color w:val="auto"/>
            </w:rPr>
            <w:fldChar w:fldCharType="separate"/>
          </w:r>
          <w:r>
            <w:rPr>
              <w:color w:val="auto"/>
            </w:rPr>
            <w:t>12</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_Toc10056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第二节 激发企业创新活力</w:t>
          </w:r>
          <w:r>
            <w:rPr>
              <w:color w:val="auto"/>
            </w:rPr>
            <w:tab/>
          </w:r>
          <w:r>
            <w:rPr>
              <w:color w:val="auto"/>
            </w:rPr>
            <w:fldChar w:fldCharType="begin"/>
          </w:r>
          <w:r>
            <w:rPr>
              <w:color w:val="auto"/>
            </w:rPr>
            <w:instrText xml:space="preserve"> PAGEREF _Toc10056 \h </w:instrText>
          </w:r>
          <w:r>
            <w:rPr>
              <w:color w:val="auto"/>
            </w:rPr>
            <w:fldChar w:fldCharType="separate"/>
          </w:r>
          <w:r>
            <w:rPr>
              <w:color w:val="auto"/>
            </w:rPr>
            <w:t>12</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_Toc18049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第三节 拓展科技合作</w:t>
          </w:r>
          <w:r>
            <w:rPr>
              <w:color w:val="auto"/>
            </w:rPr>
            <w:tab/>
          </w:r>
          <w:r>
            <w:rPr>
              <w:color w:val="auto"/>
            </w:rPr>
            <w:fldChar w:fldCharType="begin"/>
          </w:r>
          <w:r>
            <w:rPr>
              <w:color w:val="auto"/>
            </w:rPr>
            <w:instrText xml:space="preserve"> PAGEREF _Toc18049 \h </w:instrText>
          </w:r>
          <w:r>
            <w:rPr>
              <w:color w:val="auto"/>
            </w:rPr>
            <w:fldChar w:fldCharType="separate"/>
          </w:r>
          <w:r>
            <w:rPr>
              <w:color w:val="auto"/>
            </w:rPr>
            <w:t>13</w:t>
          </w:r>
          <w:r>
            <w:rPr>
              <w:color w:val="auto"/>
            </w:rPr>
            <w:fldChar w:fldCharType="end"/>
          </w:r>
          <w:r>
            <w:rPr>
              <w:rFonts w:hint="eastAsia" w:ascii="黑体" w:hAnsi="黑体" w:eastAsia="黑体" w:cs="黑体"/>
              <w:color w:val="auto"/>
              <w:szCs w:val="28"/>
              <w:lang w:val="en-US" w:eastAsia="zh-CN"/>
            </w:rPr>
            <w:fldChar w:fldCharType="end"/>
          </w:r>
        </w:p>
        <w:p>
          <w:pPr>
            <w:pStyle w:val="8"/>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_Toc9529 </w:instrText>
          </w:r>
          <w:r>
            <w:rPr>
              <w:rFonts w:hint="eastAsia" w:ascii="黑体" w:hAnsi="黑体" w:eastAsia="黑体" w:cs="黑体"/>
              <w:color w:val="auto"/>
              <w:szCs w:val="28"/>
              <w:lang w:val="en-US" w:eastAsia="zh-CN"/>
            </w:rPr>
            <w:fldChar w:fldCharType="separate"/>
          </w:r>
          <w:r>
            <w:rPr>
              <w:rFonts w:hint="eastAsia" w:ascii="黑体" w:hAnsi="黑体" w:eastAsia="黑体" w:cs="黑体"/>
              <w:color w:val="auto"/>
              <w:szCs w:val="32"/>
              <w:lang w:val="en-US" w:eastAsia="zh-CN"/>
            </w:rPr>
            <w:t>第四章 深化产业和科技互促双强</w:t>
          </w:r>
          <w:r>
            <w:rPr>
              <w:color w:val="auto"/>
            </w:rPr>
            <w:tab/>
          </w:r>
          <w:r>
            <w:rPr>
              <w:color w:val="auto"/>
            </w:rPr>
            <w:fldChar w:fldCharType="begin"/>
          </w:r>
          <w:r>
            <w:rPr>
              <w:color w:val="auto"/>
            </w:rPr>
            <w:instrText xml:space="preserve"> PAGEREF _Toc9529 \h </w:instrText>
          </w:r>
          <w:r>
            <w:rPr>
              <w:color w:val="auto"/>
            </w:rPr>
            <w:fldChar w:fldCharType="separate"/>
          </w:r>
          <w:r>
            <w:rPr>
              <w:color w:val="auto"/>
            </w:rPr>
            <w:t>14</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_Toc795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第一节 加强产学研协同创新</w:t>
          </w:r>
          <w:r>
            <w:rPr>
              <w:color w:val="auto"/>
            </w:rPr>
            <w:tab/>
          </w:r>
          <w:r>
            <w:rPr>
              <w:color w:val="auto"/>
            </w:rPr>
            <w:fldChar w:fldCharType="begin"/>
          </w:r>
          <w:r>
            <w:rPr>
              <w:color w:val="auto"/>
            </w:rPr>
            <w:instrText xml:space="preserve"> PAGEREF _Toc795 \h </w:instrText>
          </w:r>
          <w:r>
            <w:rPr>
              <w:color w:val="auto"/>
            </w:rPr>
            <w:fldChar w:fldCharType="separate"/>
          </w:r>
          <w:r>
            <w:rPr>
              <w:color w:val="auto"/>
            </w:rPr>
            <w:t>14</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_Toc11719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第二节 畅通科技成果转化通道</w:t>
          </w:r>
          <w:r>
            <w:rPr>
              <w:color w:val="auto"/>
            </w:rPr>
            <w:tab/>
          </w:r>
          <w:r>
            <w:rPr>
              <w:color w:val="auto"/>
            </w:rPr>
            <w:fldChar w:fldCharType="begin"/>
          </w:r>
          <w:r>
            <w:rPr>
              <w:color w:val="auto"/>
            </w:rPr>
            <w:instrText xml:space="preserve"> PAGEREF _Toc11719 \h </w:instrText>
          </w:r>
          <w:r>
            <w:rPr>
              <w:color w:val="auto"/>
            </w:rPr>
            <w:fldChar w:fldCharType="separate"/>
          </w:r>
          <w:r>
            <w:rPr>
              <w:color w:val="auto"/>
            </w:rPr>
            <w:t>14</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_Toc2428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第三节 强化创新全链条专业支撑</w:t>
          </w:r>
          <w:r>
            <w:rPr>
              <w:color w:val="auto"/>
            </w:rPr>
            <w:tab/>
          </w:r>
          <w:r>
            <w:rPr>
              <w:color w:val="auto"/>
            </w:rPr>
            <w:fldChar w:fldCharType="begin"/>
          </w:r>
          <w:r>
            <w:rPr>
              <w:color w:val="auto"/>
            </w:rPr>
            <w:instrText xml:space="preserve"> PAGEREF _Toc2428 \h </w:instrText>
          </w:r>
          <w:r>
            <w:rPr>
              <w:color w:val="auto"/>
            </w:rPr>
            <w:fldChar w:fldCharType="separate"/>
          </w:r>
          <w:r>
            <w:rPr>
              <w:color w:val="auto"/>
            </w:rPr>
            <w:t>14</w:t>
          </w:r>
          <w:r>
            <w:rPr>
              <w:color w:val="auto"/>
            </w:rPr>
            <w:fldChar w:fldCharType="end"/>
          </w:r>
          <w:r>
            <w:rPr>
              <w:rFonts w:hint="eastAsia" w:ascii="黑体" w:hAnsi="黑体" w:eastAsia="黑体" w:cs="黑体"/>
              <w:color w:val="auto"/>
              <w:szCs w:val="28"/>
              <w:lang w:val="en-US" w:eastAsia="zh-CN"/>
            </w:rPr>
            <w:fldChar w:fldCharType="end"/>
          </w:r>
        </w:p>
        <w:p>
          <w:pPr>
            <w:pStyle w:val="8"/>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_Toc10530 </w:instrText>
          </w:r>
          <w:r>
            <w:rPr>
              <w:rFonts w:hint="eastAsia" w:ascii="黑体" w:hAnsi="黑体" w:eastAsia="黑体" w:cs="黑体"/>
              <w:color w:val="auto"/>
              <w:szCs w:val="28"/>
              <w:lang w:val="en-US" w:eastAsia="zh-CN"/>
            </w:rPr>
            <w:fldChar w:fldCharType="separate"/>
          </w:r>
          <w:r>
            <w:rPr>
              <w:rFonts w:hint="eastAsia" w:ascii="黑体" w:hAnsi="黑体" w:eastAsia="黑体" w:cs="黑体"/>
              <w:color w:val="auto"/>
              <w:szCs w:val="32"/>
              <w:lang w:val="en-US" w:eastAsia="zh-CN"/>
            </w:rPr>
            <w:t>第五章 构建具有开平特色的先进制造业体系</w:t>
          </w:r>
          <w:r>
            <w:rPr>
              <w:color w:val="auto"/>
            </w:rPr>
            <w:tab/>
          </w:r>
          <w:r>
            <w:rPr>
              <w:color w:val="auto"/>
            </w:rPr>
            <w:fldChar w:fldCharType="begin"/>
          </w:r>
          <w:r>
            <w:rPr>
              <w:color w:val="auto"/>
            </w:rPr>
            <w:instrText xml:space="preserve"> PAGEREF _Toc10530 \h </w:instrText>
          </w:r>
          <w:r>
            <w:rPr>
              <w:color w:val="auto"/>
            </w:rPr>
            <w:fldChar w:fldCharType="separate"/>
          </w:r>
          <w:r>
            <w:rPr>
              <w:color w:val="auto"/>
            </w:rPr>
            <w:t>16</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_Toc8208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第一节 加快传统优势产业转型升级</w:t>
          </w:r>
          <w:r>
            <w:rPr>
              <w:color w:val="auto"/>
            </w:rPr>
            <w:tab/>
          </w:r>
          <w:r>
            <w:rPr>
              <w:color w:val="auto"/>
            </w:rPr>
            <w:fldChar w:fldCharType="begin"/>
          </w:r>
          <w:r>
            <w:rPr>
              <w:color w:val="auto"/>
            </w:rPr>
            <w:instrText xml:space="preserve"> PAGEREF _Toc8208 \h </w:instrText>
          </w:r>
          <w:r>
            <w:rPr>
              <w:color w:val="auto"/>
            </w:rPr>
            <w:fldChar w:fldCharType="separate"/>
          </w:r>
          <w:r>
            <w:rPr>
              <w:color w:val="auto"/>
            </w:rPr>
            <w:t>16</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_Toc12056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第二节 做强战略性新兴产业</w:t>
          </w:r>
          <w:r>
            <w:rPr>
              <w:color w:val="auto"/>
            </w:rPr>
            <w:tab/>
          </w:r>
          <w:r>
            <w:rPr>
              <w:color w:val="auto"/>
            </w:rPr>
            <w:fldChar w:fldCharType="begin"/>
          </w:r>
          <w:r>
            <w:rPr>
              <w:color w:val="auto"/>
            </w:rPr>
            <w:instrText xml:space="preserve"> PAGEREF _Toc12056 \h </w:instrText>
          </w:r>
          <w:r>
            <w:rPr>
              <w:color w:val="auto"/>
            </w:rPr>
            <w:fldChar w:fldCharType="separate"/>
          </w:r>
          <w:r>
            <w:rPr>
              <w:color w:val="auto"/>
            </w:rPr>
            <w:t>18</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_Toc1587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第三节 前瞻布局未来产业</w:t>
          </w:r>
          <w:r>
            <w:rPr>
              <w:color w:val="auto"/>
            </w:rPr>
            <w:tab/>
          </w:r>
          <w:r>
            <w:rPr>
              <w:color w:val="auto"/>
            </w:rPr>
            <w:fldChar w:fldCharType="begin"/>
          </w:r>
          <w:r>
            <w:rPr>
              <w:color w:val="auto"/>
            </w:rPr>
            <w:instrText xml:space="preserve"> PAGEREF _Toc1587 \h </w:instrText>
          </w:r>
          <w:r>
            <w:rPr>
              <w:color w:val="auto"/>
            </w:rPr>
            <w:fldChar w:fldCharType="separate"/>
          </w:r>
          <w:r>
            <w:rPr>
              <w:color w:val="auto"/>
            </w:rPr>
            <w:t>21</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_Toc5432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第四节 差异化发展特色产业</w:t>
          </w:r>
          <w:r>
            <w:rPr>
              <w:color w:val="auto"/>
            </w:rPr>
            <w:tab/>
          </w:r>
          <w:r>
            <w:rPr>
              <w:color w:val="auto"/>
            </w:rPr>
            <w:fldChar w:fldCharType="begin"/>
          </w:r>
          <w:r>
            <w:rPr>
              <w:color w:val="auto"/>
            </w:rPr>
            <w:instrText xml:space="preserve"> PAGEREF _Toc5432 \h </w:instrText>
          </w:r>
          <w:r>
            <w:rPr>
              <w:color w:val="auto"/>
            </w:rPr>
            <w:fldChar w:fldCharType="separate"/>
          </w:r>
          <w:r>
            <w:rPr>
              <w:color w:val="auto"/>
            </w:rPr>
            <w:t>22</w:t>
          </w:r>
          <w:r>
            <w:rPr>
              <w:color w:val="auto"/>
            </w:rPr>
            <w:fldChar w:fldCharType="end"/>
          </w:r>
          <w:r>
            <w:rPr>
              <w:rFonts w:hint="eastAsia" w:ascii="黑体" w:hAnsi="黑体" w:eastAsia="黑体" w:cs="黑体"/>
              <w:color w:val="auto"/>
              <w:szCs w:val="28"/>
              <w:lang w:val="en-US" w:eastAsia="zh-CN"/>
            </w:rPr>
            <w:fldChar w:fldCharType="end"/>
          </w:r>
        </w:p>
        <w:p>
          <w:pPr>
            <w:pStyle w:val="8"/>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_Toc2138 </w:instrText>
          </w:r>
          <w:r>
            <w:rPr>
              <w:rFonts w:hint="eastAsia" w:ascii="黑体" w:hAnsi="黑体" w:eastAsia="黑体" w:cs="黑体"/>
              <w:color w:val="auto"/>
              <w:szCs w:val="28"/>
              <w:lang w:val="en-US" w:eastAsia="zh-CN"/>
            </w:rPr>
            <w:fldChar w:fldCharType="separate"/>
          </w:r>
          <w:r>
            <w:rPr>
              <w:rFonts w:hint="eastAsia" w:ascii="黑体" w:hAnsi="黑体" w:eastAsia="黑体" w:cs="黑体"/>
              <w:color w:val="auto"/>
              <w:szCs w:val="32"/>
              <w:lang w:val="en-US" w:eastAsia="zh-CN"/>
            </w:rPr>
            <w:t>第六章 优化产业平台布局</w:t>
          </w:r>
          <w:r>
            <w:rPr>
              <w:color w:val="auto"/>
            </w:rPr>
            <w:tab/>
          </w:r>
          <w:r>
            <w:rPr>
              <w:color w:val="auto"/>
            </w:rPr>
            <w:fldChar w:fldCharType="begin"/>
          </w:r>
          <w:r>
            <w:rPr>
              <w:color w:val="auto"/>
            </w:rPr>
            <w:instrText xml:space="preserve"> PAGEREF _Toc2138 \h </w:instrText>
          </w:r>
          <w:r>
            <w:rPr>
              <w:color w:val="auto"/>
            </w:rPr>
            <w:fldChar w:fldCharType="separate"/>
          </w:r>
          <w:r>
            <w:rPr>
              <w:color w:val="auto"/>
            </w:rPr>
            <w:t>25</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_Toc6770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第一节 开平产业园区</w:t>
          </w:r>
          <w:r>
            <w:rPr>
              <w:color w:val="auto"/>
            </w:rPr>
            <w:tab/>
          </w:r>
          <w:r>
            <w:rPr>
              <w:color w:val="auto"/>
            </w:rPr>
            <w:fldChar w:fldCharType="begin"/>
          </w:r>
          <w:r>
            <w:rPr>
              <w:color w:val="auto"/>
            </w:rPr>
            <w:instrText xml:space="preserve"> PAGEREF _Toc6770 \h </w:instrText>
          </w:r>
          <w:r>
            <w:rPr>
              <w:color w:val="auto"/>
            </w:rPr>
            <w:fldChar w:fldCharType="separate"/>
          </w:r>
          <w:r>
            <w:rPr>
              <w:color w:val="auto"/>
            </w:rPr>
            <w:t>25</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_Toc20073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第二节 开平高新区</w:t>
          </w:r>
          <w:r>
            <w:rPr>
              <w:color w:val="auto"/>
            </w:rPr>
            <w:tab/>
          </w:r>
          <w:r>
            <w:rPr>
              <w:color w:val="auto"/>
            </w:rPr>
            <w:fldChar w:fldCharType="begin"/>
          </w:r>
          <w:r>
            <w:rPr>
              <w:color w:val="auto"/>
            </w:rPr>
            <w:instrText xml:space="preserve"> PAGEREF _Toc20073 \h </w:instrText>
          </w:r>
          <w:r>
            <w:rPr>
              <w:color w:val="auto"/>
            </w:rPr>
            <w:fldChar w:fldCharType="separate"/>
          </w:r>
          <w:r>
            <w:rPr>
              <w:color w:val="auto"/>
            </w:rPr>
            <w:t>25</w:t>
          </w:r>
          <w:r>
            <w:rPr>
              <w:color w:val="auto"/>
            </w:rPr>
            <w:fldChar w:fldCharType="end"/>
          </w:r>
          <w:r>
            <w:rPr>
              <w:rFonts w:hint="eastAsia" w:ascii="黑体" w:hAnsi="黑体" w:eastAsia="黑体" w:cs="黑体"/>
              <w:color w:val="auto"/>
              <w:szCs w:val="28"/>
              <w:lang w:val="en-US" w:eastAsia="zh-CN"/>
            </w:rPr>
            <w:fldChar w:fldCharType="end"/>
          </w:r>
        </w:p>
        <w:p>
          <w:pPr>
            <w:pStyle w:val="8"/>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_Toc21056 </w:instrText>
          </w:r>
          <w:r>
            <w:rPr>
              <w:rFonts w:hint="eastAsia" w:ascii="黑体" w:hAnsi="黑体" w:eastAsia="黑体" w:cs="黑体"/>
              <w:color w:val="auto"/>
              <w:szCs w:val="28"/>
              <w:lang w:val="en-US" w:eastAsia="zh-CN"/>
            </w:rPr>
            <w:fldChar w:fldCharType="separate"/>
          </w:r>
          <w:r>
            <w:rPr>
              <w:rFonts w:hint="eastAsia" w:ascii="黑体" w:hAnsi="黑体" w:eastAsia="黑体" w:cs="黑体"/>
              <w:color w:val="auto"/>
              <w:szCs w:val="32"/>
              <w:lang w:val="en-US" w:eastAsia="zh-CN"/>
            </w:rPr>
            <w:t>第七章 重点任务</w:t>
          </w:r>
          <w:r>
            <w:rPr>
              <w:color w:val="auto"/>
            </w:rPr>
            <w:tab/>
          </w:r>
          <w:r>
            <w:rPr>
              <w:color w:val="auto"/>
            </w:rPr>
            <w:fldChar w:fldCharType="begin"/>
          </w:r>
          <w:r>
            <w:rPr>
              <w:color w:val="auto"/>
            </w:rPr>
            <w:instrText xml:space="preserve"> PAGEREF _Toc21056 \h </w:instrText>
          </w:r>
          <w:r>
            <w:rPr>
              <w:color w:val="auto"/>
            </w:rPr>
            <w:fldChar w:fldCharType="separate"/>
          </w:r>
          <w:r>
            <w:rPr>
              <w:color w:val="auto"/>
            </w:rPr>
            <w:t>27</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_Toc13047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第一节 培育壮大骨干企业</w:t>
          </w:r>
          <w:r>
            <w:rPr>
              <w:color w:val="auto"/>
            </w:rPr>
            <w:tab/>
          </w:r>
          <w:r>
            <w:rPr>
              <w:color w:val="auto"/>
            </w:rPr>
            <w:fldChar w:fldCharType="begin"/>
          </w:r>
          <w:r>
            <w:rPr>
              <w:color w:val="auto"/>
            </w:rPr>
            <w:instrText xml:space="preserve"> PAGEREF _Toc13047 \h </w:instrText>
          </w:r>
          <w:r>
            <w:rPr>
              <w:color w:val="auto"/>
            </w:rPr>
            <w:fldChar w:fldCharType="separate"/>
          </w:r>
          <w:r>
            <w:rPr>
              <w:color w:val="auto"/>
            </w:rPr>
            <w:t>27</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_Toc10701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第二节 推动产业转型升级</w:t>
          </w:r>
          <w:r>
            <w:rPr>
              <w:color w:val="auto"/>
            </w:rPr>
            <w:tab/>
          </w:r>
          <w:r>
            <w:rPr>
              <w:color w:val="auto"/>
            </w:rPr>
            <w:fldChar w:fldCharType="begin"/>
          </w:r>
          <w:r>
            <w:rPr>
              <w:color w:val="auto"/>
            </w:rPr>
            <w:instrText xml:space="preserve"> PAGEREF _Toc10701 \h </w:instrText>
          </w:r>
          <w:r>
            <w:rPr>
              <w:color w:val="auto"/>
            </w:rPr>
            <w:fldChar w:fldCharType="separate"/>
          </w:r>
          <w:r>
            <w:rPr>
              <w:color w:val="auto"/>
            </w:rPr>
            <w:t>27</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_Toc8517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 xml:space="preserve">第三节 </w:t>
          </w:r>
          <w:r>
            <w:rPr>
              <w:rFonts w:hint="eastAsia" w:ascii="楷体" w:hAnsi="楷体" w:eastAsia="楷体" w:cs="楷体"/>
              <w:bCs/>
              <w:color w:val="auto"/>
              <w:szCs w:val="32"/>
            </w:rPr>
            <w:t>强化科技引领</w:t>
          </w:r>
          <w:r>
            <w:rPr>
              <w:rFonts w:hint="eastAsia" w:ascii="楷体" w:hAnsi="楷体" w:eastAsia="楷体" w:cs="楷体"/>
              <w:bCs/>
              <w:color w:val="auto"/>
              <w:szCs w:val="32"/>
              <w:lang w:val="en-US" w:eastAsia="zh-CN"/>
            </w:rPr>
            <w:t>效能</w:t>
          </w:r>
          <w:r>
            <w:rPr>
              <w:color w:val="auto"/>
            </w:rPr>
            <w:tab/>
          </w:r>
          <w:r>
            <w:rPr>
              <w:color w:val="auto"/>
            </w:rPr>
            <w:fldChar w:fldCharType="begin"/>
          </w:r>
          <w:r>
            <w:rPr>
              <w:color w:val="auto"/>
            </w:rPr>
            <w:instrText xml:space="preserve"> PAGEREF _Toc8517 \h </w:instrText>
          </w:r>
          <w:r>
            <w:rPr>
              <w:color w:val="auto"/>
            </w:rPr>
            <w:fldChar w:fldCharType="separate"/>
          </w:r>
          <w:r>
            <w:rPr>
              <w:color w:val="auto"/>
            </w:rPr>
            <w:t>28</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_Toc29218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第四节 构建大招商格局</w:t>
          </w:r>
          <w:r>
            <w:rPr>
              <w:color w:val="auto"/>
            </w:rPr>
            <w:tab/>
          </w:r>
          <w:r>
            <w:rPr>
              <w:color w:val="auto"/>
            </w:rPr>
            <w:fldChar w:fldCharType="begin"/>
          </w:r>
          <w:r>
            <w:rPr>
              <w:color w:val="auto"/>
            </w:rPr>
            <w:instrText xml:space="preserve"> PAGEREF _Toc29218 \h </w:instrText>
          </w:r>
          <w:r>
            <w:rPr>
              <w:color w:val="auto"/>
            </w:rPr>
            <w:fldChar w:fldCharType="separate"/>
          </w:r>
          <w:r>
            <w:rPr>
              <w:color w:val="auto"/>
            </w:rPr>
            <w:t>29</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_Toc14381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kern w:val="2"/>
              <w:szCs w:val="32"/>
              <w:lang w:val="en-US" w:eastAsia="zh-CN" w:bidi="ar-SA"/>
            </w:rPr>
            <w:t xml:space="preserve">第五节 </w:t>
          </w:r>
          <w:r>
            <w:rPr>
              <w:rFonts w:hint="eastAsia" w:ascii="楷体" w:hAnsi="楷体" w:eastAsia="楷体" w:cs="楷体"/>
              <w:bCs/>
              <w:color w:val="auto"/>
              <w:szCs w:val="32"/>
              <w:lang w:val="en-US" w:eastAsia="zh-CN"/>
            </w:rPr>
            <w:t>推进产业园区建设</w:t>
          </w:r>
          <w:r>
            <w:rPr>
              <w:color w:val="auto"/>
            </w:rPr>
            <w:tab/>
          </w:r>
          <w:r>
            <w:rPr>
              <w:color w:val="auto"/>
            </w:rPr>
            <w:fldChar w:fldCharType="begin"/>
          </w:r>
          <w:r>
            <w:rPr>
              <w:color w:val="auto"/>
            </w:rPr>
            <w:instrText xml:space="preserve"> PAGEREF _Toc14381 \h </w:instrText>
          </w:r>
          <w:r>
            <w:rPr>
              <w:color w:val="auto"/>
            </w:rPr>
            <w:fldChar w:fldCharType="separate"/>
          </w:r>
          <w:r>
            <w:rPr>
              <w:color w:val="auto"/>
            </w:rPr>
            <w:t>29</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_Toc24793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第六节 着力强化要素支持</w:t>
          </w:r>
          <w:r>
            <w:rPr>
              <w:color w:val="auto"/>
            </w:rPr>
            <w:tab/>
          </w:r>
          <w:r>
            <w:rPr>
              <w:color w:val="auto"/>
            </w:rPr>
            <w:fldChar w:fldCharType="begin"/>
          </w:r>
          <w:r>
            <w:rPr>
              <w:color w:val="auto"/>
            </w:rPr>
            <w:instrText xml:space="preserve"> PAGEREF _Toc24793 \h </w:instrText>
          </w:r>
          <w:r>
            <w:rPr>
              <w:color w:val="auto"/>
            </w:rPr>
            <w:fldChar w:fldCharType="separate"/>
          </w:r>
          <w:r>
            <w:rPr>
              <w:color w:val="auto"/>
            </w:rPr>
            <w:t>30</w:t>
          </w:r>
          <w:r>
            <w:rPr>
              <w:color w:val="auto"/>
            </w:rPr>
            <w:fldChar w:fldCharType="end"/>
          </w:r>
          <w:r>
            <w:rPr>
              <w:rFonts w:hint="eastAsia" w:ascii="黑体" w:hAnsi="黑体" w:eastAsia="黑体" w:cs="黑体"/>
              <w:color w:val="auto"/>
              <w:szCs w:val="28"/>
              <w:lang w:val="en-US" w:eastAsia="zh-CN"/>
            </w:rPr>
            <w:fldChar w:fldCharType="end"/>
          </w:r>
        </w:p>
        <w:p>
          <w:pPr>
            <w:pStyle w:val="8"/>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_Toc18528 </w:instrText>
          </w:r>
          <w:r>
            <w:rPr>
              <w:rFonts w:hint="eastAsia" w:ascii="黑体" w:hAnsi="黑体" w:eastAsia="黑体" w:cs="黑体"/>
              <w:color w:val="auto"/>
              <w:szCs w:val="28"/>
              <w:lang w:val="en-US" w:eastAsia="zh-CN"/>
            </w:rPr>
            <w:fldChar w:fldCharType="separate"/>
          </w:r>
          <w:r>
            <w:rPr>
              <w:rFonts w:hint="eastAsia" w:ascii="黑体" w:hAnsi="黑体" w:eastAsia="黑体" w:cs="黑体"/>
              <w:color w:val="auto"/>
              <w:szCs w:val="32"/>
              <w:lang w:val="en-US" w:eastAsia="zh-CN"/>
            </w:rPr>
            <w:t>第八章 保障措施</w:t>
          </w:r>
          <w:r>
            <w:rPr>
              <w:color w:val="auto"/>
            </w:rPr>
            <w:tab/>
          </w:r>
          <w:r>
            <w:rPr>
              <w:color w:val="auto"/>
            </w:rPr>
            <w:fldChar w:fldCharType="begin"/>
          </w:r>
          <w:r>
            <w:rPr>
              <w:color w:val="auto"/>
            </w:rPr>
            <w:instrText xml:space="preserve"> PAGEREF _Toc18528 \h </w:instrText>
          </w:r>
          <w:r>
            <w:rPr>
              <w:color w:val="auto"/>
            </w:rPr>
            <w:fldChar w:fldCharType="separate"/>
          </w:r>
          <w:r>
            <w:rPr>
              <w:color w:val="auto"/>
            </w:rPr>
            <w:t>31</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_Toc14164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第一节 强化组织统筹协调</w:t>
          </w:r>
          <w:r>
            <w:rPr>
              <w:color w:val="auto"/>
            </w:rPr>
            <w:tab/>
          </w:r>
          <w:r>
            <w:rPr>
              <w:color w:val="auto"/>
            </w:rPr>
            <w:fldChar w:fldCharType="begin"/>
          </w:r>
          <w:r>
            <w:rPr>
              <w:color w:val="auto"/>
            </w:rPr>
            <w:instrText xml:space="preserve"> PAGEREF _Toc14164 \h </w:instrText>
          </w:r>
          <w:r>
            <w:rPr>
              <w:color w:val="auto"/>
            </w:rPr>
            <w:fldChar w:fldCharType="separate"/>
          </w:r>
          <w:r>
            <w:rPr>
              <w:color w:val="auto"/>
            </w:rPr>
            <w:t>31</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_Toc23372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 xml:space="preserve">第二节 </w:t>
          </w:r>
          <w:r>
            <w:rPr>
              <w:rFonts w:hint="default" w:ascii="楷体" w:hAnsi="楷体" w:eastAsia="楷体" w:cs="楷体"/>
              <w:bCs/>
              <w:color w:val="auto"/>
              <w:szCs w:val="32"/>
              <w:lang w:val="en-US" w:eastAsia="zh-CN"/>
            </w:rPr>
            <w:t>健全规划评估机制</w:t>
          </w:r>
          <w:r>
            <w:rPr>
              <w:color w:val="auto"/>
            </w:rPr>
            <w:tab/>
          </w:r>
          <w:r>
            <w:rPr>
              <w:color w:val="auto"/>
            </w:rPr>
            <w:fldChar w:fldCharType="begin"/>
          </w:r>
          <w:r>
            <w:rPr>
              <w:color w:val="auto"/>
            </w:rPr>
            <w:instrText xml:space="preserve"> PAGEREF _Toc23372 \h </w:instrText>
          </w:r>
          <w:r>
            <w:rPr>
              <w:color w:val="auto"/>
            </w:rPr>
            <w:fldChar w:fldCharType="separate"/>
          </w:r>
          <w:r>
            <w:rPr>
              <w:color w:val="auto"/>
            </w:rPr>
            <w:t>31</w:t>
          </w:r>
          <w:r>
            <w:rPr>
              <w:color w:val="auto"/>
            </w:rPr>
            <w:fldChar w:fldCharType="end"/>
          </w:r>
          <w:r>
            <w:rPr>
              <w:rFonts w:hint="eastAsia" w:ascii="黑体" w:hAnsi="黑体" w:eastAsia="黑体" w:cs="黑体"/>
              <w:color w:val="auto"/>
              <w:szCs w:val="28"/>
              <w:lang w:val="en-US" w:eastAsia="zh-CN"/>
            </w:rPr>
            <w:fldChar w:fldCharType="end"/>
          </w:r>
        </w:p>
        <w:p>
          <w:pPr>
            <w:pStyle w:val="9"/>
            <w:tabs>
              <w:tab w:val="right" w:leader="dot" w:pos="8306"/>
            </w:tabs>
            <w:rPr>
              <w:color w:val="auto"/>
            </w:rPr>
          </w:pPr>
          <w:r>
            <w:rPr>
              <w:rFonts w:hint="eastAsia" w:ascii="黑体" w:hAnsi="黑体" w:eastAsia="黑体" w:cs="黑体"/>
              <w:color w:val="auto"/>
              <w:szCs w:val="28"/>
              <w:lang w:val="en-US" w:eastAsia="zh-CN"/>
            </w:rPr>
            <w:fldChar w:fldCharType="begin"/>
          </w:r>
          <w:r>
            <w:rPr>
              <w:rFonts w:hint="eastAsia" w:ascii="黑体" w:hAnsi="黑体" w:eastAsia="黑体" w:cs="黑体"/>
              <w:color w:val="auto"/>
              <w:szCs w:val="28"/>
              <w:lang w:val="en-US" w:eastAsia="zh-CN"/>
            </w:rPr>
            <w:instrText xml:space="preserve"> HYPERLINK \l _Toc14492 </w:instrText>
          </w:r>
          <w:r>
            <w:rPr>
              <w:rFonts w:hint="eastAsia" w:ascii="黑体" w:hAnsi="黑体" w:eastAsia="黑体" w:cs="黑体"/>
              <w:color w:val="auto"/>
              <w:szCs w:val="28"/>
              <w:lang w:val="en-US" w:eastAsia="zh-CN"/>
            </w:rPr>
            <w:fldChar w:fldCharType="separate"/>
          </w:r>
          <w:r>
            <w:rPr>
              <w:rFonts w:hint="eastAsia" w:ascii="楷体" w:hAnsi="楷体" w:eastAsia="楷体" w:cs="楷体"/>
              <w:bCs/>
              <w:color w:val="auto"/>
              <w:szCs w:val="32"/>
              <w:lang w:val="en-US" w:eastAsia="zh-CN"/>
            </w:rPr>
            <w:t>第三节 重视</w:t>
          </w:r>
          <w:r>
            <w:rPr>
              <w:rFonts w:hint="default" w:ascii="楷体" w:hAnsi="楷体" w:eastAsia="楷体" w:cs="楷体"/>
              <w:bCs/>
              <w:color w:val="auto"/>
              <w:szCs w:val="32"/>
              <w:lang w:val="en-US" w:eastAsia="zh-CN"/>
            </w:rPr>
            <w:t>规划宣传</w:t>
          </w:r>
          <w:r>
            <w:rPr>
              <w:color w:val="auto"/>
            </w:rPr>
            <w:tab/>
          </w:r>
          <w:r>
            <w:rPr>
              <w:color w:val="auto"/>
            </w:rPr>
            <w:fldChar w:fldCharType="begin"/>
          </w:r>
          <w:r>
            <w:rPr>
              <w:color w:val="auto"/>
            </w:rPr>
            <w:instrText xml:space="preserve"> PAGEREF _Toc14492 \h </w:instrText>
          </w:r>
          <w:r>
            <w:rPr>
              <w:color w:val="auto"/>
            </w:rPr>
            <w:fldChar w:fldCharType="separate"/>
          </w:r>
          <w:r>
            <w:rPr>
              <w:color w:val="auto"/>
            </w:rPr>
            <w:t>31</w:t>
          </w:r>
          <w:r>
            <w:rPr>
              <w:color w:val="auto"/>
            </w:rPr>
            <w:fldChar w:fldCharType="end"/>
          </w:r>
          <w:r>
            <w:rPr>
              <w:rFonts w:hint="eastAsia" w:ascii="黑体" w:hAnsi="黑体" w:eastAsia="黑体" w:cs="黑体"/>
              <w:color w:val="auto"/>
              <w:szCs w:val="28"/>
              <w:lang w:val="en-US" w:eastAsia="zh-CN"/>
            </w:rPr>
            <w:fldChar w:fldCharType="end"/>
          </w:r>
        </w:p>
        <w:p>
          <w:pPr>
            <w:pStyle w:val="8"/>
            <w:tabs>
              <w:tab w:val="right" w:leader="dot" w:pos="8306"/>
            </w:tabs>
            <w:rPr>
              <w:rFonts w:hint="eastAsia" w:ascii="黑体" w:hAnsi="黑体" w:eastAsia="黑体" w:cs="黑体"/>
              <w:color w:val="auto"/>
              <w:kern w:val="2"/>
              <w:sz w:val="28"/>
              <w:szCs w:val="28"/>
              <w:lang w:val="en-US" w:eastAsia="zh-CN" w:bidi="ar-SA"/>
            </w:rPr>
          </w:pPr>
          <w:r>
            <w:rPr>
              <w:rFonts w:hint="eastAsia" w:ascii="黑体" w:hAnsi="黑体" w:eastAsia="黑体" w:cs="黑体"/>
              <w:color w:val="auto"/>
              <w:szCs w:val="28"/>
              <w:lang w:val="en-US" w:eastAsia="zh-CN"/>
            </w:rPr>
            <w:fldChar w:fldCharType="end"/>
          </w:r>
        </w:p>
      </w:sdtContent>
    </w:sdt>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color w:val="auto"/>
          <w:kern w:val="2"/>
          <w:sz w:val="21"/>
          <w:szCs w:val="32"/>
          <w:lang w:val="en-US" w:eastAsia="zh-CN" w:bidi="ar-SA"/>
        </w:rPr>
      </w:pP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color w:val="auto"/>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color w:val="auto"/>
          <w:sz w:val="32"/>
          <w:szCs w:val="32"/>
          <w:lang w:val="en-US" w:eastAsia="zh-CN"/>
        </w:rPr>
        <w:sectPr>
          <w:footerReference r:id="rId3" w:type="default"/>
          <w:pgSz w:w="11906" w:h="16838"/>
          <w:pgMar w:top="1440" w:right="1800" w:bottom="1440" w:left="1800" w:header="851" w:footer="992" w:gutter="0"/>
          <w:pgNumType w:fmt="upperRoman" w:start="1"/>
          <w:cols w:space="425" w:num="1"/>
          <w:docGrid w:type="lines" w:linePitch="312" w:charSpace="0"/>
        </w:sectPr>
      </w:pP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黑体" w:hAnsi="黑体" w:eastAsia="黑体" w:cs="黑体"/>
          <w:color w:val="auto"/>
          <w:sz w:val="32"/>
          <w:szCs w:val="32"/>
          <w:lang w:val="en-US" w:eastAsia="zh-CN"/>
        </w:rPr>
      </w:pPr>
      <w:bookmarkStart w:id="0" w:name="_Toc30875"/>
      <w:r>
        <w:rPr>
          <w:rFonts w:hint="eastAsia" w:ascii="黑体" w:hAnsi="黑体" w:eastAsia="黑体" w:cs="黑体"/>
          <w:color w:val="auto"/>
          <w:sz w:val="32"/>
          <w:szCs w:val="32"/>
          <w:lang w:val="en-US" w:eastAsia="zh-CN"/>
        </w:rPr>
        <w:t>前 言</w:t>
      </w:r>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十五五”时期（2026—2030年）是开平市奋力再造现代化新开平、实现高质量发展的关键五年，也是开平深度融入粤港澳大湾区、培育新质生产力、构建现代化产业体系的重要窗口期。站在新的历史起点，开平市将坚持以习近平新时代中国特色社会主义思想为指导，全面贯彻落实党的二十大和二十届历次全会精神，立足新发展阶段，完整、准确、全面贯彻新发展理念，服务和融入新发展格局，锚定“科创引领制造强市、农文旅融合示范区、宜居宜业美丽侨乡”战略定位，以推动高质量发展为主题，以深化供给侧结构性改革为主线，以改革创新为根本动力，统筹发展和安全，奋力谱写中国式现代化开平新篇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sectPr>
          <w:footerReference r:id="rId4" w:type="default"/>
          <w:pgSz w:w="11906" w:h="16838"/>
          <w:pgMar w:top="1440" w:right="1800" w:bottom="1440" w:left="1800" w:header="851" w:footer="992" w:gutter="0"/>
          <w:pgNumType w:fmt="decimal" w:start="1"/>
          <w:cols w:space="425" w:num="1"/>
          <w:docGrid w:type="lines" w:linePitch="312" w:charSpace="0"/>
        </w:sectPr>
      </w:pPr>
      <w:r>
        <w:rPr>
          <w:rFonts w:hint="default" w:ascii="仿宋_GB2312" w:hAnsi="仿宋_GB2312" w:eastAsia="仿宋_GB2312" w:cs="仿宋_GB2312"/>
          <w:color w:val="auto"/>
          <w:sz w:val="32"/>
          <w:szCs w:val="32"/>
          <w:lang w:val="en-US" w:eastAsia="zh-CN"/>
        </w:rPr>
        <w:t>本规划依据《广东省国民经济和社会发展第十五个五年规划纲要》《江门市国民经济和社会发展第十五个五年规划纲要》</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开平市国民经济和社会发展第十五个五年规划纲要</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和《开平市国土空间总体规划》等编制，主要阐</w:t>
      </w:r>
      <w:r>
        <w:rPr>
          <w:rFonts w:hint="eastAsia" w:ascii="仿宋_GB2312" w:hAnsi="仿宋_GB2312" w:eastAsia="仿宋_GB2312" w:cs="仿宋_GB2312"/>
          <w:color w:val="auto"/>
          <w:sz w:val="32"/>
          <w:szCs w:val="32"/>
          <w:lang w:val="en-US" w:eastAsia="zh-CN"/>
        </w:rPr>
        <w:t>明了</w:t>
      </w:r>
      <w:r>
        <w:rPr>
          <w:rFonts w:hint="default" w:ascii="仿宋_GB2312" w:hAnsi="仿宋_GB2312" w:eastAsia="仿宋_GB2312" w:cs="仿宋_GB2312"/>
          <w:color w:val="auto"/>
          <w:sz w:val="32"/>
          <w:szCs w:val="32"/>
          <w:lang w:val="en-US" w:eastAsia="zh-CN"/>
        </w:rPr>
        <w:t>“十五五”时期开平市</w:t>
      </w:r>
      <w:r>
        <w:rPr>
          <w:rFonts w:hint="eastAsia" w:ascii="仿宋_GB2312" w:hAnsi="仿宋_GB2312" w:eastAsia="仿宋_GB2312" w:cs="仿宋_GB2312"/>
          <w:color w:val="auto"/>
          <w:sz w:val="32"/>
          <w:szCs w:val="32"/>
          <w:lang w:val="en-US" w:eastAsia="zh-CN"/>
        </w:rPr>
        <w:t>科技创新与新型工业化</w:t>
      </w:r>
      <w:r>
        <w:rPr>
          <w:rFonts w:hint="default"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lang w:val="en-US" w:eastAsia="zh-CN"/>
        </w:rPr>
        <w:t>发展现状、总体要求</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载体建设、</w:t>
      </w:r>
      <w:r>
        <w:rPr>
          <w:rFonts w:hint="default" w:ascii="仿宋_GB2312" w:hAnsi="仿宋_GB2312" w:eastAsia="仿宋_GB2312" w:cs="仿宋_GB2312"/>
          <w:color w:val="auto"/>
          <w:sz w:val="32"/>
          <w:szCs w:val="32"/>
          <w:lang w:val="en-US" w:eastAsia="zh-CN"/>
        </w:rPr>
        <w:t>重点任务和保障措施，是未来五年全市人民共同奋斗的行动纲领。全市上下要凝心聚力、开拓进取，以钉钉子精神推动规划落地见效，努力将开平打造成为</w:t>
      </w:r>
      <w:r>
        <w:rPr>
          <w:rFonts w:hint="eastAsia" w:ascii="仿宋_GB2312" w:hAnsi="仿宋_GB2312" w:eastAsia="仿宋_GB2312" w:cs="仿宋_GB2312"/>
          <w:color w:val="auto"/>
          <w:sz w:val="32"/>
          <w:szCs w:val="32"/>
          <w:lang w:val="en-US" w:eastAsia="zh-CN"/>
        </w:rPr>
        <w:t>广东</w:t>
      </w:r>
      <w:r>
        <w:rPr>
          <w:rFonts w:hint="default" w:ascii="仿宋_GB2312" w:hAnsi="仿宋_GB2312" w:eastAsia="仿宋_GB2312" w:cs="仿宋_GB2312"/>
          <w:color w:val="auto"/>
          <w:sz w:val="32"/>
          <w:szCs w:val="32"/>
          <w:lang w:val="en-US" w:eastAsia="zh-CN"/>
        </w:rPr>
        <w:t>传统产业升级标杆、</w:t>
      </w:r>
      <w:r>
        <w:rPr>
          <w:rFonts w:hint="eastAsia" w:ascii="仿宋_GB2312" w:hAnsi="仿宋_GB2312" w:eastAsia="仿宋_GB2312" w:cs="仿宋_GB2312"/>
          <w:color w:val="auto"/>
          <w:sz w:val="32"/>
          <w:szCs w:val="32"/>
          <w:lang w:val="en-US" w:eastAsia="zh-CN"/>
        </w:rPr>
        <w:t>大湾区西翼</w:t>
      </w:r>
      <w:r>
        <w:rPr>
          <w:rFonts w:hint="default" w:ascii="仿宋_GB2312" w:hAnsi="仿宋_GB2312" w:eastAsia="仿宋_GB2312" w:cs="仿宋_GB2312"/>
          <w:color w:val="auto"/>
          <w:sz w:val="32"/>
          <w:szCs w:val="32"/>
          <w:lang w:val="en-US" w:eastAsia="zh-CN"/>
        </w:rPr>
        <w:t>新兴产业重要增长极、科技与产业融合发展</w:t>
      </w:r>
      <w:r>
        <w:rPr>
          <w:rFonts w:hint="eastAsia" w:ascii="仿宋_GB2312" w:hAnsi="仿宋_GB2312" w:eastAsia="仿宋_GB2312" w:cs="仿宋_GB2312"/>
          <w:color w:val="auto"/>
          <w:sz w:val="32"/>
          <w:szCs w:val="32"/>
          <w:lang w:val="en-US" w:eastAsia="zh-CN"/>
        </w:rPr>
        <w:t>带</w:t>
      </w:r>
      <w:r>
        <w:rPr>
          <w:rFonts w:hint="default" w:ascii="仿宋_GB2312" w:hAnsi="仿宋_GB2312" w:eastAsia="仿宋_GB2312" w:cs="仿宋_GB2312"/>
          <w:color w:val="auto"/>
          <w:sz w:val="32"/>
          <w:szCs w:val="32"/>
          <w:lang w:val="en-US" w:eastAsia="zh-CN"/>
        </w:rPr>
        <w:t>，为广东在推进中国式现代化建设中走在前列作出开平贡献。</w:t>
      </w: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黑体" w:hAnsi="黑体" w:eastAsia="黑体" w:cs="黑体"/>
          <w:color w:val="auto"/>
          <w:sz w:val="32"/>
          <w:szCs w:val="32"/>
          <w:lang w:val="en-US" w:eastAsia="zh-CN"/>
        </w:rPr>
      </w:pPr>
      <w:bookmarkStart w:id="1" w:name="_Toc16513"/>
      <w:r>
        <w:rPr>
          <w:rFonts w:hint="eastAsia" w:ascii="黑体" w:hAnsi="黑体" w:eastAsia="黑体" w:cs="黑体"/>
          <w:color w:val="auto"/>
          <w:sz w:val="32"/>
          <w:szCs w:val="32"/>
          <w:lang w:val="en-US" w:eastAsia="zh-CN"/>
        </w:rPr>
        <w:t>第一章 发展现状与形势</w:t>
      </w:r>
      <w:bookmarkEnd w:id="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2" w:name="_Toc1730"/>
      <w:r>
        <w:rPr>
          <w:rFonts w:hint="eastAsia" w:ascii="楷体" w:hAnsi="楷体" w:eastAsia="楷体" w:cs="楷体"/>
          <w:b/>
          <w:bCs/>
          <w:color w:val="auto"/>
          <w:sz w:val="32"/>
          <w:szCs w:val="32"/>
          <w:lang w:val="en-US" w:eastAsia="zh-CN"/>
        </w:rPr>
        <w:t>第一节 “十四五”期间发展现状</w:t>
      </w:r>
      <w:bookmarkEnd w:id="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1.发展成就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经济规模稳步增长</w:t>
      </w:r>
      <w:r>
        <w:rPr>
          <w:rFonts w:hint="eastAsia" w:ascii="仿宋_GB2312" w:hAnsi="仿宋_GB2312" w:eastAsia="仿宋_GB2312" w:cs="仿宋_GB2312"/>
          <w:color w:val="auto"/>
          <w:sz w:val="32"/>
          <w:szCs w:val="32"/>
          <w:lang w:val="en-US" w:eastAsia="zh-CN"/>
        </w:rPr>
        <w:t>。开平市积极融入粤港澳大湾区建设，全面塑造发展新动能，经济总体保持平稳增长。开平市地区生产总值从2020年392.22亿元增至2025年515.87亿元，年均增长3.9%</w:t>
      </w:r>
      <w:r>
        <w:rPr>
          <w:rFonts w:hint="eastAsia" w:ascii="仿宋_GB2312" w:hAnsi="仿宋_GB2312" w:eastAsia="仿宋_GB2312" w:cs="仿宋_GB2312"/>
          <w:color w:val="auto"/>
          <w:sz w:val="32"/>
          <w:szCs w:val="32"/>
          <w:highlight w:val="none"/>
          <w:lang w:val="en-US" w:eastAsia="zh-CN"/>
        </w:rPr>
        <w:t>，2025年实现规上工业总产值572.85亿元</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highlight w:val="none"/>
          <w:lang w:val="en-US" w:eastAsia="zh-CN"/>
        </w:rPr>
        <w:t>“十四五”期间，开平市规上工业增加值年均增长5.4%，制造业增加值年均增长5.2%，累计完成工业投资561.32亿元。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lang w:val="en-US" w:eastAsia="zh-CN"/>
        </w:rPr>
        <w:t>产业结构不断优化</w:t>
      </w:r>
      <w:r>
        <w:rPr>
          <w:rFonts w:hint="eastAsia" w:ascii="仿宋_GB2312" w:hAnsi="仿宋_GB2312" w:eastAsia="仿宋_GB2312" w:cs="仿宋_GB2312"/>
          <w:color w:val="auto"/>
          <w:sz w:val="32"/>
          <w:szCs w:val="32"/>
          <w:lang w:val="en-US" w:eastAsia="zh-CN"/>
        </w:rPr>
        <w:t>。开平市已构建起“三大新兴赛道+三大传统支柱产业”协同并进的产业格局，</w:t>
      </w:r>
      <w:r>
        <w:rPr>
          <w:rFonts w:hint="eastAsia" w:ascii="仿宋_GB2312" w:hAnsi="仿宋_GB2312" w:eastAsia="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lang w:val="en-US" w:eastAsia="zh-CN"/>
        </w:rPr>
        <w:t>金属制品（水暖卫浴）、纺织服装、食品等</w:t>
      </w:r>
      <w:r>
        <w:rPr>
          <w:rFonts w:hint="eastAsia" w:ascii="仿宋_GB2312" w:hAnsi="仿宋_GB2312" w:eastAsia="仿宋_GB2312" w:cs="仿宋_GB2312"/>
          <w:color w:val="auto"/>
          <w:sz w:val="32"/>
          <w:szCs w:val="32"/>
          <w:highlight w:val="none"/>
          <w:lang w:val="en-US" w:eastAsia="zh-CN"/>
        </w:rPr>
        <w:t>三大传统支柱产业规模以上工业总产值合计288.87亿元，占全市规模以上工业总产值50.43%，继续发挥稳固的压舱石作用。新一代信息技术、高端装备制造、生物医药（含医疗器械）产业规模以上工业总产值合计116.75亿元，占全市的比例达20.38%，新兴产业集群效应初显。“十四五”期间，开平市招引金属制品（水暖卫浴）、纺织服装、食品产业链项目累计94个，计划投资202.32亿元，新一代信息技术、高端装备制造、生物医药产业链项目累计29个，计划投资134.32亿元。水暖卫浴、大健康产业集群入选省中小企业特色产业集群，“水口卫浴”获评首批中国消费名品。同时，前瞻布局低空经济和氢能等未来产业，引入小鹏汇天、中科富海等重点企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lang w:val="en-US" w:eastAsia="zh-CN"/>
        </w:rPr>
        <w:t>创新能力有所突破</w:t>
      </w:r>
      <w:r>
        <w:rPr>
          <w:rFonts w:hint="eastAsia" w:ascii="仿宋_GB2312" w:hAnsi="仿宋_GB2312" w:eastAsia="仿宋_GB2312" w:cs="仿宋_GB2312"/>
          <w:color w:val="auto"/>
          <w:sz w:val="32"/>
          <w:szCs w:val="32"/>
          <w:lang w:val="en-US" w:eastAsia="zh-CN"/>
        </w:rPr>
        <w:t>。全市新增中国专利优秀奖1项、集体商标9件，新增“潭碧冬瓜”“马冈鹅”国家地理标志证明商标；2021年到2024年累计完成R&amp;D经费投入35.76亿元；</w:t>
      </w:r>
      <w:r>
        <w:rPr>
          <w:rFonts w:hint="eastAsia" w:ascii="仿宋_GB2312" w:hAnsi="仿宋_GB2312" w:eastAsia="仿宋_GB2312" w:cs="仿宋_GB2312"/>
          <w:color w:val="auto"/>
          <w:sz w:val="32"/>
          <w:szCs w:val="32"/>
          <w:highlight w:val="none"/>
          <w:lang w:val="en-US" w:eastAsia="zh-CN"/>
        </w:rPr>
        <w:t>累计完成技改投资超159.14亿元</w:t>
      </w:r>
      <w:r>
        <w:rPr>
          <w:rFonts w:hint="eastAsia" w:ascii="仿宋_GB2312" w:hAnsi="仿宋_GB2312" w:eastAsia="仿宋_GB2312" w:cs="仿宋_GB2312"/>
          <w:color w:val="auto"/>
          <w:sz w:val="32"/>
          <w:szCs w:val="32"/>
          <w:lang w:val="en-US" w:eastAsia="zh-CN"/>
        </w:rPr>
        <w:t>；国家高新技术企业总量达174家；人才引育体系持续完善，累计新增各类专业技术人员6167人，总量达3.5万人，新引进博士博士后人才59名；到2025年，市工程技术研究中心达198家，省工程技术研究中心达55家，</w:t>
      </w:r>
      <w:r>
        <w:rPr>
          <w:rFonts w:hint="eastAsia" w:ascii="仿宋_GB2312" w:hAnsi="仿宋_GB2312" w:eastAsia="仿宋_GB2312" w:cs="仿宋_GB2312"/>
          <w:color w:val="auto"/>
          <w:sz w:val="32"/>
          <w:szCs w:val="32"/>
          <w:highlight w:val="none"/>
          <w:lang w:val="en-US" w:eastAsia="zh-CN"/>
        </w:rPr>
        <w:t>博士工作站达7家。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数智融合稳步推进</w:t>
      </w:r>
      <w:r>
        <w:rPr>
          <w:rFonts w:hint="eastAsia" w:ascii="仿宋_GB2312" w:hAnsi="仿宋_GB2312" w:eastAsia="仿宋_GB2312" w:cs="仿宋_GB2312"/>
          <w:color w:val="auto"/>
          <w:sz w:val="32"/>
          <w:szCs w:val="32"/>
          <w:highlight w:val="none"/>
          <w:lang w:val="en-US" w:eastAsia="zh-CN"/>
        </w:rPr>
        <w:t>。全市累计推动142家规上企业实施数字化转型，推动江门志特新材料科技有限公司获得制造业数字化转型示范企业称号；15家企业完成清洁生产审核验收，2家企业获国家级绿色工厂；累计建设5G基站1799座，其中城区建设623座，农村1176座。数字基础设施日益完善，产业数字化、绿色化转型取得阶段性成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2.存在问题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lang w:val="en-US" w:eastAsia="zh-CN"/>
        </w:rPr>
        <w:t>传统产业转型升级</w:t>
      </w:r>
      <w:r>
        <w:rPr>
          <w:rFonts w:hint="eastAsia" w:ascii="仿宋_GB2312" w:hAnsi="仿宋_GB2312" w:eastAsia="仿宋_GB2312" w:cs="仿宋_GB2312"/>
          <w:b/>
          <w:bCs/>
          <w:color w:val="auto"/>
          <w:sz w:val="32"/>
          <w:szCs w:val="32"/>
          <w:lang w:val="en-US" w:eastAsia="zh-CN"/>
        </w:rPr>
        <w:t>存在阻力</w:t>
      </w:r>
      <w:r>
        <w:rPr>
          <w:rFonts w:hint="eastAsia" w:ascii="仿宋_GB2312" w:hAnsi="仿宋_GB2312" w:eastAsia="仿宋_GB2312" w:cs="仿宋_GB2312"/>
          <w:color w:val="auto"/>
          <w:sz w:val="32"/>
          <w:szCs w:val="32"/>
          <w:lang w:val="en-US" w:eastAsia="zh-CN"/>
        </w:rPr>
        <w:t>。绝大多数企业长期处于产业链价值链中低端，缺乏能够整合资源、引领方向的“头部企业”或“隐形冠军”。部分企业长期满足于贴牌代工、来料加工的传统盈利模式，缺乏向品牌化、高端化跃升和开拓新市场的雄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战略性新兴产业的支柱作用尚未充分发挥</w:t>
      </w:r>
      <w:r>
        <w:rPr>
          <w:rFonts w:hint="eastAsia" w:ascii="仿宋_GB2312" w:hAnsi="仿宋_GB2312" w:eastAsia="仿宋_GB2312" w:cs="仿宋_GB2312"/>
          <w:color w:val="auto"/>
          <w:sz w:val="32"/>
          <w:szCs w:val="32"/>
          <w:lang w:val="en-US" w:eastAsia="zh-CN"/>
        </w:rPr>
        <w:t>。各细分领域大多仅依靠一两家大型企业支撑，未能形成龙头企业梯队式发展的格局，产业集群的整体抗风险能力和市场竞争优势尚未真正建立。产业链协同机制不够健全，大中小企业融通发展不足。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lang w:val="en-US" w:eastAsia="zh-CN"/>
        </w:rPr>
        <w:t>创新要素支撑不足</w:t>
      </w:r>
      <w:r>
        <w:rPr>
          <w:rFonts w:hint="eastAsia" w:ascii="仿宋_GB2312" w:hAnsi="仿宋_GB2312" w:eastAsia="仿宋_GB2312" w:cs="仿宋_GB2312"/>
          <w:color w:val="auto"/>
          <w:sz w:val="32"/>
          <w:szCs w:val="32"/>
          <w:lang w:val="en-US" w:eastAsia="zh-CN"/>
        </w:rPr>
        <w:t>。高能级创新平台稀缺，源头创新供给不足。企业创新主体研发能力与制造环节错位，本土企业大多发端于加工制造环节，存在重生产、轻研发的路径依赖，研发投入不足。部分龙头企业在做大做强后，出于人才招引和资源对接的便利性考虑，将研发中心、设计中心、营销中心等高端环节布局于广州、深圳、佛山等大湾区核心城市，导致本地配套企业在技术升级、工艺改进方面缺乏龙头引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eastAsia" w:ascii="楷体" w:hAnsi="楷体" w:eastAsia="楷体" w:cs="楷体"/>
          <w:b/>
          <w:bCs/>
          <w:color w:val="auto"/>
          <w:sz w:val="32"/>
          <w:szCs w:val="32"/>
          <w:lang w:val="en-US" w:eastAsia="zh-CN"/>
        </w:rPr>
      </w:pPr>
      <w:bookmarkStart w:id="3" w:name="_Toc25493"/>
      <w:r>
        <w:rPr>
          <w:rFonts w:hint="eastAsia" w:ascii="楷体" w:hAnsi="楷体" w:eastAsia="楷体" w:cs="楷体"/>
          <w:b/>
          <w:bCs/>
          <w:color w:val="auto"/>
          <w:sz w:val="32"/>
          <w:szCs w:val="32"/>
          <w:lang w:val="en-US" w:eastAsia="zh-CN"/>
        </w:rPr>
        <w:t>第二节 “十五五”时期面临形势</w:t>
      </w:r>
      <w:bookmarkEnd w:id="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1.主要机遇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国家扩大内需和科技自立自强战略，为开平承接产业转移、培育新质生产力创造有利条件</w:t>
      </w:r>
      <w:r>
        <w:rPr>
          <w:rFonts w:hint="eastAsia" w:ascii="仿宋_GB2312" w:hAnsi="仿宋_GB2312" w:eastAsia="仿宋_GB2312" w:cs="仿宋_GB2312"/>
          <w:color w:val="auto"/>
          <w:sz w:val="32"/>
          <w:szCs w:val="32"/>
          <w:lang w:val="en-US" w:eastAsia="zh-CN"/>
        </w:rPr>
        <w:t>。国家深入推动科技自主可控与供应链安全建设，构建战略性新兴产业、新兴支柱产业和未来产业组成的、远近结合的新兴产业发展序列，开平重点发展的</w:t>
      </w:r>
      <w:r>
        <w:rPr>
          <w:rFonts w:hint="eastAsia" w:ascii="仿宋_GB2312" w:hAnsi="仿宋_GB2312" w:eastAsia="仿宋_GB2312" w:cs="仿宋_GB2312"/>
          <w:color w:val="auto"/>
          <w:sz w:val="32"/>
          <w:szCs w:val="32"/>
          <w:highlight w:val="none"/>
          <w:lang w:val="en-US" w:eastAsia="zh-CN"/>
        </w:rPr>
        <w:t>新一代信息技术</w:t>
      </w:r>
      <w:r>
        <w:rPr>
          <w:rFonts w:hint="eastAsia" w:ascii="仿宋_GB2312" w:hAnsi="仿宋_GB2312" w:eastAsia="仿宋_GB2312" w:cs="仿宋_GB2312"/>
          <w:color w:val="auto"/>
          <w:sz w:val="32"/>
          <w:szCs w:val="32"/>
          <w:lang w:val="en-US" w:eastAsia="zh-CN"/>
        </w:rPr>
        <w:t>、生物医药、氢能等产业，与国家布局高度吻合。</w:t>
      </w:r>
      <w:r>
        <w:rPr>
          <w:rFonts w:hint="eastAsia" w:ascii="仿宋_GB2312" w:hAnsi="仿宋_GB2312" w:eastAsia="仿宋_GB2312" w:cs="仿宋_GB2312"/>
          <w:b w:val="0"/>
          <w:bCs w:val="0"/>
          <w:color w:val="auto"/>
          <w:sz w:val="32"/>
          <w:szCs w:val="32"/>
          <w:lang w:val="en-US" w:eastAsia="zh-CN"/>
        </w:rPr>
        <w:t>同时，</w:t>
      </w:r>
      <w:r>
        <w:rPr>
          <w:rFonts w:hint="eastAsia" w:ascii="仿宋_GB2312" w:hAnsi="仿宋_GB2312" w:eastAsia="仿宋_GB2312" w:cs="仿宋_GB2312"/>
          <w:color w:val="auto"/>
          <w:sz w:val="32"/>
          <w:szCs w:val="32"/>
          <w:lang w:val="en-US" w:eastAsia="zh-CN"/>
        </w:rPr>
        <w:t>江门中微子实验室等科研平台将吸引高能物理、精密探测、大数据处理等领域科学家团队、工程技术人才常态化驻扎，为本地科技产业互促双强带来智力支撑。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粤港澳大湾区建设纵深推进，为开平深度融入大湾区产业链分工提供广阔空间</w:t>
      </w:r>
      <w:r>
        <w:rPr>
          <w:rFonts w:hint="eastAsia" w:ascii="仿宋_GB2312" w:hAnsi="仿宋_GB2312" w:eastAsia="仿宋_GB2312" w:cs="仿宋_GB2312"/>
          <w:color w:val="auto"/>
          <w:sz w:val="32"/>
          <w:szCs w:val="32"/>
          <w:lang w:val="en-US" w:eastAsia="zh-CN"/>
        </w:rPr>
        <w:t>。广东省“十五五”规划建议明确提出“构建以先进制造业为骨干的现代化产业体系”，坚持智能化、绿色化、融合化方向，统筹推进优势传统产业转型升级、特色新兴产业发展壮大和未来产业成形成势。广东将持续推动制造业与服务业协同发展，支持江门等城市融入大湾区产业分工体系，为开平承接广深等地产业溢出、融入大湾区创新链条创造了有利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江门市锚定“万亿工业强市”目标，新型工业化战略布局为开平制造业发展提供有力牵引</w:t>
      </w:r>
      <w:r>
        <w:rPr>
          <w:rFonts w:hint="eastAsia" w:ascii="仿宋_GB2312" w:hAnsi="仿宋_GB2312" w:eastAsia="仿宋_GB2312" w:cs="仿宋_GB2312"/>
          <w:color w:val="auto"/>
          <w:sz w:val="32"/>
          <w:szCs w:val="32"/>
          <w:lang w:val="en-US" w:eastAsia="zh-CN"/>
        </w:rPr>
        <w:t>。江门市明确提出全力构建“13158”新型工业体系，建成粤港澳大湾区先进制造业高地。开平市作为江门重要组成部分，水暖卫浴、纺织服装、食品等传统产业根基深厚，高端装备制造、新一代信息技术、生物医药等战略性新兴产业加速集聚，将在江门产业布局中发挥更为关键的作用。在新发展阶段，</w:t>
      </w:r>
      <w:r>
        <w:rPr>
          <w:rFonts w:hint="eastAsia" w:ascii="仿宋_GB2312" w:hAnsi="仿宋_GB2312" w:eastAsia="仿宋_GB2312" w:cs="仿宋_GB2312"/>
          <w:color w:val="auto"/>
          <w:sz w:val="32"/>
          <w:szCs w:val="32"/>
        </w:rPr>
        <w:t>江门“双通道”区位优势日益凸显</w:t>
      </w:r>
      <w:r>
        <w:rPr>
          <w:rFonts w:hint="eastAsia" w:ascii="仿宋_GB2312" w:hAnsi="仿宋_GB2312" w:eastAsia="仿宋_GB2312" w:cs="仿宋_GB2312"/>
          <w:color w:val="auto"/>
          <w:sz w:val="32"/>
          <w:szCs w:val="32"/>
          <w:lang w:val="en-US" w:eastAsia="zh-CN"/>
        </w:rPr>
        <w:t>，资源要素重组、产业布局重塑等机遇叠加，将推动中国式现代化开平实践取得突破性进展。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2.面临挑战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lang w:val="en-US" w:eastAsia="zh-CN"/>
        </w:rPr>
        <w:t>经济运行稳中有变、变中有忧。</w:t>
      </w:r>
      <w:r>
        <w:rPr>
          <w:rFonts w:hint="default" w:ascii="仿宋_GB2312" w:hAnsi="仿宋_GB2312" w:eastAsia="仿宋_GB2312" w:cs="仿宋_GB2312"/>
          <w:b w:val="0"/>
          <w:bCs w:val="0"/>
          <w:color w:val="auto"/>
          <w:sz w:val="32"/>
          <w:szCs w:val="32"/>
          <w:lang w:val="en-US" w:eastAsia="zh-CN"/>
        </w:rPr>
        <w:t>我国发展环境面临深刻复杂变化，经济正处在转变发展方式、优化经济结构、转换增长动力的攻关期，已从高速增长阶段进入高质量发展阶段，发展效率、质量以及动力亟需转变。与此同时，国内房地产行业持续下行，尚处于筑底过程，社会消费能力仍有待开发。</w:t>
      </w:r>
      <w:r>
        <w:rPr>
          <w:rFonts w:hint="default" w:ascii="仿宋_GB2312" w:hAnsi="仿宋_GB2312" w:eastAsia="仿宋_GB2312" w:cs="仿宋_GB2312"/>
          <w:b w:val="0"/>
          <w:bCs w:val="0"/>
          <w:color w:val="auto"/>
          <w:sz w:val="32"/>
          <w:szCs w:val="32"/>
          <w:lang w:val="en-US" w:eastAsia="zh-CN"/>
        </w:rPr>
        <w:t>开平作为全国三大水暖卫浴生产基地之一</w:t>
      </w:r>
      <w:r>
        <w:rPr>
          <w:rFonts w:hint="default" w:ascii="仿宋_GB2312" w:hAnsi="仿宋_GB2312" w:eastAsia="仿宋_GB2312" w:cs="仿宋_GB2312"/>
          <w:b w:val="0"/>
          <w:bCs w:val="0"/>
          <w:color w:val="auto"/>
          <w:sz w:val="32"/>
          <w:szCs w:val="32"/>
          <w:lang w:val="en-US" w:eastAsia="zh-CN"/>
        </w:rPr>
        <w:t>，其产品高度依赖新房装修和二手房翻新需求，房地产销售持续低迷导致卫浴订单明显萎缩，企业库存积压、利润收窄；金属制品、建材、玻璃等上下游配套产业也受到不同程度的传导影响，部分中小型企业面临减产甚至停产风险。房地产下行对开平传统产业</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特别是与房地产关联度较高的产业造成直接冲击，使开平传统产业面临较大挑战</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面临周边城市的激烈竞争</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color w:val="auto"/>
          <w:sz w:val="32"/>
          <w:szCs w:val="32"/>
          <w:lang w:val="en-US" w:eastAsia="zh-CN"/>
        </w:rPr>
        <w:t>面临大湾区核心城市的虹吸效应。广州、深圳、佛山等万亿级城市凭借其强大的综合功能，持续吸引开平本地的优质企业、高端人才和资本。与此同时，发达城市对新兴产业项目的激烈争夺，使得开平在招引重大制造业项目时面临劣势。</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作为珠三角县市，开平既难以享受粤东西北地区振兴发展的政策倾斜，又因经济体量和财政实力低于珠核区域而难以获得同等资源配置。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sectPr>
          <w:pgSz w:w="11906" w:h="16838"/>
          <w:pgMar w:top="1440" w:right="1800" w:bottom="1440" w:left="1800" w:header="851" w:footer="992" w:gutter="0"/>
          <w:pgNumType w:fmt="decimal"/>
          <w:cols w:space="425" w:num="1"/>
          <w:docGrid w:type="lines" w:linePitch="312" w:charSpace="0"/>
        </w:sectPr>
      </w:pP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outlineLvl w:val="0"/>
        <w:rPr>
          <w:rFonts w:hint="default" w:ascii="黑体" w:hAnsi="黑体" w:eastAsia="黑体" w:cs="黑体"/>
          <w:color w:val="auto"/>
          <w:sz w:val="32"/>
          <w:szCs w:val="32"/>
          <w:lang w:val="en-US" w:eastAsia="zh-CN"/>
        </w:rPr>
      </w:pPr>
      <w:bookmarkStart w:id="4" w:name="_Toc25100"/>
      <w:r>
        <w:rPr>
          <w:rFonts w:hint="eastAsia" w:ascii="黑体" w:hAnsi="黑体" w:eastAsia="黑体" w:cs="黑体"/>
          <w:color w:val="auto"/>
          <w:sz w:val="32"/>
          <w:szCs w:val="32"/>
          <w:lang w:val="en-US" w:eastAsia="zh-CN"/>
        </w:rPr>
        <w:t>第二章 总体要求</w:t>
      </w:r>
      <w:bookmarkEnd w:id="4"/>
    </w:p>
    <w:p>
      <w:pPr>
        <w:keepNext w:val="0"/>
        <w:keepLines w:val="0"/>
        <w:pageBreakBefore w:val="0"/>
        <w:kinsoku/>
        <w:wordWrap/>
        <w:overflowPunct/>
        <w:topLinePunct w:val="0"/>
        <w:autoSpaceDE/>
        <w:autoSpaceDN/>
        <w:bidi w:val="0"/>
        <w:adjustRightInd/>
        <w:snapToGrid/>
        <w:spacing w:line="560" w:lineRule="exact"/>
        <w:jc w:val="center"/>
        <w:textAlignment w:val="auto"/>
        <w:outlineLvl w:val="1"/>
        <w:rPr>
          <w:rFonts w:hint="eastAsia" w:ascii="楷体" w:hAnsi="楷体" w:eastAsia="楷体" w:cs="楷体"/>
          <w:b/>
          <w:bCs/>
          <w:color w:val="auto"/>
          <w:kern w:val="0"/>
          <w:sz w:val="32"/>
          <w:szCs w:val="32"/>
          <w:lang w:bidi="ar"/>
        </w:rPr>
      </w:pPr>
      <w:bookmarkStart w:id="5" w:name="_Toc98771678"/>
      <w:bookmarkStart w:id="6" w:name="_Toc31941"/>
      <w:bookmarkStart w:id="7" w:name="_Toc29666"/>
      <w:bookmarkStart w:id="8" w:name="_Toc114151735"/>
      <w:r>
        <w:rPr>
          <w:rFonts w:hint="eastAsia" w:ascii="楷体" w:hAnsi="楷体" w:eastAsia="楷体" w:cs="楷体"/>
          <w:b/>
          <w:bCs/>
          <w:color w:val="auto"/>
          <w:kern w:val="0"/>
          <w:sz w:val="32"/>
          <w:szCs w:val="32"/>
          <w:lang w:val="en-US" w:eastAsia="zh-CN" w:bidi="ar"/>
        </w:rPr>
        <w:t xml:space="preserve">第一节 </w:t>
      </w:r>
      <w:r>
        <w:rPr>
          <w:rFonts w:hint="eastAsia" w:ascii="楷体" w:hAnsi="楷体" w:eastAsia="楷体" w:cs="楷体"/>
          <w:b/>
          <w:bCs/>
          <w:color w:val="auto"/>
          <w:kern w:val="0"/>
          <w:sz w:val="32"/>
          <w:szCs w:val="32"/>
          <w:lang w:bidi="ar"/>
        </w:rPr>
        <w:t>指导思想</w:t>
      </w:r>
      <w:bookmarkEnd w:id="5"/>
      <w:bookmarkEnd w:id="6"/>
      <w:bookmarkEnd w:id="7"/>
      <w:bookmarkEnd w:id="8"/>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以习近平新时代中国特色社会主义思想为指导，深入贯彻党的二十大</w:t>
      </w:r>
      <w:r>
        <w:rPr>
          <w:rFonts w:hint="eastAsia" w:ascii="仿宋_GB2312" w:hAnsi="仿宋_GB2312" w:eastAsia="仿宋_GB2312" w:cs="仿宋_GB2312"/>
          <w:color w:val="auto"/>
          <w:kern w:val="0"/>
          <w:sz w:val="32"/>
          <w:szCs w:val="32"/>
          <w:lang w:eastAsia="zh-CN"/>
        </w:rPr>
        <w:t>和</w:t>
      </w:r>
      <w:r>
        <w:rPr>
          <w:rFonts w:hint="eastAsia" w:ascii="仿宋_GB2312" w:hAnsi="仿宋_GB2312" w:eastAsia="仿宋_GB2312" w:cs="仿宋_GB2312"/>
          <w:color w:val="auto"/>
          <w:kern w:val="0"/>
          <w:sz w:val="32"/>
          <w:szCs w:val="32"/>
        </w:rPr>
        <w:t>习近平总书记视察广东重要讲话、重要指示精神，全面落实省委“1310”具体部署</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江门市</w:t>
      </w:r>
      <w:r>
        <w:rPr>
          <w:rFonts w:hint="eastAsia" w:ascii="仿宋_GB2312" w:hAnsi="仿宋_GB2312" w:eastAsia="仿宋_GB2312" w:cs="仿宋_GB2312"/>
          <w:color w:val="auto"/>
          <w:kern w:val="0"/>
          <w:sz w:val="32"/>
          <w:szCs w:val="32"/>
        </w:rPr>
        <w:t>委</w:t>
      </w:r>
      <w:r>
        <w:rPr>
          <w:rFonts w:hint="eastAsia" w:ascii="仿宋_GB2312" w:hAnsi="仿宋_GB2312" w:eastAsia="仿宋_GB2312" w:cs="仿宋_GB2312"/>
          <w:color w:val="auto"/>
          <w:kern w:val="0"/>
          <w:sz w:val="32"/>
          <w:szCs w:val="32"/>
          <w:lang w:val="en-US" w:eastAsia="zh-CN"/>
        </w:rPr>
        <w:t>“13158”新型工业体系和“1+6+3”工作安排</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深化实施市委“六大行动”</w:t>
      </w:r>
      <w:r>
        <w:rPr>
          <w:rFonts w:hint="eastAsia" w:ascii="仿宋_GB2312" w:hAnsi="仿宋_GB2312" w:eastAsia="仿宋_GB2312" w:cs="仿宋_GB2312"/>
          <w:color w:val="auto"/>
          <w:kern w:val="0"/>
          <w:sz w:val="32"/>
          <w:szCs w:val="32"/>
        </w:rPr>
        <w:t>，以“再造一个</w:t>
      </w:r>
      <w:r>
        <w:rPr>
          <w:rFonts w:hint="eastAsia" w:ascii="仿宋_GB2312" w:hAnsi="仿宋_GB2312" w:eastAsia="仿宋_GB2312" w:cs="仿宋_GB2312"/>
          <w:color w:val="auto"/>
          <w:kern w:val="0"/>
          <w:sz w:val="32"/>
          <w:szCs w:val="32"/>
          <w:lang w:val="en-US" w:eastAsia="zh-CN"/>
        </w:rPr>
        <w:t>现代化新开平</w:t>
      </w:r>
      <w:r>
        <w:rPr>
          <w:rFonts w:hint="eastAsia" w:ascii="仿宋_GB2312" w:hAnsi="仿宋_GB2312" w:eastAsia="仿宋_GB2312" w:cs="仿宋_GB2312"/>
          <w:color w:val="auto"/>
          <w:kern w:val="0"/>
          <w:sz w:val="32"/>
          <w:szCs w:val="32"/>
        </w:rPr>
        <w:t>”的</w:t>
      </w:r>
      <w:r>
        <w:rPr>
          <w:rFonts w:hint="eastAsia" w:ascii="仿宋_GB2312" w:hAnsi="仿宋_GB2312" w:eastAsia="仿宋_GB2312" w:cs="仿宋_GB2312"/>
          <w:color w:val="auto"/>
          <w:kern w:val="0"/>
          <w:sz w:val="32"/>
          <w:szCs w:val="32"/>
          <w:lang w:val="en-US" w:eastAsia="zh-CN"/>
        </w:rPr>
        <w:t>奋进姿态</w:t>
      </w:r>
      <w:r>
        <w:rPr>
          <w:rFonts w:hint="eastAsia" w:ascii="仿宋_GB2312" w:hAnsi="仿宋_GB2312" w:eastAsia="仿宋_GB2312" w:cs="仿宋_GB2312"/>
          <w:color w:val="auto"/>
          <w:kern w:val="0"/>
          <w:sz w:val="32"/>
          <w:szCs w:val="32"/>
        </w:rPr>
        <w:t>，坚持以制造业当家，因地制宜加快发展新质生产力，以科技产业深度融合为路径激发内生动力，通过整合优化市内产业与科技资源，加快构建以先进制造业为骨干、具有江门特色的现代产业体系</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积极融入以国内大循环为主体、国内国际双循环相互促进的新发展格局，</w:t>
      </w:r>
      <w:r>
        <w:rPr>
          <w:rFonts w:hint="eastAsia" w:ascii="仿宋_GB2312" w:hAnsi="仿宋_GB2312" w:eastAsia="仿宋_GB2312" w:cs="仿宋_GB2312"/>
          <w:color w:val="auto"/>
          <w:kern w:val="0"/>
          <w:sz w:val="32"/>
          <w:szCs w:val="32"/>
          <w:lang w:val="en-US" w:eastAsia="zh-CN"/>
        </w:rPr>
        <w:t>为江门打造珠江西岸新增长极和全省沿海经济带上的江海门户、建成社会主义现代化新侨都，为广东在推进中国式现代化建设中走在前列，作出开平更大的贡献</w:t>
      </w:r>
      <w:r>
        <w:rPr>
          <w:rFonts w:hint="eastAsia" w:ascii="仿宋_GB2312" w:hAnsi="仿宋_GB2312" w:eastAsia="仿宋_GB2312" w:cs="仿宋_GB2312"/>
          <w:color w:val="auto"/>
          <w:kern w:val="0"/>
          <w:sz w:val="32"/>
          <w:szCs w:val="32"/>
        </w:rPr>
        <w:t>。</w:t>
      </w:r>
    </w:p>
    <w:p>
      <w:pPr>
        <w:keepNext w:val="0"/>
        <w:keepLines w:val="0"/>
        <w:pageBreakBefore w:val="0"/>
        <w:kinsoku/>
        <w:wordWrap/>
        <w:overflowPunct/>
        <w:topLinePunct w:val="0"/>
        <w:autoSpaceDE/>
        <w:autoSpaceDN/>
        <w:bidi w:val="0"/>
        <w:adjustRightInd/>
        <w:snapToGrid/>
        <w:spacing w:line="560" w:lineRule="exact"/>
        <w:jc w:val="center"/>
        <w:textAlignment w:val="auto"/>
        <w:outlineLvl w:val="1"/>
        <w:rPr>
          <w:rFonts w:hint="eastAsia" w:ascii="楷体" w:hAnsi="楷体" w:eastAsia="楷体" w:cs="楷体"/>
          <w:b/>
          <w:bCs/>
          <w:color w:val="auto"/>
          <w:sz w:val="32"/>
          <w:szCs w:val="32"/>
        </w:rPr>
      </w:pPr>
      <w:bookmarkStart w:id="9" w:name="_Toc11117"/>
      <w:bookmarkStart w:id="10" w:name="_Toc29955"/>
      <w:r>
        <w:rPr>
          <w:rFonts w:hint="eastAsia" w:ascii="楷体" w:hAnsi="楷体" w:eastAsia="楷体" w:cs="楷体"/>
          <w:b/>
          <w:bCs/>
          <w:color w:val="auto"/>
          <w:sz w:val="32"/>
          <w:szCs w:val="32"/>
          <w:lang w:val="en-US" w:eastAsia="zh-CN"/>
        </w:rPr>
        <w:t xml:space="preserve">第二节 </w:t>
      </w:r>
      <w:r>
        <w:rPr>
          <w:rFonts w:hint="eastAsia" w:ascii="楷体" w:hAnsi="楷体" w:eastAsia="楷体" w:cs="楷体"/>
          <w:b/>
          <w:bCs/>
          <w:color w:val="auto"/>
          <w:sz w:val="32"/>
          <w:szCs w:val="32"/>
        </w:rPr>
        <w:t>基本原则</w:t>
      </w:r>
      <w:bookmarkEnd w:id="9"/>
      <w:bookmarkEnd w:id="10"/>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智能引领，数智赋能。</w:t>
      </w:r>
      <w:r>
        <w:rPr>
          <w:rFonts w:hint="eastAsia" w:ascii="仿宋_GB2312" w:hAnsi="仿宋_GB2312" w:eastAsia="仿宋_GB2312" w:cs="仿宋_GB2312"/>
          <w:b w:val="0"/>
          <w:bCs w:val="0"/>
          <w:color w:val="auto"/>
          <w:sz w:val="32"/>
          <w:szCs w:val="32"/>
          <w:lang w:val="en-US" w:eastAsia="zh-CN"/>
        </w:rPr>
        <w:t>抢抓人工智能与工业机器人技术迭代的历史机遇，以智能化为主攻方向推动制造业质量变革、效率变革、动力变革。深化“人工智能+制造”行动，推动水暖卫浴、纺织服装、食品等传统产业全流程智能化改造，加快智能装备普及和工业互联网应用，以数字化转型赋能产业升级</w:t>
      </w:r>
      <w:r>
        <w:rPr>
          <w:rFonts w:hint="eastAsia" w:ascii="仿宋_GB2312" w:hAnsi="仿宋_GB2312" w:eastAsia="仿宋_GB2312" w:cs="仿宋_GB2312"/>
          <w:color w:val="auto"/>
          <w:sz w:val="32"/>
          <w:szCs w:val="32"/>
        </w:rPr>
        <w:t>。</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精准招商，链式集聚</w:t>
      </w:r>
      <w:r>
        <w:rPr>
          <w:rFonts w:hint="eastAsia" w:ascii="仿宋_GB2312" w:hAnsi="仿宋_GB2312" w:eastAsia="仿宋_GB2312" w:cs="仿宋_GB2312"/>
          <w:color w:val="auto"/>
          <w:sz w:val="32"/>
          <w:szCs w:val="32"/>
        </w:rPr>
        <w:t>。围绕建链、补链、延链、强链，绘制产业招商图谱，开展靶向攻坚。创新“基金+招商”“以商引商”“场景招商”“侨资回归”等模式，推动招商引资从“单打独斗”向“全域联动”转变、从“数量扩张”向“质量提升”跃升，以高质量招商支撑开平制造业高质量发展。</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创新驱动，绿色发展</w:t>
      </w:r>
      <w:r>
        <w:rPr>
          <w:rFonts w:hint="eastAsia" w:ascii="仿宋_GB2312" w:hAnsi="仿宋_GB2312" w:eastAsia="仿宋_GB2312" w:cs="仿宋_GB2312"/>
          <w:color w:val="auto"/>
          <w:sz w:val="32"/>
          <w:szCs w:val="32"/>
          <w:lang w:eastAsia="zh-CN"/>
        </w:rPr>
        <w:t>。把科技创新作为引领发展的第一动力，依托</w:t>
      </w:r>
      <w:r>
        <w:rPr>
          <w:rFonts w:hint="eastAsia" w:ascii="仿宋_GB2312" w:hAnsi="仿宋_GB2312" w:eastAsia="仿宋_GB2312" w:cs="仿宋_GB2312"/>
          <w:color w:val="auto"/>
          <w:sz w:val="32"/>
          <w:szCs w:val="32"/>
          <w:lang w:val="en-US" w:eastAsia="zh-CN"/>
        </w:rPr>
        <w:t>重点科技创新平台</w:t>
      </w:r>
      <w:r>
        <w:rPr>
          <w:rFonts w:hint="eastAsia" w:ascii="仿宋_GB2312" w:hAnsi="仿宋_GB2312" w:eastAsia="仿宋_GB2312" w:cs="仿宋_GB2312"/>
          <w:color w:val="auto"/>
          <w:sz w:val="32"/>
          <w:szCs w:val="32"/>
          <w:lang w:eastAsia="zh-CN"/>
        </w:rPr>
        <w:t>的创新溢出和</w:t>
      </w:r>
      <w:r>
        <w:rPr>
          <w:rFonts w:hint="eastAsia" w:ascii="仿宋_GB2312" w:hAnsi="仿宋_GB2312" w:eastAsia="仿宋_GB2312" w:cs="仿宋_GB2312"/>
          <w:color w:val="auto"/>
          <w:sz w:val="32"/>
          <w:szCs w:val="32"/>
          <w:lang w:val="en-US" w:eastAsia="zh-CN"/>
        </w:rPr>
        <w:t>省级开发区</w:t>
      </w:r>
      <w:r>
        <w:rPr>
          <w:rFonts w:hint="eastAsia" w:ascii="仿宋_GB2312" w:hAnsi="仿宋_GB2312" w:eastAsia="仿宋_GB2312" w:cs="仿宋_GB2312"/>
          <w:color w:val="auto"/>
          <w:sz w:val="32"/>
          <w:szCs w:val="32"/>
          <w:lang w:eastAsia="zh-CN"/>
        </w:rPr>
        <w:t>的平台集聚，推动创新资源向企业集聚、向产业集中。支持骨干企业突破关键核心技术，推动人工智能、工业机器人赋能传统产业，让“开平制造”迈向“开平智造”。</w:t>
      </w:r>
    </w:p>
    <w:p>
      <w:pPr>
        <w:keepNext w:val="0"/>
        <w:keepLines w:val="0"/>
        <w:pageBreakBefore w:val="0"/>
        <w:kinsoku/>
        <w:wordWrap/>
        <w:overflowPunct/>
        <w:topLinePunct w:val="0"/>
        <w:autoSpaceDE/>
        <w:autoSpaceDN/>
        <w:bidi w:val="0"/>
        <w:adjustRightInd/>
        <w:snapToGrid/>
        <w:spacing w:line="560" w:lineRule="exact"/>
        <w:jc w:val="center"/>
        <w:textAlignment w:val="auto"/>
        <w:outlineLvl w:val="1"/>
        <w:rPr>
          <w:rFonts w:hint="eastAsia" w:ascii="楷体" w:hAnsi="楷体" w:eastAsia="楷体" w:cs="楷体"/>
          <w:b/>
          <w:color w:val="auto"/>
          <w:sz w:val="32"/>
          <w:szCs w:val="32"/>
          <w:highlight w:val="none"/>
          <w:lang w:val="en-US" w:eastAsia="zh-CN"/>
        </w:rPr>
      </w:pPr>
      <w:bookmarkStart w:id="11" w:name="_Toc12695"/>
      <w:bookmarkStart w:id="12" w:name="_Toc8041"/>
      <w:r>
        <w:rPr>
          <w:rFonts w:hint="eastAsia" w:ascii="楷体" w:hAnsi="楷体" w:eastAsia="楷体" w:cs="楷体"/>
          <w:b/>
          <w:color w:val="auto"/>
          <w:sz w:val="32"/>
          <w:szCs w:val="32"/>
          <w:highlight w:val="none"/>
          <w:lang w:val="en-US" w:eastAsia="zh-CN"/>
        </w:rPr>
        <w:t>第三节 战略定位</w:t>
      </w:r>
      <w:bookmarkEnd w:id="11"/>
      <w:bookmarkEnd w:id="12"/>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eastAsia="zh-CN"/>
        </w:rPr>
        <w:t>依托水暖卫浴、纺织服装、食品等深厚产业基础，以智能化、绿色化、品牌化为方向，推动传统优势产业向价值链高端跃升，</w:t>
      </w:r>
      <w:r>
        <w:rPr>
          <w:rFonts w:hint="eastAsia" w:ascii="仿宋_GB2312" w:hAnsi="仿宋_GB2312" w:eastAsia="仿宋_GB2312" w:cs="仿宋_GB2312"/>
          <w:b w:val="0"/>
          <w:bCs w:val="0"/>
          <w:color w:val="auto"/>
          <w:sz w:val="32"/>
          <w:szCs w:val="32"/>
          <w:lang w:val="en-US" w:eastAsia="zh-CN"/>
        </w:rPr>
        <w:t>打造</w:t>
      </w:r>
      <w:r>
        <w:rPr>
          <w:rFonts w:hint="eastAsia" w:ascii="仿宋_GB2312" w:hAnsi="仿宋_GB2312" w:eastAsia="仿宋_GB2312" w:cs="仿宋_GB2312"/>
          <w:b/>
          <w:bCs/>
          <w:color w:val="auto"/>
          <w:sz w:val="32"/>
          <w:szCs w:val="32"/>
          <w:lang w:val="en-US" w:eastAsia="zh-CN"/>
        </w:rPr>
        <w:t>广东</w:t>
      </w:r>
      <w:r>
        <w:rPr>
          <w:rFonts w:hint="eastAsia" w:ascii="仿宋_GB2312" w:hAnsi="仿宋_GB2312" w:eastAsia="仿宋_GB2312" w:cs="仿宋_GB2312"/>
          <w:b/>
          <w:bCs/>
          <w:color w:val="auto"/>
          <w:sz w:val="32"/>
          <w:szCs w:val="32"/>
        </w:rPr>
        <w:t>传统产业升级标杆</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聚焦高端装备制造、</w:t>
      </w:r>
      <w:r>
        <w:rPr>
          <w:rFonts w:hint="eastAsia" w:ascii="仿宋_GB2312" w:hAnsi="仿宋_GB2312" w:eastAsia="仿宋_GB2312" w:cs="仿宋_GB2312"/>
          <w:color w:val="auto"/>
          <w:sz w:val="32"/>
          <w:szCs w:val="32"/>
          <w:lang w:eastAsia="zh-CN"/>
        </w:rPr>
        <w:t>新一代信息技术</w:t>
      </w:r>
      <w:r>
        <w:rPr>
          <w:rFonts w:hint="eastAsia" w:ascii="仿宋_GB2312" w:hAnsi="仿宋_GB2312" w:eastAsia="仿宋_GB2312" w:cs="仿宋_GB2312"/>
          <w:color w:val="auto"/>
          <w:sz w:val="32"/>
          <w:szCs w:val="32"/>
        </w:rPr>
        <w:t>、生物医药三大战略性新兴产业，加快建链延链、聚链成群</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前瞻布局氢能、低空经济等未来产业赛道，培育新质生产力，</w:t>
      </w:r>
      <w:r>
        <w:rPr>
          <w:rFonts w:hint="eastAsia" w:ascii="仿宋_GB2312" w:hAnsi="仿宋_GB2312" w:eastAsia="仿宋_GB2312" w:cs="仿宋_GB2312"/>
          <w:color w:val="auto"/>
          <w:sz w:val="32"/>
          <w:szCs w:val="32"/>
          <w:lang w:val="en-US" w:eastAsia="zh-CN"/>
        </w:rPr>
        <w:t>打造</w:t>
      </w:r>
      <w:r>
        <w:rPr>
          <w:rFonts w:hint="eastAsia" w:ascii="仿宋_GB2312" w:hAnsi="仿宋_GB2312" w:eastAsia="仿宋_GB2312" w:cs="仿宋_GB2312"/>
          <w:b/>
          <w:bCs/>
          <w:color w:val="auto"/>
          <w:sz w:val="32"/>
          <w:szCs w:val="32"/>
        </w:rPr>
        <w:t>大湾区西翼新兴产业重要增长极</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val="0"/>
          <w:bCs w:val="0"/>
          <w:color w:val="auto"/>
          <w:sz w:val="32"/>
          <w:szCs w:val="32"/>
          <w:lang w:val="en-US" w:eastAsia="zh-CN"/>
        </w:rPr>
        <w:t>充分发挥重点科创平台的创新溢出效应，构建“基础研究+技术攻关+成果转化+科技金融”的创新生态，打通科技成果从“实验室”到“生产线”的转化通道，打造</w:t>
      </w:r>
      <w:r>
        <w:rPr>
          <w:rFonts w:hint="eastAsia" w:ascii="仿宋_GB2312" w:hAnsi="仿宋_GB2312" w:eastAsia="仿宋_GB2312" w:cs="仿宋_GB2312"/>
          <w:b/>
          <w:bCs/>
          <w:color w:val="auto"/>
          <w:sz w:val="32"/>
          <w:szCs w:val="32"/>
          <w:lang w:val="en-US" w:eastAsia="zh-CN"/>
        </w:rPr>
        <w:t>粤港澳大湾区科技与产业融合发展</w:t>
      </w:r>
      <w:r>
        <w:rPr>
          <w:rFonts w:hint="eastAsia" w:ascii="仿宋_GB2312" w:hAnsi="仿宋_GB2312" w:eastAsia="仿宋_GB2312" w:cs="仿宋_GB2312"/>
          <w:b/>
          <w:bCs/>
          <w:color w:val="auto"/>
          <w:sz w:val="32"/>
          <w:szCs w:val="32"/>
          <w:lang w:val="en-US" w:eastAsia="zh-CN"/>
        </w:rPr>
        <w:t>带</w:t>
      </w:r>
      <w:r>
        <w:rPr>
          <w:rFonts w:hint="eastAsia" w:ascii="仿宋_GB2312" w:hAnsi="仿宋_GB2312" w:eastAsia="仿宋_GB2312" w:cs="仿宋_GB2312"/>
          <w:b w:val="0"/>
          <w:bCs w:val="0"/>
          <w:color w:val="auto"/>
          <w:sz w:val="32"/>
          <w:szCs w:val="32"/>
          <w:lang w:val="en-US" w:eastAsia="zh-CN"/>
        </w:rPr>
        <w:t>。</w:t>
      </w:r>
    </w:p>
    <w:p>
      <w:pPr>
        <w:keepNext w:val="0"/>
        <w:keepLines w:val="0"/>
        <w:pageBreakBefore w:val="0"/>
        <w:kinsoku/>
        <w:wordWrap/>
        <w:overflowPunct/>
        <w:topLinePunct w:val="0"/>
        <w:autoSpaceDE/>
        <w:autoSpaceDN/>
        <w:bidi w:val="0"/>
        <w:adjustRightInd/>
        <w:snapToGrid/>
        <w:spacing w:line="560" w:lineRule="exact"/>
        <w:jc w:val="center"/>
        <w:textAlignment w:val="auto"/>
        <w:outlineLvl w:val="1"/>
        <w:rPr>
          <w:rFonts w:hint="eastAsia" w:ascii="楷体" w:hAnsi="楷体" w:eastAsia="楷体" w:cs="楷体"/>
          <w:b/>
          <w:color w:val="auto"/>
          <w:sz w:val="32"/>
          <w:szCs w:val="32"/>
          <w:highlight w:val="none"/>
          <w:lang w:val="en-US" w:eastAsia="zh-CN"/>
        </w:rPr>
      </w:pPr>
      <w:bookmarkStart w:id="13" w:name="_Toc22504"/>
      <w:bookmarkStart w:id="14" w:name="_Toc3660"/>
      <w:r>
        <w:rPr>
          <w:rFonts w:hint="eastAsia" w:ascii="楷体" w:hAnsi="楷体" w:eastAsia="楷体" w:cs="楷体"/>
          <w:b/>
          <w:color w:val="auto"/>
          <w:sz w:val="32"/>
          <w:szCs w:val="32"/>
          <w:highlight w:val="none"/>
          <w:lang w:val="en-US" w:eastAsia="zh-CN"/>
        </w:rPr>
        <w:t>第四节 建设目标</w:t>
      </w:r>
      <w:bookmarkEnd w:id="13"/>
      <w:bookmarkEnd w:id="1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到2030年，规上工业增加值达175亿元，工业增加值占GDP比重达</w:t>
      </w:r>
      <w:r>
        <w:rPr>
          <w:rFonts w:hint="eastAsia" w:ascii="仿宋_GB2312" w:hAnsi="仿宋_GB2312" w:eastAsia="仿宋_GB2312" w:cs="仿宋_GB2312"/>
          <w:color w:val="auto"/>
          <w:sz w:val="32"/>
          <w:szCs w:val="32"/>
          <w:highlight w:val="none"/>
          <w:lang w:val="en-US" w:eastAsia="zh-CN"/>
        </w:rPr>
        <w:t>34.4</w:t>
      </w:r>
      <w:r>
        <w:rPr>
          <w:rFonts w:hint="eastAsia" w:ascii="仿宋_GB2312" w:hAnsi="仿宋_GB2312" w:eastAsia="仿宋_GB2312" w:cs="仿宋_GB2312"/>
          <w:color w:val="auto"/>
          <w:sz w:val="32"/>
          <w:szCs w:val="32"/>
          <w:highlight w:val="none"/>
          <w:lang w:eastAsia="zh-CN"/>
        </w:rPr>
        <w:t>%，先进制造业增加值、高技术制造业增加值占规模以上工业增加值的比重分别提升至55.5%、28.7%。大力发展6条重点产业链，推动新一代信息技术、金属制品（水暖卫浴）、纺织服装3条产业链产值超100亿元；</w:t>
      </w:r>
      <w:r>
        <w:rPr>
          <w:rFonts w:hint="eastAsia" w:ascii="仿宋_GB2312" w:hAnsi="仿宋_GB2312" w:eastAsia="仿宋_GB2312" w:cs="仿宋_GB2312"/>
          <w:color w:val="auto"/>
          <w:sz w:val="32"/>
          <w:szCs w:val="32"/>
          <w:highlight w:val="none"/>
          <w:lang w:val="en-US" w:eastAsia="zh-CN"/>
        </w:rPr>
        <w:t>加快</w:t>
      </w:r>
      <w:r>
        <w:rPr>
          <w:rFonts w:hint="eastAsia" w:ascii="仿宋_GB2312" w:hAnsi="仿宋_GB2312" w:eastAsia="仿宋_GB2312" w:cs="仿宋_GB2312"/>
          <w:color w:val="auto"/>
          <w:sz w:val="32"/>
          <w:szCs w:val="32"/>
          <w:highlight w:val="none"/>
          <w:lang w:eastAsia="zh-CN"/>
        </w:rPr>
        <w:t>提升生物医药（含医疗器械）、高端装备制造、食品3条产业链发展能级；持续</w:t>
      </w:r>
      <w:r>
        <w:rPr>
          <w:rFonts w:hint="eastAsia" w:ascii="仿宋_GB2312" w:hAnsi="仿宋_GB2312" w:eastAsia="仿宋_GB2312" w:cs="仿宋_GB2312"/>
          <w:color w:val="auto"/>
          <w:sz w:val="32"/>
          <w:szCs w:val="32"/>
          <w:highlight w:val="none"/>
          <w:lang w:val="en-US" w:eastAsia="zh-CN"/>
        </w:rPr>
        <w:t>巩固汽车及零部件、胶粘2大特色产业竞争优势</w:t>
      </w:r>
      <w:r>
        <w:rPr>
          <w:rFonts w:hint="eastAsia" w:ascii="仿宋_GB2312" w:hAnsi="仿宋_GB2312" w:eastAsia="仿宋_GB2312" w:cs="仿宋_GB2312"/>
          <w:color w:val="auto"/>
          <w:sz w:val="32"/>
          <w:szCs w:val="32"/>
          <w:highlight w:val="none"/>
          <w:lang w:eastAsia="zh-CN"/>
        </w:rPr>
        <w:t>。</w:t>
      </w:r>
    </w:p>
    <w:p>
      <w:pPr>
        <w:pStyle w:val="4"/>
        <w:jc w:val="center"/>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 xml:space="preserve">表 </w:t>
      </w: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SEQ 表 \* ARABIC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lang w:eastAsia="zh-CN"/>
        </w:rPr>
        <w:t>：建设目标表</w:t>
      </w:r>
    </w:p>
    <w:tbl>
      <w:tblPr>
        <w:tblStyle w:val="1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8"/>
        <w:gridCol w:w="581"/>
        <w:gridCol w:w="1038"/>
        <w:gridCol w:w="1846"/>
        <w:gridCol w:w="778"/>
        <w:gridCol w:w="1129"/>
        <w:gridCol w:w="1204"/>
        <w:gridCol w:w="12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blHeader/>
        </w:trPr>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_GB2312" w:hAnsi="宋体" w:eastAsia="仿宋_GB2312" w:cs="仿宋_GB2312"/>
                <w:b/>
                <w:bCs/>
                <w:i w:val="0"/>
                <w:iCs w:val="0"/>
                <w:color w:val="auto"/>
                <w:sz w:val="22"/>
                <w:szCs w:val="22"/>
                <w:u w:val="none"/>
              </w:rPr>
            </w:pPr>
            <w:r>
              <w:rPr>
                <w:rFonts w:hint="eastAsia" w:ascii="仿宋_GB2312" w:hAnsi="宋体" w:eastAsia="仿宋_GB2312" w:cs="仿宋_GB2312"/>
                <w:b/>
                <w:bCs/>
                <w:i w:val="0"/>
                <w:iCs w:val="0"/>
                <w:color w:val="auto"/>
                <w:kern w:val="0"/>
                <w:sz w:val="22"/>
                <w:szCs w:val="22"/>
                <w:u w:val="none"/>
                <w:lang w:val="en-US" w:eastAsia="zh-CN" w:bidi="ar"/>
              </w:rPr>
              <w:t>类别</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auto"/>
                <w:sz w:val="22"/>
                <w:szCs w:val="22"/>
                <w:u w:val="none"/>
              </w:rPr>
            </w:pPr>
            <w:r>
              <w:rPr>
                <w:rFonts w:hint="eastAsia" w:ascii="仿宋_GB2312" w:hAnsi="宋体" w:eastAsia="仿宋_GB2312" w:cs="仿宋_GB2312"/>
                <w:b/>
                <w:bCs/>
                <w:i w:val="0"/>
                <w:iCs w:val="0"/>
                <w:color w:val="auto"/>
                <w:kern w:val="0"/>
                <w:sz w:val="22"/>
                <w:szCs w:val="22"/>
                <w:u w:val="none"/>
                <w:lang w:val="en-US" w:eastAsia="zh-CN" w:bidi="ar"/>
              </w:rPr>
              <w:t>序号</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auto"/>
                <w:sz w:val="22"/>
                <w:szCs w:val="22"/>
                <w:u w:val="none"/>
              </w:rPr>
            </w:pPr>
            <w:r>
              <w:rPr>
                <w:rFonts w:hint="eastAsia" w:ascii="仿宋_GB2312" w:hAnsi="宋体" w:eastAsia="仿宋_GB2312" w:cs="仿宋_GB2312"/>
                <w:b/>
                <w:bCs/>
                <w:i w:val="0"/>
                <w:iCs w:val="0"/>
                <w:color w:val="auto"/>
                <w:kern w:val="0"/>
                <w:sz w:val="22"/>
                <w:szCs w:val="22"/>
                <w:u w:val="none"/>
                <w:lang w:val="en-US" w:eastAsia="zh-CN" w:bidi="ar"/>
              </w:rPr>
              <w:t>指标</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auto"/>
                <w:sz w:val="22"/>
                <w:szCs w:val="22"/>
                <w:u w:val="none"/>
              </w:rPr>
            </w:pPr>
            <w:r>
              <w:rPr>
                <w:rFonts w:hint="eastAsia" w:ascii="仿宋_GB2312" w:hAnsi="宋体" w:eastAsia="仿宋_GB2312" w:cs="仿宋_GB2312"/>
                <w:b/>
                <w:bCs/>
                <w:i w:val="0"/>
                <w:iCs w:val="0"/>
                <w:color w:val="auto"/>
                <w:kern w:val="0"/>
                <w:sz w:val="22"/>
                <w:szCs w:val="22"/>
                <w:u w:val="none"/>
                <w:lang w:val="en-US" w:eastAsia="zh-CN" w:bidi="ar"/>
              </w:rPr>
              <w:t>单位</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auto"/>
                <w:sz w:val="22"/>
                <w:szCs w:val="22"/>
                <w:u w:val="none"/>
              </w:rPr>
            </w:pPr>
            <w:r>
              <w:rPr>
                <w:rFonts w:hint="eastAsia" w:ascii="仿宋_GB2312" w:hAnsi="宋体" w:eastAsia="仿宋_GB2312" w:cs="仿宋_GB2312"/>
                <w:b/>
                <w:bCs/>
                <w:i w:val="0"/>
                <w:iCs w:val="0"/>
                <w:color w:val="auto"/>
                <w:kern w:val="0"/>
                <w:sz w:val="22"/>
                <w:szCs w:val="22"/>
                <w:u w:val="none"/>
                <w:lang w:val="en-US" w:eastAsia="zh-CN" w:bidi="ar"/>
              </w:rPr>
              <w:t>2025年指标值</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auto"/>
                <w:sz w:val="22"/>
                <w:szCs w:val="22"/>
                <w:u w:val="none"/>
              </w:rPr>
            </w:pPr>
            <w:r>
              <w:rPr>
                <w:rFonts w:hint="eastAsia" w:ascii="仿宋_GB2312" w:hAnsi="宋体" w:eastAsia="仿宋_GB2312" w:cs="仿宋_GB2312"/>
                <w:b/>
                <w:bCs/>
                <w:i w:val="0"/>
                <w:iCs w:val="0"/>
                <w:color w:val="auto"/>
                <w:kern w:val="0"/>
                <w:sz w:val="22"/>
                <w:szCs w:val="22"/>
                <w:u w:val="none"/>
                <w:lang w:val="en-US" w:eastAsia="zh-CN" w:bidi="ar"/>
              </w:rPr>
              <w:t>2028年目标值</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auto"/>
                <w:sz w:val="22"/>
                <w:szCs w:val="22"/>
                <w:u w:val="none"/>
              </w:rPr>
            </w:pPr>
            <w:r>
              <w:rPr>
                <w:rFonts w:hint="eastAsia" w:ascii="仿宋_GB2312" w:hAnsi="宋体" w:eastAsia="仿宋_GB2312" w:cs="仿宋_GB2312"/>
                <w:b/>
                <w:bCs/>
                <w:i w:val="0"/>
                <w:iCs w:val="0"/>
                <w:color w:val="auto"/>
                <w:kern w:val="0"/>
                <w:sz w:val="22"/>
                <w:szCs w:val="22"/>
                <w:u w:val="none"/>
                <w:lang w:val="en-US" w:eastAsia="zh-CN" w:bidi="ar"/>
              </w:rPr>
              <w:t>2030年目标值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8" w:hRule="atLeast"/>
        </w:trPr>
        <w:tc>
          <w:tcPr>
            <w:tcW w:w="433" w:type="pct"/>
            <w:vMerge w:val="restart"/>
            <w:tcBorders>
              <w:top w:val="single" w:color="000000" w:sz="4" w:space="0"/>
              <w:left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sz w:val="22"/>
                <w:szCs w:val="22"/>
                <w:u w:val="none"/>
              </w:rPr>
              <w:t>规模实力</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规模以上工业增加值（当年）</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亿元</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124.8</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152.9 </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175.0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433" w:type="pct"/>
            <w:vMerge w:val="continue"/>
            <w:tcBorders>
              <w:left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2</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工业增加值占GDP比重（当年）</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32.8</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33.7 </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eastAsia="仿宋_GB2312" w:cs="仿宋_GB2312"/>
                <w:i w:val="0"/>
                <w:iCs w:val="0"/>
                <w:color w:val="auto"/>
                <w:kern w:val="0"/>
                <w:sz w:val="22"/>
                <w:szCs w:val="22"/>
                <w:u w:val="none"/>
                <w:lang w:val="en-US" w:eastAsia="zh-CN" w:bidi="ar"/>
              </w:rPr>
              <w:t>34.4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433" w:type="pct"/>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3</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先进制造业增加值占规模以上工业增加值的比重（当年）</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47.9</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52.3 </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55.5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433" w:type="pct"/>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产业体量</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4</w:t>
            </w:r>
          </w:p>
        </w:tc>
        <w:tc>
          <w:tcPr>
            <w:tcW w:w="609" w:type="pct"/>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规上工业总产值（当年）</w:t>
            </w:r>
          </w:p>
        </w:tc>
        <w:tc>
          <w:tcPr>
            <w:tcW w:w="1083"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新一代信息技术产业链</w:t>
            </w:r>
          </w:p>
        </w:tc>
        <w:tc>
          <w:tcPr>
            <w:tcW w:w="45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亿元</w:t>
            </w:r>
          </w:p>
        </w:tc>
        <w:tc>
          <w:tcPr>
            <w:tcW w:w="66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71.1</w:t>
            </w:r>
          </w:p>
        </w:tc>
        <w:tc>
          <w:tcPr>
            <w:tcW w:w="70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94.6 </w:t>
            </w:r>
          </w:p>
        </w:tc>
        <w:tc>
          <w:tcPr>
            <w:tcW w:w="707"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114.5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6" w:hRule="atLeast"/>
        </w:trPr>
        <w:tc>
          <w:tcPr>
            <w:tcW w:w="433" w:type="pct"/>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5</w:t>
            </w:r>
          </w:p>
        </w:tc>
        <w:tc>
          <w:tcPr>
            <w:tcW w:w="609" w:type="pct"/>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10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生物医药（含医疗器械）产业链</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亿元</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16.7</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22.2 </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26.9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 w:hRule="atLeast"/>
        </w:trPr>
        <w:tc>
          <w:tcPr>
            <w:tcW w:w="433" w:type="pct"/>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6</w:t>
            </w:r>
          </w:p>
        </w:tc>
        <w:tc>
          <w:tcPr>
            <w:tcW w:w="609" w:type="pct"/>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10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高端装备制造产业链</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亿元</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28.9</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38.5 </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46.5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433" w:type="pct"/>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7</w:t>
            </w:r>
          </w:p>
        </w:tc>
        <w:tc>
          <w:tcPr>
            <w:tcW w:w="609" w:type="pct"/>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10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金属制品（水暖卫浴）产业链</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亿元</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129.9</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141.9 </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150.6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33" w:type="pct"/>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8</w:t>
            </w:r>
          </w:p>
        </w:tc>
        <w:tc>
          <w:tcPr>
            <w:tcW w:w="609" w:type="pct"/>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10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纺织服装产业链</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亿元</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95.4</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104.2 </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110.6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33" w:type="pct"/>
            <w:vMerge w:val="continue"/>
            <w:tcBorders>
              <w:top w:val="nil"/>
              <w:left w:val="single" w:color="000000" w:sz="4" w:space="0"/>
              <w:bottom w:val="single" w:color="auto"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9</w:t>
            </w:r>
          </w:p>
        </w:tc>
        <w:tc>
          <w:tcPr>
            <w:tcW w:w="609" w:type="pct"/>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10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食品产业链</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亿元</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63.6</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69.5 </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73.7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产业平台</w:t>
            </w:r>
          </w:p>
        </w:tc>
        <w:tc>
          <w:tcPr>
            <w:tcW w:w="341"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10</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2个省级以上开发区新引进工业项目计划投资额</w:t>
            </w:r>
          </w:p>
          <w:p>
            <w:pPr>
              <w:keepNext w:val="0"/>
              <w:keepLines w:val="0"/>
              <w:widowControl/>
              <w:suppressLineNumbers w:val="0"/>
              <w:jc w:val="center"/>
              <w:textAlignment w:val="center"/>
              <w:rPr>
                <w:rFonts w:hint="eastAsia" w:ascii="仿宋_GB2312" w:hAnsi="宋体" w:eastAsia="仿宋_GB2312" w:cs="仿宋_GB2312"/>
                <w:i w:val="0"/>
                <w:iCs w:val="0"/>
                <w:color w:val="auto"/>
                <w:kern w:val="2"/>
                <w:sz w:val="22"/>
                <w:szCs w:val="22"/>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（“十四五”/“十五五”期间年均）</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2"/>
                <w:sz w:val="22"/>
                <w:szCs w:val="22"/>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亿元</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2"/>
                <w:sz w:val="22"/>
                <w:szCs w:val="22"/>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2"/>
                <w:sz w:val="22"/>
                <w:szCs w:val="22"/>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90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2"/>
                <w:sz w:val="22"/>
                <w:szCs w:val="22"/>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p>
        </w:tc>
        <w:tc>
          <w:tcPr>
            <w:tcW w:w="341"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11</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2"/>
                <w:sz w:val="22"/>
                <w:szCs w:val="22"/>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省产业园区规上工业增加值增速（“十四五”/“十五五”期间年均）</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2"/>
                <w:sz w:val="22"/>
                <w:szCs w:val="22"/>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2"/>
                <w:sz w:val="22"/>
                <w:szCs w:val="22"/>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2"/>
                <w:sz w:val="22"/>
                <w:szCs w:val="22"/>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达到江门市平均水平的120%以上</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2"/>
                <w:sz w:val="22"/>
                <w:szCs w:val="22"/>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达到江门市平均水平的120%以上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3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招商引资</w:t>
            </w:r>
          </w:p>
        </w:tc>
        <w:tc>
          <w:tcPr>
            <w:tcW w:w="341"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eastAsia="仿宋_GB2312" w:cs="仿宋_GB2312"/>
                <w:i w:val="0"/>
                <w:iCs w:val="0"/>
                <w:color w:val="auto"/>
                <w:kern w:val="0"/>
                <w:sz w:val="22"/>
                <w:szCs w:val="22"/>
                <w:u w:val="none"/>
                <w:lang w:val="en-US" w:eastAsia="zh-CN" w:bidi="ar"/>
              </w:rPr>
              <w:t>12</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超亿元项目</w:t>
            </w:r>
            <w:r>
              <w:rPr>
                <w:rFonts w:hint="eastAsia" w:ascii="仿宋_GB2312" w:hAnsi="宋体" w:eastAsia="仿宋_GB2312" w:cs="仿宋_GB2312"/>
                <w:i w:val="0"/>
                <w:iCs w:val="0"/>
                <w:color w:val="auto"/>
                <w:kern w:val="0"/>
                <w:sz w:val="22"/>
                <w:szCs w:val="22"/>
                <w:u w:val="none"/>
                <w:lang w:val="en-US" w:eastAsia="zh-CN" w:bidi="ar"/>
              </w:rPr>
              <w:br w:type="textWrapping"/>
            </w:r>
            <w:r>
              <w:rPr>
                <w:rFonts w:hint="eastAsia" w:ascii="仿宋_GB2312" w:hAnsi="宋体" w:eastAsia="仿宋_GB2312" w:cs="仿宋_GB2312"/>
                <w:i w:val="0"/>
                <w:iCs w:val="0"/>
                <w:color w:val="auto"/>
                <w:kern w:val="0"/>
                <w:sz w:val="22"/>
                <w:szCs w:val="22"/>
                <w:u w:val="none"/>
                <w:lang w:val="en-US" w:eastAsia="zh-CN" w:bidi="ar"/>
              </w:rPr>
              <w:t>（“十四五”/“十五五”期间累计）</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个</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240</w:t>
            </w:r>
            <w:r>
              <w:rPr>
                <w:rFonts w:hint="eastAsia" w:ascii="仿宋_GB2312" w:hAnsi="宋体" w:eastAsia="仿宋_GB2312" w:cs="仿宋_GB2312"/>
                <w:i w:val="0"/>
                <w:iCs w:val="0"/>
                <w:color w:val="auto"/>
                <w:kern w:val="0"/>
                <w:sz w:val="22"/>
                <w:szCs w:val="22"/>
                <w:u w:val="none"/>
                <w:lang w:val="en-US" w:eastAsia="zh-CN" w:bidi="ar"/>
              </w:rPr>
              <w:br w:type="textWrapping"/>
            </w:r>
            <w:r>
              <w:rPr>
                <w:rFonts w:hint="eastAsia" w:ascii="仿宋_GB2312" w:hAnsi="宋体" w:eastAsia="仿宋_GB2312" w:cs="仿宋_GB2312"/>
                <w:i w:val="0"/>
                <w:iCs w:val="0"/>
                <w:color w:val="auto"/>
                <w:kern w:val="0"/>
                <w:sz w:val="22"/>
                <w:szCs w:val="22"/>
                <w:u w:val="none"/>
                <w:lang w:val="en-US" w:eastAsia="zh-CN" w:bidi="ar"/>
              </w:rPr>
              <w:t>（不含10亿元以上项目数）</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180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eastAsia="仿宋_GB2312" w:cs="仿宋_GB2312"/>
                <w:i w:val="0"/>
                <w:iCs w:val="0"/>
                <w:color w:val="auto"/>
                <w:kern w:val="0"/>
                <w:sz w:val="22"/>
                <w:szCs w:val="22"/>
                <w:u w:val="none"/>
                <w:lang w:val="en-US" w:eastAsia="zh-CN" w:bidi="ar"/>
              </w:rPr>
              <w:t>13</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新引进超10亿元项目</w:t>
            </w:r>
            <w:r>
              <w:rPr>
                <w:rFonts w:hint="eastAsia" w:ascii="仿宋_GB2312" w:hAnsi="宋体" w:eastAsia="仿宋_GB2312" w:cs="仿宋_GB2312"/>
                <w:i w:val="0"/>
                <w:iCs w:val="0"/>
                <w:color w:val="auto"/>
                <w:kern w:val="0"/>
                <w:sz w:val="22"/>
                <w:szCs w:val="22"/>
                <w:u w:val="none"/>
                <w:lang w:val="en-US" w:eastAsia="zh-CN" w:bidi="ar"/>
              </w:rPr>
              <w:br w:type="textWrapping"/>
            </w:r>
            <w:r>
              <w:rPr>
                <w:rFonts w:hint="eastAsia" w:ascii="仿宋_GB2312" w:hAnsi="宋体" w:eastAsia="仿宋_GB2312" w:cs="仿宋_GB2312"/>
                <w:i w:val="0"/>
                <w:iCs w:val="0"/>
                <w:color w:val="auto"/>
                <w:kern w:val="0"/>
                <w:sz w:val="22"/>
                <w:szCs w:val="22"/>
                <w:u w:val="none"/>
                <w:lang w:val="en-US" w:eastAsia="zh-CN" w:bidi="ar"/>
              </w:rPr>
              <w:t>（“十四五”/“十五五”期间累计）</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个</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23</w:t>
            </w:r>
            <w:r>
              <w:rPr>
                <w:rFonts w:hint="eastAsia" w:ascii="仿宋_GB2312" w:hAnsi="宋体" w:eastAsia="仿宋_GB2312" w:cs="仿宋_GB2312"/>
                <w:i w:val="0"/>
                <w:iCs w:val="0"/>
                <w:color w:val="auto"/>
                <w:kern w:val="0"/>
                <w:sz w:val="22"/>
                <w:szCs w:val="22"/>
                <w:u w:val="none"/>
                <w:lang w:val="en-US" w:eastAsia="zh-CN" w:bidi="ar"/>
              </w:rPr>
              <w:br w:type="textWrapping"/>
            </w:r>
            <w:r>
              <w:rPr>
                <w:rFonts w:hint="eastAsia" w:ascii="仿宋_GB2312" w:hAnsi="宋体" w:eastAsia="仿宋_GB2312" w:cs="仿宋_GB2312"/>
                <w:i w:val="0"/>
                <w:iCs w:val="0"/>
                <w:color w:val="auto"/>
                <w:kern w:val="0"/>
                <w:sz w:val="22"/>
                <w:szCs w:val="22"/>
                <w:u w:val="none"/>
                <w:lang w:val="en-US" w:eastAsia="zh-CN" w:bidi="ar"/>
              </w:rPr>
              <w:t>（不含50亿元以上项目数）</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18</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eastAsia="仿宋_GB2312" w:cs="仿宋_GB2312"/>
                <w:i w:val="0"/>
                <w:iCs w:val="0"/>
                <w:color w:val="auto"/>
                <w:kern w:val="0"/>
                <w:sz w:val="22"/>
                <w:szCs w:val="22"/>
                <w:u w:val="none"/>
                <w:lang w:val="en-US" w:eastAsia="zh-CN" w:bidi="ar"/>
              </w:rPr>
              <w:t>14</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新引进超50亿元项目</w:t>
            </w:r>
            <w:r>
              <w:rPr>
                <w:rFonts w:hint="eastAsia" w:ascii="仿宋_GB2312" w:hAnsi="宋体" w:eastAsia="仿宋_GB2312" w:cs="仿宋_GB2312"/>
                <w:i w:val="0"/>
                <w:iCs w:val="0"/>
                <w:color w:val="auto"/>
                <w:kern w:val="0"/>
                <w:sz w:val="22"/>
                <w:szCs w:val="22"/>
                <w:u w:val="none"/>
                <w:lang w:val="en-US" w:eastAsia="zh-CN" w:bidi="ar"/>
              </w:rPr>
              <w:br w:type="textWrapping"/>
            </w:r>
            <w:r>
              <w:rPr>
                <w:rFonts w:hint="eastAsia" w:ascii="仿宋_GB2312" w:hAnsi="宋体" w:eastAsia="仿宋_GB2312" w:cs="仿宋_GB2312"/>
                <w:i w:val="0"/>
                <w:iCs w:val="0"/>
                <w:color w:val="auto"/>
                <w:kern w:val="0"/>
                <w:sz w:val="22"/>
                <w:szCs w:val="22"/>
                <w:u w:val="none"/>
                <w:lang w:val="en-US" w:eastAsia="zh-CN" w:bidi="ar"/>
              </w:rPr>
              <w:t>（“十四五”/“十五五”期间累计）</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个</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7"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eastAsia="仿宋_GB2312" w:cs="仿宋_GB2312"/>
                <w:i w:val="0"/>
                <w:iCs w:val="0"/>
                <w:color w:val="auto"/>
                <w:kern w:val="0"/>
                <w:sz w:val="22"/>
                <w:szCs w:val="22"/>
                <w:u w:val="none"/>
                <w:lang w:val="en-US" w:eastAsia="zh-CN" w:bidi="ar"/>
              </w:rPr>
              <w:t>15</w:t>
            </w:r>
          </w:p>
        </w:tc>
        <w:tc>
          <w:tcPr>
            <w:tcW w:w="1692"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工业投资</w:t>
            </w:r>
            <w:r>
              <w:rPr>
                <w:rFonts w:hint="eastAsia" w:ascii="仿宋_GB2312" w:hAnsi="宋体" w:eastAsia="仿宋_GB2312" w:cs="仿宋_GB2312"/>
                <w:i w:val="0"/>
                <w:iCs w:val="0"/>
                <w:color w:val="auto"/>
                <w:kern w:val="0"/>
                <w:sz w:val="22"/>
                <w:szCs w:val="22"/>
                <w:u w:val="none"/>
                <w:lang w:val="en-US" w:eastAsia="zh-CN" w:bidi="ar"/>
              </w:rPr>
              <w:t>增速</w:t>
            </w:r>
          </w:p>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（“十四五”/“十五五”期间年均）</w:t>
            </w:r>
          </w:p>
        </w:tc>
        <w:tc>
          <w:tcPr>
            <w:tcW w:w="456"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sz w:val="22"/>
                <w:szCs w:val="22"/>
                <w:u w:val="none"/>
              </w:rPr>
              <w:t>-2.2</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eastAsia="仿宋_GB2312" w:cs="仿宋_GB2312"/>
                <w:i w:val="0"/>
                <w:iCs w:val="0"/>
                <w:color w:val="auto"/>
                <w:kern w:val="0"/>
                <w:sz w:val="22"/>
                <w:szCs w:val="22"/>
                <w:u w:val="none"/>
                <w:lang w:val="en-US" w:eastAsia="zh-CN" w:bidi="ar"/>
              </w:rPr>
              <w:t>6.0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eastAsia="仿宋_GB2312" w:cs="仿宋_GB2312"/>
                <w:i w:val="0"/>
                <w:iCs w:val="0"/>
                <w:color w:val="auto"/>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7"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16</w:t>
            </w:r>
          </w:p>
        </w:tc>
        <w:tc>
          <w:tcPr>
            <w:tcW w:w="1692"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技改投资增速</w:t>
            </w:r>
          </w:p>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（“十四五”/“十五五”期间年均）</w:t>
            </w:r>
          </w:p>
        </w:tc>
        <w:tc>
          <w:tcPr>
            <w:tcW w:w="456"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−11.8</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6.0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17</w:t>
            </w:r>
          </w:p>
        </w:tc>
        <w:tc>
          <w:tcPr>
            <w:tcW w:w="1692"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新引进制造业项目投资额</w:t>
            </w:r>
          </w:p>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（“十四五”/“十五五”期间年均）</w:t>
            </w:r>
          </w:p>
        </w:tc>
        <w:tc>
          <w:tcPr>
            <w:tcW w:w="456"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亿元</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124.8</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168.0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168.0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2"/>
                <w:sz w:val="22"/>
                <w:szCs w:val="22"/>
                <w:u w:val="none"/>
                <w:lang w:val="en-US" w:eastAsia="zh-CN" w:bidi="ar-SA"/>
              </w:rPr>
            </w:pPr>
            <w:r>
              <w:rPr>
                <w:rFonts w:hint="eastAsia" w:ascii="仿宋_GB2312" w:hAnsi="宋体" w:eastAsia="仿宋_GB2312" w:cs="仿宋_GB2312"/>
                <w:i w:val="0"/>
                <w:iCs w:val="0"/>
                <w:color w:val="auto"/>
                <w:kern w:val="0"/>
                <w:sz w:val="22"/>
                <w:szCs w:val="22"/>
                <w:u w:val="none"/>
                <w:lang w:val="en-US" w:eastAsia="zh-CN" w:bidi="ar"/>
              </w:rPr>
              <w:t>18</w:t>
            </w:r>
          </w:p>
        </w:tc>
        <w:tc>
          <w:tcPr>
            <w:tcW w:w="1692"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投资亿元以上增资扩产项目</w:t>
            </w:r>
          </w:p>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（“十四五”/“十五五”期间年均）</w:t>
            </w:r>
          </w:p>
        </w:tc>
        <w:tc>
          <w:tcPr>
            <w:tcW w:w="456"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个</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15</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19</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43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梯度培育</w:t>
            </w:r>
          </w:p>
        </w:tc>
        <w:tc>
          <w:tcPr>
            <w:tcW w:w="3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2"/>
                <w:sz w:val="22"/>
                <w:szCs w:val="22"/>
                <w:u w:val="none"/>
                <w:lang w:val="en-US" w:eastAsia="zh-CN" w:bidi="ar-SA"/>
              </w:rPr>
            </w:pPr>
            <w:r>
              <w:rPr>
                <w:rFonts w:hint="eastAsia" w:ascii="仿宋_GB2312" w:hAnsi="宋体" w:eastAsia="仿宋_GB2312" w:cs="仿宋_GB2312"/>
                <w:i w:val="0"/>
                <w:iCs w:val="0"/>
                <w:color w:val="auto"/>
                <w:kern w:val="0"/>
                <w:sz w:val="22"/>
                <w:szCs w:val="22"/>
                <w:u w:val="none"/>
                <w:lang w:val="en-US" w:eastAsia="zh-CN" w:bidi="ar"/>
              </w:rPr>
              <w:t>19</w:t>
            </w:r>
          </w:p>
        </w:tc>
        <w:tc>
          <w:tcPr>
            <w:tcW w:w="1692"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年产值超10亿元企业（当年）</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家</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9</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12</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2"/>
                <w:sz w:val="22"/>
                <w:szCs w:val="22"/>
                <w:u w:val="none"/>
                <w:lang w:val="en-US" w:eastAsia="zh-CN" w:bidi="ar-SA"/>
              </w:rPr>
            </w:pPr>
            <w:r>
              <w:rPr>
                <w:rFonts w:hint="eastAsia" w:ascii="仿宋_GB2312" w:hAnsi="宋体" w:eastAsia="仿宋_GB2312" w:cs="仿宋_GB2312"/>
                <w:i w:val="0"/>
                <w:iCs w:val="0"/>
                <w:color w:val="auto"/>
                <w:kern w:val="0"/>
                <w:sz w:val="22"/>
                <w:szCs w:val="22"/>
                <w:u w:val="none"/>
                <w:lang w:val="en-US" w:eastAsia="zh-CN" w:bidi="ar"/>
              </w:rPr>
              <w:t>20</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年产值超40亿元企业（当年）</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家</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0</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2"/>
                <w:sz w:val="22"/>
                <w:szCs w:val="22"/>
                <w:u w:val="none"/>
                <w:lang w:val="en-US" w:eastAsia="zh-CN" w:bidi="ar-SA"/>
              </w:rPr>
            </w:pPr>
            <w:r>
              <w:rPr>
                <w:rFonts w:hint="eastAsia" w:ascii="仿宋_GB2312" w:hAnsi="宋体" w:eastAsia="仿宋_GB2312" w:cs="仿宋_GB2312"/>
                <w:i w:val="0"/>
                <w:iCs w:val="0"/>
                <w:color w:val="auto"/>
                <w:kern w:val="0"/>
                <w:sz w:val="22"/>
                <w:szCs w:val="22"/>
                <w:u w:val="none"/>
                <w:lang w:val="en-US" w:eastAsia="zh-CN" w:bidi="ar"/>
              </w:rPr>
              <w:t>21</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新增“小升规”企业</w:t>
            </w:r>
            <w:r>
              <w:rPr>
                <w:rFonts w:hint="eastAsia" w:ascii="仿宋_GB2312" w:hAnsi="宋体" w:eastAsia="仿宋_GB2312" w:cs="仿宋_GB2312"/>
                <w:i w:val="0"/>
                <w:iCs w:val="0"/>
                <w:color w:val="auto"/>
                <w:kern w:val="0"/>
                <w:sz w:val="22"/>
                <w:szCs w:val="22"/>
                <w:u w:val="none"/>
                <w:lang w:val="en-US" w:eastAsia="zh-CN" w:bidi="ar"/>
              </w:rPr>
              <w:br w:type="textWrapping"/>
            </w:r>
            <w:r>
              <w:rPr>
                <w:rFonts w:hint="eastAsia" w:ascii="仿宋_GB2312" w:hAnsi="宋体" w:eastAsia="仿宋_GB2312" w:cs="仿宋_GB2312"/>
                <w:i w:val="0"/>
                <w:iCs w:val="0"/>
                <w:color w:val="auto"/>
                <w:kern w:val="0"/>
                <w:sz w:val="22"/>
                <w:szCs w:val="22"/>
                <w:u w:val="none"/>
                <w:lang w:val="en-US" w:eastAsia="zh-CN" w:bidi="ar"/>
              </w:rPr>
              <w:t>（“十四五”/“十五五”期间年均）</w:t>
            </w:r>
          </w:p>
        </w:tc>
        <w:tc>
          <w:tcPr>
            <w:tcW w:w="456"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家</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51</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53</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2"/>
                <w:sz w:val="22"/>
                <w:szCs w:val="22"/>
                <w:u w:val="none"/>
                <w:lang w:val="en-US" w:eastAsia="zh-CN" w:bidi="ar-SA"/>
              </w:rPr>
            </w:pPr>
            <w:r>
              <w:rPr>
                <w:rFonts w:hint="eastAsia" w:ascii="仿宋_GB2312" w:hAnsi="宋体" w:eastAsia="仿宋_GB2312" w:cs="仿宋_GB2312"/>
                <w:i w:val="0"/>
                <w:iCs w:val="0"/>
                <w:color w:val="auto"/>
                <w:kern w:val="0"/>
                <w:sz w:val="22"/>
                <w:szCs w:val="22"/>
                <w:u w:val="none"/>
                <w:lang w:val="en-US" w:eastAsia="zh-CN" w:bidi="ar"/>
              </w:rPr>
              <w:t>22</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单项冠军企业（累计）</w:t>
            </w:r>
          </w:p>
        </w:tc>
        <w:tc>
          <w:tcPr>
            <w:tcW w:w="456"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家</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2</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3</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2"/>
                <w:sz w:val="22"/>
                <w:szCs w:val="22"/>
                <w:u w:val="none"/>
                <w:lang w:val="en-US" w:eastAsia="zh-CN" w:bidi="ar-SA"/>
              </w:rPr>
            </w:pPr>
            <w:r>
              <w:rPr>
                <w:rFonts w:hint="eastAsia" w:ascii="仿宋_GB2312" w:hAnsi="宋体" w:eastAsia="仿宋_GB2312" w:cs="仿宋_GB2312"/>
                <w:i w:val="0"/>
                <w:iCs w:val="0"/>
                <w:color w:val="auto"/>
                <w:kern w:val="0"/>
                <w:sz w:val="22"/>
                <w:szCs w:val="22"/>
                <w:u w:val="none"/>
                <w:lang w:val="en-US" w:eastAsia="zh-CN" w:bidi="ar"/>
              </w:rPr>
              <w:t>23</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新增省级专精特新企业</w:t>
            </w:r>
          </w:p>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（“十四五”/“十五五”期间</w:t>
            </w:r>
            <w:r>
              <w:rPr>
                <w:rFonts w:hint="eastAsia" w:ascii="仿宋_GB2312" w:hAnsi="宋体" w:eastAsia="仿宋_GB2312" w:cs="仿宋_GB2312"/>
                <w:i w:val="0"/>
                <w:iCs w:val="0"/>
                <w:color w:val="auto"/>
                <w:kern w:val="0"/>
                <w:sz w:val="22"/>
                <w:szCs w:val="22"/>
                <w:u w:val="none"/>
                <w:lang w:val="en-US" w:eastAsia="zh-CN" w:bidi="ar"/>
              </w:rPr>
              <w:t>年均</w:t>
            </w:r>
            <w:r>
              <w:rPr>
                <w:rFonts w:hint="eastAsia" w:ascii="仿宋_GB2312" w:hAnsi="宋体" w:eastAsia="仿宋_GB2312" w:cs="仿宋_GB2312"/>
                <w:i w:val="0"/>
                <w:iCs w:val="0"/>
                <w:color w:val="auto"/>
                <w:kern w:val="0"/>
                <w:sz w:val="22"/>
                <w:szCs w:val="22"/>
                <w:u w:val="none"/>
                <w:lang w:val="en-US" w:eastAsia="zh-CN" w:bidi="ar"/>
              </w:rPr>
              <w:t>）</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家</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eastAsia="仿宋_GB2312" w:cs="仿宋_GB2312"/>
                <w:i w:val="0"/>
                <w:iCs w:val="0"/>
                <w:color w:val="auto"/>
                <w:kern w:val="0"/>
                <w:sz w:val="22"/>
                <w:szCs w:val="22"/>
                <w:u w:val="none"/>
                <w:lang w:val="en-US" w:eastAsia="zh-CN" w:bidi="ar"/>
              </w:rPr>
              <w:t>16</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7</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2"/>
                <w:sz w:val="22"/>
                <w:szCs w:val="22"/>
                <w:u w:val="none"/>
                <w:lang w:val="en-US" w:eastAsia="zh-CN" w:bidi="ar-SA"/>
              </w:rPr>
            </w:pPr>
            <w:r>
              <w:rPr>
                <w:rFonts w:hint="eastAsia" w:ascii="仿宋_GB2312" w:hAnsi="宋体" w:eastAsia="仿宋_GB2312" w:cs="仿宋_GB2312"/>
                <w:i w:val="0"/>
                <w:iCs w:val="0"/>
                <w:color w:val="auto"/>
                <w:kern w:val="0"/>
                <w:sz w:val="22"/>
                <w:szCs w:val="22"/>
                <w:u w:val="none"/>
                <w:lang w:val="en-US" w:eastAsia="zh-CN" w:bidi="ar"/>
              </w:rPr>
              <w:t>24</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新增国家级专精特新“小巨人”企业</w:t>
            </w:r>
          </w:p>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w:t>
            </w:r>
            <w:r>
              <w:rPr>
                <w:rFonts w:hint="eastAsia" w:ascii="仿宋_GB2312" w:hAnsi="宋体" w:eastAsia="仿宋_GB2312" w:cs="仿宋_GB2312"/>
                <w:i w:val="0"/>
                <w:iCs w:val="0"/>
                <w:color w:val="auto"/>
                <w:kern w:val="0"/>
                <w:sz w:val="22"/>
                <w:szCs w:val="22"/>
                <w:u w:val="none"/>
                <w:lang w:val="en-US" w:eastAsia="zh-CN" w:bidi="ar"/>
              </w:rPr>
              <w:t>“十四五”/“十五五”期间</w:t>
            </w:r>
            <w:r>
              <w:rPr>
                <w:rFonts w:hint="eastAsia" w:ascii="仿宋_GB2312" w:hAnsi="宋体" w:eastAsia="仿宋_GB2312" w:cs="仿宋_GB2312"/>
                <w:i w:val="0"/>
                <w:iCs w:val="0"/>
                <w:color w:val="auto"/>
                <w:kern w:val="0"/>
                <w:sz w:val="22"/>
                <w:szCs w:val="22"/>
                <w:u w:val="none"/>
                <w:lang w:val="en-US" w:eastAsia="zh-CN" w:bidi="ar"/>
              </w:rPr>
              <w:t>年均）</w:t>
            </w:r>
          </w:p>
        </w:tc>
        <w:tc>
          <w:tcPr>
            <w:tcW w:w="456"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家</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433"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创新驱动</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2"/>
                <w:sz w:val="22"/>
                <w:szCs w:val="22"/>
                <w:u w:val="none"/>
                <w:lang w:val="en-US" w:eastAsia="zh-CN" w:bidi="ar-SA"/>
              </w:rPr>
            </w:pPr>
            <w:r>
              <w:rPr>
                <w:rFonts w:hint="eastAsia" w:ascii="仿宋_GB2312" w:hAnsi="宋体" w:eastAsia="仿宋_GB2312" w:cs="仿宋_GB2312"/>
                <w:i w:val="0"/>
                <w:iCs w:val="0"/>
                <w:color w:val="auto"/>
                <w:kern w:val="0"/>
                <w:sz w:val="22"/>
                <w:szCs w:val="22"/>
                <w:u w:val="none"/>
                <w:lang w:val="en-US" w:eastAsia="zh-CN" w:bidi="ar"/>
              </w:rPr>
              <w:t>25</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高新技术企业（累计）</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家</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171</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189</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7" w:hRule="atLeast"/>
        </w:trPr>
        <w:tc>
          <w:tcPr>
            <w:tcW w:w="43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2"/>
                <w:sz w:val="22"/>
                <w:szCs w:val="22"/>
                <w:u w:val="none"/>
                <w:lang w:val="en-US" w:eastAsia="zh-CN" w:bidi="ar-SA"/>
              </w:rPr>
            </w:pPr>
            <w:r>
              <w:rPr>
                <w:rFonts w:hint="eastAsia" w:ascii="仿宋_GB2312" w:hAnsi="宋体" w:eastAsia="仿宋_GB2312" w:cs="仿宋_GB2312"/>
                <w:i w:val="0"/>
                <w:iCs w:val="0"/>
                <w:color w:val="auto"/>
                <w:kern w:val="0"/>
                <w:sz w:val="22"/>
                <w:szCs w:val="22"/>
                <w:u w:val="none"/>
                <w:lang w:val="en-US" w:eastAsia="zh-CN" w:bidi="ar"/>
              </w:rPr>
              <w:t>26</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高技术制造业增加值占规模以上工业增加值比重（当年）</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19.8</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24.7 </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 xml:space="preserve">28.7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7" w:hRule="atLeast"/>
        </w:trPr>
        <w:tc>
          <w:tcPr>
            <w:tcW w:w="43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27</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全社会研发经费投入占GDP比重</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0.9（2024年）</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1.2</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6" w:hRule="atLeast"/>
        </w:trPr>
        <w:tc>
          <w:tcPr>
            <w:tcW w:w="43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2"/>
                <w:sz w:val="22"/>
                <w:szCs w:val="22"/>
                <w:u w:val="none"/>
                <w:lang w:val="en-US" w:eastAsia="zh-CN" w:bidi="ar-SA"/>
              </w:rPr>
            </w:pPr>
            <w:r>
              <w:rPr>
                <w:rFonts w:hint="eastAsia" w:ascii="仿宋_GB2312" w:hAnsi="宋体" w:eastAsia="仿宋_GB2312" w:cs="仿宋_GB2312"/>
                <w:i w:val="0"/>
                <w:iCs w:val="0"/>
                <w:color w:val="auto"/>
                <w:kern w:val="0"/>
                <w:sz w:val="22"/>
                <w:szCs w:val="22"/>
                <w:u w:val="none"/>
                <w:lang w:val="en-US" w:eastAsia="zh-CN" w:bidi="ar"/>
              </w:rPr>
              <w:t>28</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省级及以上科技创新平台数量（累计）</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个</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55</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61</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43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数智融合</w:t>
            </w:r>
          </w:p>
        </w:tc>
        <w:tc>
          <w:tcPr>
            <w:tcW w:w="341"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2"/>
                <w:sz w:val="22"/>
                <w:szCs w:val="22"/>
                <w:u w:val="none"/>
                <w:lang w:val="en-US" w:eastAsia="zh-CN" w:bidi="ar-SA"/>
              </w:rPr>
            </w:pPr>
            <w:r>
              <w:rPr>
                <w:rFonts w:hint="eastAsia" w:ascii="仿宋_GB2312" w:hAnsi="宋体" w:eastAsia="仿宋_GB2312" w:cs="仿宋_GB2312"/>
                <w:i w:val="0"/>
                <w:iCs w:val="0"/>
                <w:color w:val="auto"/>
                <w:kern w:val="0"/>
                <w:sz w:val="22"/>
                <w:szCs w:val="22"/>
                <w:u w:val="none"/>
                <w:lang w:val="en-US" w:eastAsia="zh-CN" w:bidi="ar"/>
              </w:rPr>
              <w:t>29</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开展技术改造工业企业数量</w:t>
            </w:r>
          </w:p>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（“十四五”/“十五五”期间年均）</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家</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42</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60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2"/>
                <w:sz w:val="22"/>
                <w:szCs w:val="22"/>
                <w:u w:val="none"/>
                <w:lang w:val="en-US" w:eastAsia="zh-CN" w:bidi="ar-SA"/>
              </w:rPr>
            </w:pPr>
            <w:r>
              <w:rPr>
                <w:rFonts w:hint="eastAsia" w:ascii="仿宋_GB2312" w:hAnsi="宋体" w:eastAsia="仿宋_GB2312" w:cs="仿宋_GB2312"/>
                <w:i w:val="0"/>
                <w:iCs w:val="0"/>
                <w:color w:val="auto"/>
                <w:kern w:val="0"/>
                <w:sz w:val="22"/>
                <w:szCs w:val="22"/>
                <w:u w:val="none"/>
                <w:lang w:val="en-US" w:eastAsia="zh-CN" w:bidi="ar"/>
              </w:rPr>
              <w:t>30</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推动工业企业实现数字化转型数量（累计）</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家</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142</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222</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282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4"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eastAsia="仿宋_GB2312" w:cs="仿宋_GB2312"/>
                <w:i w:val="0"/>
                <w:iCs w:val="0"/>
                <w:color w:val="auto"/>
                <w:kern w:val="0"/>
                <w:sz w:val="22"/>
                <w:szCs w:val="22"/>
                <w:u w:val="none"/>
                <w:lang w:val="en-US" w:eastAsia="zh-CN" w:bidi="ar"/>
              </w:rPr>
              <w:t>31</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培育省级智能制造示范工厂或数字化车间（累计）</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个</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0</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4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宋体" w:eastAsia="仿宋_GB2312" w:cs="仿宋_GB2312"/>
                <w:i w:val="0"/>
                <w:iCs w:val="0"/>
                <w:color w:val="auto"/>
                <w:sz w:val="22"/>
                <w:szCs w:val="22"/>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eastAsia="仿宋_GB2312" w:cs="仿宋_GB2312"/>
                <w:i w:val="0"/>
                <w:iCs w:val="0"/>
                <w:color w:val="auto"/>
                <w:kern w:val="0"/>
                <w:sz w:val="22"/>
                <w:szCs w:val="22"/>
                <w:u w:val="none"/>
                <w:lang w:val="en-US" w:eastAsia="zh-CN" w:bidi="ar"/>
              </w:rPr>
              <w:t>32</w:t>
            </w:r>
          </w:p>
        </w:tc>
        <w:tc>
          <w:tcPr>
            <w:tcW w:w="16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绿色工厂（累计）</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家</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2</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3</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2"/>
                <w:szCs w:val="22"/>
                <w:u w:val="none"/>
              </w:rPr>
            </w:pPr>
            <w:r>
              <w:rPr>
                <w:rFonts w:hint="eastAsia" w:ascii="仿宋_GB2312" w:hAnsi="宋体" w:eastAsia="仿宋_GB2312" w:cs="仿宋_GB2312"/>
                <w:i w:val="0"/>
                <w:iCs w:val="0"/>
                <w:color w:val="auto"/>
                <w:kern w:val="0"/>
                <w:sz w:val="22"/>
                <w:szCs w:val="22"/>
                <w:u w:val="none"/>
                <w:lang w:val="en-US" w:eastAsia="zh-CN" w:bidi="ar"/>
              </w:rPr>
              <w:t>5</w:t>
            </w:r>
          </w:p>
        </w:tc>
      </w:tr>
    </w:tbl>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eastAsia="zh-CN"/>
        </w:rPr>
      </w:pPr>
    </w:p>
    <w:p>
      <w:pPr>
        <w:widowControl w:val="0"/>
        <w:numPr>
          <w:ilvl w:val="0"/>
          <w:numId w:val="0"/>
        </w:numPr>
        <w:jc w:val="both"/>
        <w:rPr>
          <w:rFonts w:hint="eastAsia" w:ascii="仿宋_GB2312" w:hAnsi="仿宋_GB2312" w:eastAsia="仿宋_GB2312" w:cs="仿宋_GB2312"/>
          <w:color w:val="auto"/>
          <w:sz w:val="32"/>
          <w:szCs w:val="32"/>
          <w:lang w:val="en-US" w:eastAsia="zh-CN"/>
        </w:rPr>
        <w:sectPr>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default" w:ascii="黑体" w:hAnsi="黑体" w:eastAsia="黑体" w:cs="黑体"/>
          <w:color w:val="auto"/>
          <w:sz w:val="32"/>
          <w:szCs w:val="32"/>
          <w:lang w:val="en-US" w:eastAsia="zh-CN"/>
        </w:rPr>
      </w:pPr>
      <w:bookmarkStart w:id="15" w:name="_Toc16653"/>
      <w:r>
        <w:rPr>
          <w:rFonts w:hint="eastAsia" w:ascii="黑体" w:hAnsi="黑体" w:eastAsia="黑体" w:cs="黑体"/>
          <w:color w:val="auto"/>
          <w:sz w:val="32"/>
          <w:szCs w:val="32"/>
          <w:lang w:val="en-US" w:eastAsia="zh-CN"/>
        </w:rPr>
        <w:t>第三章 加大科技创新力度</w:t>
      </w:r>
      <w:bookmarkEnd w:id="1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16" w:name="_Toc19133"/>
      <w:r>
        <w:rPr>
          <w:rFonts w:hint="eastAsia" w:ascii="楷体" w:hAnsi="楷体" w:eastAsia="楷体" w:cs="楷体"/>
          <w:b/>
          <w:bCs/>
          <w:color w:val="auto"/>
          <w:sz w:val="32"/>
          <w:szCs w:val="32"/>
          <w:lang w:val="en-US" w:eastAsia="zh-CN"/>
        </w:rPr>
        <w:t>第一节 提高基础研究水平</w:t>
      </w:r>
      <w:bookmarkEnd w:id="1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依托江门中微子实验室，持续产出高水平科研成果。一是</w:t>
      </w:r>
      <w:r>
        <w:rPr>
          <w:rFonts w:hint="eastAsia" w:ascii="仿宋_GB2312" w:hAnsi="仿宋_GB2312" w:eastAsia="仿宋_GB2312" w:cs="仿宋_GB2312"/>
          <w:b w:val="0"/>
          <w:bCs w:val="0"/>
          <w:color w:val="auto"/>
          <w:sz w:val="32"/>
          <w:szCs w:val="32"/>
          <w:highlight w:val="none"/>
          <w:lang w:val="en-US" w:eastAsia="zh-CN"/>
        </w:rPr>
        <w:t>巩固提升实验装置运行效能。持续优化江门中微子实验室探测器运行参数，确保实验材料的极高品质，为获取高质量实验数据奠定坚实基础。</w:t>
      </w:r>
      <w:r>
        <w:rPr>
          <w:rFonts w:hint="eastAsia" w:ascii="仿宋_GB2312" w:hAnsi="仿宋_GB2312" w:eastAsia="仿宋_GB2312" w:cs="仿宋_GB2312"/>
          <w:b/>
          <w:bCs/>
          <w:color w:val="auto"/>
          <w:sz w:val="32"/>
          <w:szCs w:val="32"/>
          <w:highlight w:val="none"/>
          <w:lang w:val="en-US" w:eastAsia="zh-CN"/>
        </w:rPr>
        <w:t>二是</w:t>
      </w:r>
      <w:r>
        <w:rPr>
          <w:rFonts w:hint="eastAsia" w:ascii="仿宋_GB2312" w:hAnsi="仿宋_GB2312" w:eastAsia="仿宋_GB2312" w:cs="仿宋_GB2312"/>
          <w:b w:val="0"/>
          <w:bCs w:val="0"/>
          <w:color w:val="auto"/>
          <w:sz w:val="32"/>
          <w:szCs w:val="32"/>
          <w:highlight w:val="none"/>
          <w:lang w:val="en-US" w:eastAsia="zh-CN"/>
        </w:rPr>
        <w:t>深化重大前沿科学问题攻关。围绕中微子质量顺序这一核心科学目标，系统推进超新星中微子、地球中微子、太阳中微子、大气中微子、惰性中微子等多项国际领先的交叉前沿研究，力争在中微子质量顺序等重大前沿基础科学领域取得从0到1的原创性突破，产出更多世界级高水平科研成果。充分发挥实验探测器性能稳定、数据精度全球领先的显著优势，深化国际合作，进一步提升中微子振荡参数测量精度，争取中国下一代中微子实验落子开平，持续推动我国粒子物理研究走向世界前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17" w:name="_Toc10056"/>
      <w:r>
        <w:rPr>
          <w:rFonts w:hint="eastAsia" w:ascii="楷体" w:hAnsi="楷体" w:eastAsia="楷体" w:cs="楷体"/>
          <w:b/>
          <w:bCs/>
          <w:color w:val="auto"/>
          <w:sz w:val="32"/>
          <w:szCs w:val="32"/>
          <w:lang w:val="en-US" w:eastAsia="zh-CN"/>
        </w:rPr>
        <w:t>第二节 激发企业创新活力</w:t>
      </w:r>
      <w:bookmarkEnd w:id="1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实施高新技术企业培育计划，壮大创新型企业集群</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b w:val="0"/>
          <w:bCs w:val="0"/>
          <w:color w:val="auto"/>
          <w:sz w:val="32"/>
          <w:szCs w:val="32"/>
          <w:lang w:val="en-US" w:eastAsia="zh-CN"/>
        </w:rPr>
        <w:t>梯度培育高企后备力量。建立“科技型中小企业—高新技术企业—科技领军企业”三级培育库，对入库企业实行动态管理、精准服务。筛选一批创新能力强、成长性好的中小企业纳入高企培育清单，辅助解决知识产权、研发费用归集、科技成果转化等薄弱环节。依托开平市公共技术服务平台和科技服务机构，定期举办高企申报培训会、模拟评审会，提高申报成功率。</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推动高企树标提质。遴选一批创新能力突出、成长速度快的高新技术企业，鼓励高企牵头承担省级以上重大科技专项。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bCs/>
          <w:color w:val="auto"/>
          <w:sz w:val="32"/>
          <w:szCs w:val="32"/>
          <w:lang w:val="en-US" w:eastAsia="zh-CN"/>
        </w:rPr>
        <w:t>构建完善产业标准体系</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bCs/>
          <w:color w:val="auto"/>
          <w:sz w:val="32"/>
          <w:szCs w:val="32"/>
          <w:lang w:val="en-US" w:eastAsia="zh-CN"/>
        </w:rPr>
        <w:t>一是</w:t>
      </w:r>
      <w:r>
        <w:rPr>
          <w:rFonts w:hint="default" w:ascii="仿宋_GB2312" w:hAnsi="仿宋_GB2312" w:eastAsia="仿宋_GB2312" w:cs="仿宋_GB2312"/>
          <w:b w:val="0"/>
          <w:bCs w:val="0"/>
          <w:color w:val="auto"/>
          <w:sz w:val="32"/>
          <w:szCs w:val="32"/>
          <w:lang w:val="en-US" w:eastAsia="zh-CN"/>
        </w:rPr>
        <w:t>推动重点产业标准提档升级。围绕水暖卫浴、纺织服装、食品、胶粘材料等优势产业，支持龙头企业、行业协会主导或参与制定国际标准、国家标准、行业标准和团体标准。重点在智能卫浴、绿色卫浴等新兴领域加快标准研制，</w:t>
      </w:r>
      <w:r>
        <w:rPr>
          <w:rFonts w:hint="eastAsia" w:ascii="仿宋_GB2312" w:hAnsi="仿宋_GB2312" w:eastAsia="仿宋_GB2312" w:cs="仿宋_GB2312"/>
          <w:b w:val="0"/>
          <w:bCs w:val="0"/>
          <w:color w:val="auto"/>
          <w:sz w:val="32"/>
          <w:szCs w:val="32"/>
          <w:lang w:val="en-US" w:eastAsia="zh-CN"/>
        </w:rPr>
        <w:t>提升</w:t>
      </w:r>
      <w:r>
        <w:rPr>
          <w:rFonts w:hint="default" w:ascii="仿宋_GB2312" w:hAnsi="仿宋_GB2312" w:eastAsia="仿宋_GB2312" w:cs="仿宋_GB2312"/>
          <w:b w:val="0"/>
          <w:bCs w:val="0"/>
          <w:color w:val="auto"/>
          <w:sz w:val="32"/>
          <w:szCs w:val="32"/>
          <w:lang w:val="en-US" w:eastAsia="zh-CN"/>
        </w:rPr>
        <w:t>行业话语权。</w:t>
      </w:r>
      <w:r>
        <w:rPr>
          <w:rFonts w:hint="default" w:ascii="仿宋_GB2312" w:hAnsi="仿宋_GB2312" w:eastAsia="仿宋_GB2312" w:cs="仿宋_GB2312"/>
          <w:b/>
          <w:bCs/>
          <w:color w:val="auto"/>
          <w:sz w:val="32"/>
          <w:szCs w:val="32"/>
          <w:lang w:val="en-US" w:eastAsia="zh-CN"/>
        </w:rPr>
        <w:t>二是</w:t>
      </w:r>
      <w:r>
        <w:rPr>
          <w:rFonts w:hint="default" w:ascii="仿宋_GB2312" w:hAnsi="仿宋_GB2312" w:eastAsia="仿宋_GB2312" w:cs="仿宋_GB2312"/>
          <w:b w:val="0"/>
          <w:bCs w:val="0"/>
          <w:color w:val="auto"/>
          <w:sz w:val="32"/>
          <w:szCs w:val="32"/>
          <w:lang w:val="en-US" w:eastAsia="zh-CN"/>
        </w:rPr>
        <w:t>强化质量标准基础建设。依托国家知识产权快速维权中心，建设水暖卫浴、纺织服装、食品等重点产业的质量检测和标准服务中心，为企业提供标准咨询、检验检测、认证认可等一站式服务。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18" w:name="_Toc18049"/>
      <w:r>
        <w:rPr>
          <w:rFonts w:hint="eastAsia" w:ascii="楷体" w:hAnsi="楷体" w:eastAsia="楷体" w:cs="楷体"/>
          <w:b/>
          <w:bCs/>
          <w:color w:val="auto"/>
          <w:sz w:val="32"/>
          <w:szCs w:val="32"/>
          <w:lang w:val="en-US" w:eastAsia="zh-CN"/>
        </w:rPr>
        <w:t>第三节 拓展科技合作</w:t>
      </w:r>
      <w:bookmarkEnd w:id="1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default" w:ascii="仿宋_GB2312" w:hAnsi="仿宋_GB2312" w:eastAsia="仿宋_GB2312" w:cs="仿宋_GB2312"/>
          <w:b/>
          <w:bCs/>
          <w:color w:val="auto"/>
          <w:sz w:val="32"/>
          <w:szCs w:val="32"/>
          <w:highlight w:val="none"/>
          <w:lang w:val="en-US" w:eastAsia="zh-CN"/>
        </w:rPr>
        <w:t>深度融入粤港澳大湾区创新生态</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bCs/>
          <w:color w:val="auto"/>
          <w:sz w:val="32"/>
          <w:szCs w:val="32"/>
          <w:highlight w:val="none"/>
          <w:lang w:val="en-US" w:eastAsia="zh-CN"/>
        </w:rPr>
        <w:t>一是</w:t>
      </w:r>
      <w:r>
        <w:rPr>
          <w:rFonts w:hint="eastAsia" w:ascii="仿宋_GB2312" w:hAnsi="仿宋_GB2312" w:eastAsia="仿宋_GB2312" w:cs="仿宋_GB2312"/>
          <w:b w:val="0"/>
          <w:bCs w:val="0"/>
          <w:color w:val="auto"/>
          <w:sz w:val="32"/>
          <w:szCs w:val="32"/>
          <w:highlight w:val="none"/>
          <w:lang w:val="en-US" w:eastAsia="zh-CN"/>
        </w:rPr>
        <w:t>借力省科协推动企业精准赋能。依托省科协纵向帮扶机制，推动科技资源向企业延伸适配，从专家智库、平台建设、品牌赋能、人才引育等多维度支撑开平产业高质量发展。主动对接省食品学会、省生物医学工程学会、省节能工程技术创新促进会、省地质学会等省级学会资源，围绕企业研发设计、工艺优化、标准检测等环节精准赋能。</w:t>
      </w:r>
      <w:r>
        <w:rPr>
          <w:rFonts w:hint="eastAsia" w:ascii="仿宋_GB2312" w:hAnsi="仿宋_GB2312" w:eastAsia="仿宋_GB2312" w:cs="仿宋_GB2312"/>
          <w:b/>
          <w:bCs/>
          <w:color w:val="auto"/>
          <w:sz w:val="32"/>
          <w:szCs w:val="32"/>
          <w:highlight w:val="none"/>
          <w:lang w:val="en-US" w:eastAsia="zh-CN"/>
        </w:rPr>
        <w:t>二是</w:t>
      </w:r>
      <w:r>
        <w:rPr>
          <w:rFonts w:hint="eastAsia" w:ascii="仿宋_GB2312" w:hAnsi="仿宋_GB2312" w:eastAsia="仿宋_GB2312" w:cs="仿宋_GB2312"/>
          <w:b w:val="0"/>
          <w:bCs w:val="0"/>
          <w:color w:val="auto"/>
          <w:sz w:val="32"/>
          <w:szCs w:val="32"/>
          <w:highlight w:val="none"/>
          <w:lang w:val="en-US" w:eastAsia="zh-CN"/>
        </w:rPr>
        <w:t>推进省级学会科技服务站建设。力争新建一批省级学会科技服务站，打造链接科研资源与产业需求的渠道。推动省级学会优质资源下沉，开展常态化技术咨询和人才培养服务。</w:t>
      </w:r>
      <w:r>
        <w:rPr>
          <w:rFonts w:hint="eastAsia" w:ascii="仿宋_GB2312" w:hAnsi="仿宋_GB2312" w:eastAsia="仿宋_GB2312" w:cs="仿宋_GB2312"/>
          <w:b/>
          <w:bCs/>
          <w:color w:val="auto"/>
          <w:sz w:val="32"/>
          <w:szCs w:val="32"/>
          <w:highlight w:val="none"/>
          <w:lang w:val="en-US" w:eastAsia="zh-CN"/>
        </w:rPr>
        <w:t>三是</w:t>
      </w:r>
      <w:r>
        <w:rPr>
          <w:rFonts w:hint="eastAsia" w:ascii="仿宋_GB2312" w:hAnsi="仿宋_GB2312" w:eastAsia="仿宋_GB2312" w:cs="仿宋_GB2312"/>
          <w:b w:val="0"/>
          <w:bCs w:val="0"/>
          <w:color w:val="auto"/>
          <w:sz w:val="32"/>
          <w:szCs w:val="32"/>
          <w:highlight w:val="none"/>
          <w:lang w:val="en-US" w:eastAsia="zh-CN"/>
        </w:rPr>
        <w:t>深度对接大湾区创新高地。依托江门中微子实验室的国际合作网络，主动深化与广州科学城、深圳光明科学城、香港高校及科研机构等大湾区高端创新平台对接，建立双向技术转移和人才互访机制。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sectPr>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default" w:ascii="黑体" w:hAnsi="黑体" w:eastAsia="黑体" w:cs="黑体"/>
          <w:color w:val="auto"/>
          <w:sz w:val="32"/>
          <w:szCs w:val="32"/>
          <w:lang w:val="en-US" w:eastAsia="zh-CN"/>
        </w:rPr>
      </w:pPr>
      <w:bookmarkStart w:id="19" w:name="_Toc9529"/>
      <w:r>
        <w:rPr>
          <w:rFonts w:hint="eastAsia" w:ascii="黑体" w:hAnsi="黑体" w:eastAsia="黑体" w:cs="黑体"/>
          <w:color w:val="auto"/>
          <w:sz w:val="32"/>
          <w:szCs w:val="32"/>
          <w:lang w:val="en-US" w:eastAsia="zh-CN"/>
        </w:rPr>
        <w:t>第四章 深化产业和科技互促双强</w:t>
      </w:r>
      <w:bookmarkEnd w:id="1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eastAsia" w:ascii="楷体" w:hAnsi="楷体" w:eastAsia="楷体" w:cs="楷体"/>
          <w:b/>
          <w:bCs/>
          <w:color w:val="auto"/>
          <w:sz w:val="32"/>
          <w:szCs w:val="32"/>
          <w:lang w:val="en-US" w:eastAsia="zh-CN"/>
        </w:rPr>
      </w:pPr>
      <w:bookmarkStart w:id="20" w:name="_Toc795"/>
      <w:r>
        <w:rPr>
          <w:rFonts w:hint="eastAsia" w:ascii="楷体" w:hAnsi="楷体" w:eastAsia="楷体" w:cs="楷体"/>
          <w:b/>
          <w:bCs/>
          <w:color w:val="auto"/>
          <w:sz w:val="32"/>
          <w:szCs w:val="32"/>
          <w:lang w:val="en-US" w:eastAsia="zh-CN"/>
        </w:rPr>
        <w:t>第一节 加强产学研协同创新</w:t>
      </w:r>
      <w:bookmarkEnd w:id="2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建立健全以企业为主体、市场为导向、产学研深度融合的技术创新体系，推动创新要素向企业集聚</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bCs/>
          <w:color w:val="auto"/>
          <w:sz w:val="32"/>
          <w:szCs w:val="32"/>
          <w:highlight w:val="none"/>
          <w:lang w:val="en-US" w:eastAsia="zh-CN"/>
        </w:rPr>
        <w:t>一是</w:t>
      </w:r>
      <w:r>
        <w:rPr>
          <w:rFonts w:hint="eastAsia" w:ascii="仿宋_GB2312" w:hAnsi="仿宋_GB2312" w:eastAsia="仿宋_GB2312" w:cs="仿宋_GB2312"/>
          <w:b w:val="0"/>
          <w:bCs w:val="0"/>
          <w:color w:val="auto"/>
          <w:sz w:val="32"/>
          <w:szCs w:val="32"/>
          <w:highlight w:val="none"/>
          <w:lang w:val="en-US" w:eastAsia="zh-CN"/>
        </w:rPr>
        <w:t>搭建校企合作平台，共建联合创新载体。支持龙头企业与五邑大学、华南理工大学、广东省科学院等高校院所共建联合实验室、工程技术研究中心、产业技术创新联盟。</w:t>
      </w:r>
      <w:r>
        <w:rPr>
          <w:rFonts w:hint="eastAsia" w:ascii="仿宋_GB2312" w:hAnsi="仿宋_GB2312" w:eastAsia="仿宋_GB2312" w:cs="仿宋_GB2312"/>
          <w:b/>
          <w:bCs/>
          <w:color w:val="auto"/>
          <w:sz w:val="32"/>
          <w:szCs w:val="32"/>
          <w:highlight w:val="none"/>
          <w:lang w:val="en-US" w:eastAsia="zh-CN"/>
        </w:rPr>
        <w:t>二是</w:t>
      </w:r>
      <w:r>
        <w:rPr>
          <w:rFonts w:hint="eastAsia" w:ascii="仿宋_GB2312" w:hAnsi="仿宋_GB2312" w:eastAsia="仿宋_GB2312" w:cs="仿宋_GB2312"/>
          <w:b w:val="0"/>
          <w:bCs w:val="0"/>
          <w:color w:val="auto"/>
          <w:sz w:val="32"/>
          <w:szCs w:val="32"/>
          <w:highlight w:val="none"/>
          <w:lang w:val="en-US" w:eastAsia="zh-CN"/>
        </w:rPr>
        <w:t>深化校地战略合作，建立常态化对接机制。强化与广州航海学院、江门职业技术学院等结对院校的对接，</w:t>
      </w:r>
      <w:r>
        <w:rPr>
          <w:rFonts w:hint="eastAsia" w:ascii="仿宋_GB2312" w:hAnsi="仿宋_GB2312" w:eastAsia="仿宋_GB2312" w:cs="仿宋_GB2312"/>
          <w:b w:val="0"/>
          <w:bCs w:val="0"/>
          <w:color w:val="auto"/>
          <w:sz w:val="32"/>
          <w:szCs w:val="32"/>
          <w:highlight w:val="none"/>
          <w:lang w:val="en-US" w:eastAsia="zh-CN"/>
        </w:rPr>
        <w:t>通过“需求库”与“专家库”精准匹配</w:t>
      </w:r>
      <w:r>
        <w:rPr>
          <w:rFonts w:hint="eastAsia" w:ascii="仿宋_GB2312" w:hAnsi="仿宋_GB2312" w:eastAsia="仿宋_GB2312" w:cs="仿宋_GB2312"/>
          <w:b w:val="0"/>
          <w:bCs w:val="0"/>
          <w:color w:val="auto"/>
          <w:sz w:val="32"/>
          <w:szCs w:val="32"/>
          <w:highlight w:val="none"/>
          <w:lang w:val="en-US" w:eastAsia="zh-CN"/>
        </w:rPr>
        <w:t>，形成“企业提需求、高校配资源、政府保落地”的产学研闭环。</w:t>
      </w:r>
      <w:r>
        <w:rPr>
          <w:rFonts w:hint="eastAsia" w:ascii="仿宋_GB2312" w:hAnsi="仿宋_GB2312" w:eastAsia="仿宋_GB2312" w:cs="仿宋_GB2312"/>
          <w:b/>
          <w:bCs/>
          <w:color w:val="auto"/>
          <w:sz w:val="32"/>
          <w:szCs w:val="32"/>
          <w:highlight w:val="none"/>
          <w:lang w:val="en-US" w:eastAsia="zh-CN"/>
        </w:rPr>
        <w:t>三是</w:t>
      </w:r>
      <w:r>
        <w:rPr>
          <w:rFonts w:hint="eastAsia" w:ascii="仿宋_GB2312" w:hAnsi="仿宋_GB2312" w:eastAsia="仿宋_GB2312" w:cs="仿宋_GB2312"/>
          <w:b w:val="0"/>
          <w:bCs w:val="0"/>
          <w:color w:val="auto"/>
          <w:sz w:val="32"/>
          <w:szCs w:val="32"/>
          <w:highlight w:val="none"/>
          <w:lang w:val="en-US" w:eastAsia="zh-CN"/>
        </w:rPr>
        <w:t>强化产业人才培养，夯实产学研人才根基。推动高职院校与产业园区共建实训基地，定向培养数控加工、智能设备维护、工业互联网应用等紧缺技能人才。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eastAsia" w:ascii="楷体" w:hAnsi="楷体" w:eastAsia="楷体" w:cs="楷体"/>
          <w:b/>
          <w:bCs/>
          <w:color w:val="auto"/>
          <w:sz w:val="32"/>
          <w:szCs w:val="32"/>
          <w:lang w:val="en-US" w:eastAsia="zh-CN"/>
        </w:rPr>
      </w:pPr>
      <w:bookmarkStart w:id="21" w:name="_Toc11719"/>
      <w:r>
        <w:rPr>
          <w:rFonts w:hint="eastAsia" w:ascii="楷体" w:hAnsi="楷体" w:eastAsia="楷体" w:cs="楷体"/>
          <w:b/>
          <w:bCs/>
          <w:color w:val="auto"/>
          <w:sz w:val="32"/>
          <w:szCs w:val="32"/>
          <w:lang w:val="en-US" w:eastAsia="zh-CN"/>
        </w:rPr>
        <w:t>第二节 畅通科技成果转化通道</w:t>
      </w:r>
      <w:bookmarkEnd w:id="2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b/>
          <w:bCs/>
          <w:color w:val="auto"/>
          <w:sz w:val="32"/>
          <w:szCs w:val="32"/>
          <w:highlight w:val="none"/>
          <w:lang w:val="en-US" w:eastAsia="zh-CN"/>
        </w:rPr>
        <w:t>推广“先试用、后付费”成果转化模式，降低企业创新风险。</w:t>
      </w:r>
      <w:r>
        <w:rPr>
          <w:rFonts w:hint="eastAsia" w:ascii="仿宋_GB2312" w:hAnsi="仿宋_GB2312" w:eastAsia="仿宋_GB2312" w:cs="仿宋_GB2312"/>
          <w:b w:val="0"/>
          <w:bCs w:val="0"/>
          <w:color w:val="auto"/>
          <w:sz w:val="32"/>
          <w:szCs w:val="32"/>
          <w:highlight w:val="none"/>
          <w:lang w:val="en-US" w:eastAsia="zh-CN"/>
        </w:rPr>
        <w:t>认真落实《广东省推进职务科技成果“先用后转”改革的若干政策措施》，鼓励高校院所将科技成果以较低成本供企业先行试用。引导企业利用购买的科技成果开展技术改造或增资扩产。建设技术转移服务平台，打造成果转化加速器。组建专业的技术经纪人和技术转移服务团队，常态化开展企业技术需求挖掘和高校院所科研成果精准匹配服务</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22" w:name="_Toc2428"/>
      <w:r>
        <w:rPr>
          <w:rFonts w:hint="eastAsia" w:ascii="楷体" w:hAnsi="楷体" w:eastAsia="楷体" w:cs="楷体"/>
          <w:b/>
          <w:bCs/>
          <w:color w:val="auto"/>
          <w:sz w:val="32"/>
          <w:szCs w:val="32"/>
          <w:lang w:val="en-US" w:eastAsia="zh-CN"/>
        </w:rPr>
        <w:t>第三节 强化创新全链条专业支撑</w:t>
      </w:r>
      <w:bookmarkEnd w:id="2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lang w:val="en-US" w:eastAsia="zh-CN"/>
        </w:rPr>
        <w:t>以科技服务业为纽带，构建覆盖研究开发、技术转移、检验检测、知识产权、科技咨询、创业孵化的全链条服务体系</w:t>
      </w:r>
      <w:r>
        <w:rPr>
          <w:rFonts w:hint="default"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bCs/>
          <w:color w:val="auto"/>
          <w:sz w:val="32"/>
          <w:szCs w:val="32"/>
          <w:lang w:val="en-US" w:eastAsia="zh-CN"/>
        </w:rPr>
        <w:t>一是</w:t>
      </w:r>
      <w:r>
        <w:rPr>
          <w:rFonts w:hint="default" w:ascii="仿宋_GB2312" w:hAnsi="仿宋_GB2312" w:eastAsia="仿宋_GB2312" w:cs="仿宋_GB2312"/>
          <w:color w:val="auto"/>
          <w:sz w:val="32"/>
          <w:szCs w:val="32"/>
          <w:lang w:val="en-US" w:eastAsia="zh-CN"/>
        </w:rPr>
        <w:t>培育壮大科技服务市场主体。积极引进和培育一批研发设计、技术转移转化、检验检测认证、创业孵化、知识产权服务、科技咨询等高能级专业服务企业，推动科技服务业中小企业升规纳统、壮大体量、提质增效。</w:t>
      </w:r>
      <w:r>
        <w:rPr>
          <w:rFonts w:hint="default" w:ascii="仿宋_GB2312" w:hAnsi="仿宋_GB2312" w:eastAsia="仿宋_GB2312" w:cs="仿宋_GB2312"/>
          <w:b/>
          <w:bCs/>
          <w:color w:val="auto"/>
          <w:sz w:val="32"/>
          <w:szCs w:val="32"/>
          <w:lang w:val="en-US" w:eastAsia="zh-CN"/>
        </w:rPr>
        <w:t>二是</w:t>
      </w:r>
      <w:r>
        <w:rPr>
          <w:rFonts w:hint="default" w:ascii="仿宋_GB2312" w:hAnsi="仿宋_GB2312" w:eastAsia="仿宋_GB2312" w:cs="仿宋_GB2312"/>
          <w:color w:val="auto"/>
          <w:sz w:val="32"/>
          <w:szCs w:val="32"/>
          <w:lang w:val="en-US" w:eastAsia="zh-CN"/>
        </w:rPr>
        <w:t>完善检验检测与认证服务体系。依托开平市公共技术服务平台和国家级知识产权快速维权中心，拓展水暖卫浴、食品、纺织服装、胶粘材料等产业急需的检验检测、可靠性试验、标准认证服务。引进或联合第三方检测认证机构设立分中心，帮助企业突破技术性贸易壁垒。</w:t>
      </w:r>
      <w:r>
        <w:rPr>
          <w:rFonts w:hint="default" w:ascii="仿宋_GB2312" w:hAnsi="仿宋_GB2312" w:eastAsia="仿宋_GB2312" w:cs="仿宋_GB2312"/>
          <w:b/>
          <w:bCs/>
          <w:color w:val="auto"/>
          <w:sz w:val="32"/>
          <w:szCs w:val="32"/>
          <w:lang w:val="en-US" w:eastAsia="zh-CN"/>
        </w:rPr>
        <w:t>三是</w:t>
      </w:r>
      <w:r>
        <w:rPr>
          <w:rFonts w:hint="default" w:ascii="仿宋_GB2312" w:hAnsi="仿宋_GB2312" w:eastAsia="仿宋_GB2312" w:cs="仿宋_GB2312"/>
          <w:color w:val="auto"/>
          <w:sz w:val="32"/>
          <w:szCs w:val="32"/>
          <w:lang w:val="en-US" w:eastAsia="zh-CN"/>
        </w:rPr>
        <w:t>强化知识产权全链条服务。</w:t>
      </w:r>
      <w:r>
        <w:rPr>
          <w:rFonts w:hint="eastAsia" w:ascii="仿宋_GB2312" w:hAnsi="仿宋_GB2312" w:eastAsia="仿宋_GB2312" w:cs="仿宋_GB2312"/>
          <w:color w:val="auto"/>
          <w:sz w:val="32"/>
          <w:szCs w:val="32"/>
          <w:lang w:val="en-US" w:eastAsia="zh-CN"/>
        </w:rPr>
        <w:t>提供专利快速预审、确权、维权、导航分析等一站式服务。培育引进知识产权代理、法律咨询、价值评估、运营交易等专业机构。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sectPr>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default" w:ascii="黑体" w:hAnsi="黑体" w:eastAsia="黑体" w:cs="黑体"/>
          <w:color w:val="auto"/>
          <w:sz w:val="32"/>
          <w:szCs w:val="32"/>
          <w:lang w:val="en-US" w:eastAsia="zh-CN"/>
        </w:rPr>
      </w:pPr>
      <w:bookmarkStart w:id="23" w:name="_Toc10530"/>
      <w:r>
        <w:rPr>
          <w:rFonts w:hint="eastAsia" w:ascii="黑体" w:hAnsi="黑体" w:eastAsia="黑体" w:cs="黑体"/>
          <w:color w:val="auto"/>
          <w:sz w:val="32"/>
          <w:szCs w:val="32"/>
          <w:lang w:val="en-US" w:eastAsia="zh-CN"/>
        </w:rPr>
        <w:t>第五章 构建具有开平特色的先进制造业体系</w:t>
      </w:r>
      <w:bookmarkEnd w:id="2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24" w:name="_Toc8208"/>
      <w:r>
        <w:rPr>
          <w:rFonts w:hint="eastAsia" w:ascii="楷体" w:hAnsi="楷体" w:eastAsia="楷体" w:cs="楷体"/>
          <w:b/>
          <w:bCs/>
          <w:color w:val="auto"/>
          <w:sz w:val="32"/>
          <w:szCs w:val="32"/>
          <w:lang w:val="en-US" w:eastAsia="zh-CN"/>
        </w:rPr>
        <w:t>第一节 加快传统优势产业转型升级</w:t>
      </w:r>
      <w:bookmarkEnd w:id="24"/>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1.金属制品（水暖卫浴）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做强金属卫浴制造与产业集群</w:t>
      </w:r>
      <w:r>
        <w:rPr>
          <w:rFonts w:hint="eastAsia" w:ascii="仿宋_GB2312" w:hAnsi="仿宋_GB2312" w:eastAsia="仿宋_GB2312" w:cs="仿宋_GB2312"/>
          <w:color w:val="auto"/>
          <w:sz w:val="32"/>
          <w:szCs w:val="32"/>
          <w:lang w:val="en-US" w:eastAsia="zh-CN"/>
        </w:rPr>
        <w:t>。支持骨干企业做大做强，鼓励和引导企业实施智能化改造，引进自动化铸造线、CNC加工中心、智能抛光机器人等先进装备，提升生产效率和产品一致性。提升精密铸造与加工工艺水平，依托水口镇现有铸造企业基础，推广环保型精密铸造工艺，应用3D打印砂型、熔模精密铸造等先进技术，提高铸件精度和表面质量。巩固表面处理配套能力，规范发展电镀、喷涂、PVD（物理气相沉积）等表面处理环节，推动电镀企业入园管理、统一治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发展智能卫浴、新材料应用与品牌设计</w:t>
      </w:r>
      <w:r>
        <w:rPr>
          <w:rFonts w:hint="eastAsia" w:ascii="仿宋_GB2312" w:hAnsi="仿宋_GB2312" w:eastAsia="仿宋_GB2312" w:cs="仿宋_GB2312"/>
          <w:color w:val="auto"/>
          <w:sz w:val="32"/>
          <w:szCs w:val="32"/>
          <w:lang w:val="en-US" w:eastAsia="zh-CN"/>
        </w:rPr>
        <w:t>。引进智能控制器、压力传感器、温度传感器、物联网通信模组等配套企业，与电子信息龙头企业协同</w:t>
      </w:r>
      <w:r>
        <w:rPr>
          <w:rFonts w:hint="eastAsia" w:ascii="仿宋_GB2312" w:hAnsi="仿宋_GB2312" w:eastAsia="仿宋_GB2312" w:cs="仿宋_GB2312"/>
          <w:color w:val="auto"/>
          <w:sz w:val="32"/>
          <w:szCs w:val="32"/>
          <w:lang w:val="en-US" w:eastAsia="zh-CN"/>
        </w:rPr>
        <w:t>发展</w:t>
      </w:r>
      <w:r>
        <w:rPr>
          <w:rFonts w:hint="eastAsia" w:ascii="仿宋_GB2312" w:hAnsi="仿宋_GB2312" w:eastAsia="仿宋_GB2312" w:cs="仿宋_GB2312"/>
          <w:color w:val="auto"/>
          <w:sz w:val="32"/>
          <w:szCs w:val="32"/>
          <w:lang w:val="en-US" w:eastAsia="zh-CN"/>
        </w:rPr>
        <w:t>，提升本地智能模组配套能力。支持企业开发集成语音控制、恒温恒流、水质监测、健康检测等功能的智能产品。推广应用高性能高分子材料，扩大PPA（聚邻苯二甲酰胺）、玻纤增强PA66等改性塑料在卫浴产品中的应用规模。引育卫浴专用改性材料生产企业，围绕抗冻、耐热、抗菌、防霉等特殊需求开发定制化材料配方。强化区域品牌和标准话语权，擦亮“水口卫浴”区域品牌，完善集体商标使用管理规范，提升品牌溢价能力。支持行业协会、龙头企业主导或参与制定国家、行业、团体标准，争取在智能卫浴、绿色卫浴等新兴领域抢占标准制高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2.纺织服装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做强纺纱织布与印染洗水基础</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提升纺纱织布环节技术水平，推广应用清梳联、粗细联、细络联等自动化纺纱装备，提升纱线质量和生产效率。鼓励企业设备更新升级，充分运用新产品、新技术、新模式，开发高支高密、异形纤维、弹力面料等高附加值产品。做强印染及后整理关键环节，推广低浴比染色、冷轧堆染色、无水印花等绿色印染工艺，降低水耗和污染物排放，发展抗皱、抗菌、防紫外线、吸湿排汗等功能性后整理技术，提升面料附加值，支持牛仔布企业推广镭射雕花、臭氧整理、环保酵素洗等绿色洗水技术，替代传统高污染工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发展柔性快反制造、品牌设计与绿色转型</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推广应用自动化裁床、智能吊挂系统、缝纫机器人等智能装备，建设柔性生产线，实现订单需求实时解析与精准响应。培育自主品牌与设计能力，鼓励企业引进设计师团队，提升产品原创设计能力，充分运用电商直播等新业态创新业务流程与商业模式，塑造“互联网+”新型服装品牌。</w:t>
      </w:r>
      <w:r>
        <w:rPr>
          <w:rFonts w:hint="eastAsia" w:ascii="仿宋_GB2312" w:hAnsi="仿宋_GB2312" w:eastAsia="仿宋_GB2312" w:cs="仿宋_GB2312"/>
          <w:color w:val="auto"/>
          <w:sz w:val="32"/>
          <w:szCs w:val="32"/>
        </w:rPr>
        <w:t>加快绿色制造转型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推动印染企业实施中水回用、余热回收、废气处理等环保改造，鼓励企业开发环保面料、可降解材料、循环再生纤维等绿色产品，满足国际品牌对供应链绿色化的要求。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3.食品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lang w:val="en-US" w:eastAsia="zh-CN"/>
        </w:rPr>
        <w:t>做强特色农产品精深加工</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做大做强马冈鹅全产业链，加快推进马冈鹅预制菜产业园建设，推动共性工厂从屠宰向深加工延伸，开发卤水鹅、烧鹅、鹅肝酱等预制菜产品。支持龙头企业深化与本地养殖基地的订单合作，建立“企业+基地+农户”的紧密型利益联结机制。巩固蛋制品精深加工技术和市场优势，扩大蛋粉、蛋液、即食溏心蛋等精深加工产品产能，提升产品附加值和出口竞争力。打造</w:t>
      </w:r>
      <w:r>
        <w:rPr>
          <w:rFonts w:hint="eastAsia" w:ascii="仿宋_GB2312" w:hAnsi="仿宋_GB2312" w:eastAsia="仿宋_GB2312" w:cs="仿宋_GB2312"/>
          <w:color w:val="auto"/>
          <w:sz w:val="32"/>
          <w:szCs w:val="32"/>
          <w:lang w:val="en-US" w:eastAsia="zh-CN"/>
        </w:rPr>
        <w:t>天露山精品咖啡种植产业带，依托天露山独特的气候和土壤条件，扩大瑰夏、SL28肯尼亚、卡蒂姆、SL25等优质咖啡品种种植规模，建设标准化种植示范基地。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bCs/>
          <w:color w:val="auto"/>
          <w:sz w:val="32"/>
          <w:szCs w:val="32"/>
          <w:lang w:val="en-US" w:eastAsia="zh-CN"/>
        </w:rPr>
        <w:t>发展健康食品、</w:t>
      </w:r>
      <w:r>
        <w:rPr>
          <w:rFonts w:hint="eastAsia" w:ascii="仿宋_GB2312" w:hAnsi="仿宋_GB2312" w:eastAsia="仿宋_GB2312" w:cs="仿宋_GB2312"/>
          <w:b/>
          <w:bCs/>
          <w:color w:val="auto"/>
          <w:sz w:val="32"/>
          <w:szCs w:val="32"/>
          <w:lang w:val="en-US" w:eastAsia="zh-CN"/>
        </w:rPr>
        <w:t>特色食品</w:t>
      </w:r>
      <w:r>
        <w:rPr>
          <w:rFonts w:hint="default" w:ascii="仿宋_GB2312" w:hAnsi="仿宋_GB2312" w:eastAsia="仿宋_GB2312" w:cs="仿宋_GB2312"/>
          <w:b/>
          <w:bCs/>
          <w:color w:val="auto"/>
          <w:sz w:val="32"/>
          <w:szCs w:val="32"/>
          <w:lang w:val="en-US" w:eastAsia="zh-CN"/>
        </w:rPr>
        <w:t>与品牌运营</w:t>
      </w:r>
      <w:r>
        <w:rPr>
          <w:rFonts w:hint="eastAsia" w:ascii="仿宋_GB2312" w:hAnsi="仿宋_GB2312" w:eastAsia="仿宋_GB2312" w:cs="仿宋_GB2312"/>
          <w:color w:val="auto"/>
          <w:sz w:val="32"/>
          <w:szCs w:val="32"/>
          <w:lang w:val="en-US" w:eastAsia="zh-CN"/>
        </w:rPr>
        <w:t>。鼓励食品企业开发低糖、低脂、高纤维、高蛋白等健康食品，拓展特医食品、运动营养食品、代餐食品等新兴品类。依托开平丝苗米、特色蔬果等优质农产品资源，开发谷物代餐粉、果蔬脆片、功能性米制品等深加工产品。积极招引功能性食品、保健食品研发生产企业落户，推动食品产业向大健康消费领域延伸。</w:t>
      </w:r>
      <w:r>
        <w:rPr>
          <w:rFonts w:hint="eastAsia" w:ascii="仿宋_GB2312" w:hAnsi="仿宋_GB2312" w:eastAsia="仿宋_GB2312" w:cs="仿宋_GB2312"/>
          <w:b w:val="0"/>
          <w:bCs w:val="0"/>
          <w:color w:val="auto"/>
          <w:sz w:val="32"/>
          <w:szCs w:val="32"/>
          <w:lang w:val="en-US" w:eastAsia="zh-CN"/>
        </w:rPr>
        <w:t>提升食品工业设计与品牌运营能力，依托“开平优品”行政区品牌矩阵，持续做大母品牌、做强镇级子品牌。支持食品企业引进专业设计团队，提升产品包装、品牌形象、消费体验等设计水平。培育</w:t>
      </w:r>
      <w:r>
        <w:rPr>
          <w:rFonts w:hint="eastAsia" w:ascii="仿宋_GB2312" w:hAnsi="仿宋_GB2312" w:eastAsia="仿宋_GB2312" w:cs="仿宋_GB2312"/>
          <w:color w:val="auto"/>
          <w:sz w:val="32"/>
          <w:szCs w:val="32"/>
        </w:rPr>
        <w:t>侨乡特色咖啡品牌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推动本土特调咖啡向具有岭南侨乡文化辨识度的文创伴手礼转化，实现产品价值与文化内涵的双重提升</w:t>
      </w:r>
      <w:r>
        <w:rPr>
          <w:rFonts w:hint="eastAsia" w:ascii="仿宋_GB2312" w:hAnsi="仿宋_GB2312" w:eastAsia="仿宋_GB2312" w:cs="仿宋_GB2312"/>
          <w:b w:val="0"/>
          <w:bCs w:val="0"/>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25" w:name="_Toc12056"/>
      <w:r>
        <w:rPr>
          <w:rFonts w:hint="eastAsia" w:ascii="楷体" w:hAnsi="楷体" w:eastAsia="楷体" w:cs="楷体"/>
          <w:b/>
          <w:bCs/>
          <w:color w:val="auto"/>
          <w:sz w:val="32"/>
          <w:szCs w:val="32"/>
          <w:lang w:val="en-US" w:eastAsia="zh-CN"/>
        </w:rPr>
        <w:t>第二节 做强战略性新兴产业</w:t>
      </w:r>
      <w:bookmarkEnd w:id="2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1.新一代信息技术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筑牢产业发展基本盘</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巩固提升线路板等电子信息关键元器件，</w:t>
      </w:r>
      <w:r>
        <w:rPr>
          <w:rFonts w:hint="eastAsia" w:ascii="仿宋_GB2312" w:hAnsi="仿宋_GB2312" w:eastAsia="仿宋_GB2312" w:cs="仿宋_GB2312"/>
          <w:b w:val="0"/>
          <w:bCs w:val="0"/>
          <w:color w:val="auto"/>
          <w:sz w:val="32"/>
          <w:szCs w:val="32"/>
          <w:lang w:val="en-US" w:eastAsia="zh-CN"/>
        </w:rPr>
        <w:t>支持</w:t>
      </w:r>
      <w:r>
        <w:rPr>
          <w:rFonts w:hint="eastAsia" w:ascii="仿宋_GB2312" w:hAnsi="仿宋_GB2312" w:eastAsia="仿宋_GB2312" w:cs="仿宋_GB2312"/>
          <w:color w:val="auto"/>
          <w:sz w:val="32"/>
          <w:szCs w:val="32"/>
          <w:lang w:val="en-US" w:eastAsia="zh-CN"/>
        </w:rPr>
        <w:t>骨干企业扩产项目落地，做好土地、能耗、环境容量等要素保障。引导企业产品结构升级，顺应新能源汽车、5G通信、人工智能等下游需求，向高多层板、HDI板、封装基板等高附加值产品</w:t>
      </w:r>
      <w:r>
        <w:rPr>
          <w:rFonts w:hint="eastAsia" w:ascii="仿宋_GB2312" w:hAnsi="仿宋_GB2312" w:eastAsia="仿宋_GB2312" w:cs="仿宋_GB2312"/>
          <w:color w:val="auto"/>
          <w:sz w:val="32"/>
          <w:szCs w:val="32"/>
          <w:lang w:val="en-US" w:eastAsia="zh-CN"/>
        </w:rPr>
        <w:t>拓展</w:t>
      </w:r>
      <w:r>
        <w:rPr>
          <w:rFonts w:hint="eastAsia" w:ascii="仿宋_GB2312" w:hAnsi="仿宋_GB2312" w:eastAsia="仿宋_GB2312" w:cs="仿宋_GB2312"/>
          <w:color w:val="auto"/>
          <w:sz w:val="32"/>
          <w:szCs w:val="32"/>
          <w:lang w:val="en-US" w:eastAsia="zh-CN"/>
        </w:rPr>
        <w:t>。强化本地供应链对接，</w:t>
      </w:r>
      <w:r>
        <w:rPr>
          <w:rFonts w:hint="eastAsia" w:ascii="仿宋_GB2312" w:hAnsi="仿宋_GB2312" w:eastAsia="仿宋_GB2312" w:cs="仿宋_GB2312"/>
          <w:color w:val="auto"/>
          <w:sz w:val="32"/>
          <w:szCs w:val="32"/>
        </w:rPr>
        <w:t>搭建以“链主”企业为引领的供需对接平台</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组织面向本地中小企业的专场对接活动，</w:t>
      </w:r>
      <w:r>
        <w:rPr>
          <w:rFonts w:hint="eastAsia" w:ascii="仿宋_GB2312" w:hAnsi="仿宋_GB2312" w:eastAsia="仿宋_GB2312" w:cs="仿宋_GB2312"/>
          <w:color w:val="auto"/>
          <w:sz w:val="32"/>
          <w:szCs w:val="32"/>
          <w:lang w:val="en-US" w:eastAsia="zh-CN"/>
        </w:rPr>
        <w:t>推动大中小企业融通发展，促进产业链上下游精准匹配、高效协作。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着力向下游功能模组和终端设备方向延伸。</w:t>
      </w:r>
      <w:r>
        <w:rPr>
          <w:rFonts w:hint="eastAsia" w:ascii="仿宋_GB2312" w:hAnsi="仿宋_GB2312" w:eastAsia="仿宋_GB2312" w:cs="仿宋_GB2312"/>
          <w:b w:val="0"/>
          <w:bCs w:val="0"/>
          <w:color w:val="auto"/>
          <w:sz w:val="32"/>
          <w:szCs w:val="32"/>
          <w:lang w:val="en-US" w:eastAsia="zh-CN"/>
        </w:rPr>
        <w:t>抓住江门加快完善汽车电子产业链配套的发展机遇，重点引进电池管理系统模组、车载充电模组、车载显示模组等汽车电子项目。积极培育新型显示</w:t>
      </w:r>
      <w:r>
        <w:rPr>
          <w:rFonts w:hint="eastAsia" w:ascii="仿宋_GB2312" w:hAnsi="仿宋_GB2312" w:eastAsia="仿宋_GB2312" w:cs="仿宋_GB2312"/>
          <w:b w:val="0"/>
          <w:bCs w:val="0"/>
          <w:color w:val="auto"/>
          <w:sz w:val="32"/>
          <w:szCs w:val="32"/>
          <w:lang w:val="en-US" w:eastAsia="zh-CN"/>
        </w:rPr>
        <w:t>产业</w:t>
      </w:r>
      <w:r>
        <w:rPr>
          <w:rFonts w:hint="eastAsia" w:ascii="仿宋_GB2312" w:hAnsi="仿宋_GB2312" w:eastAsia="仿宋_GB2312" w:cs="仿宋_GB2312"/>
          <w:b w:val="0"/>
          <w:bCs w:val="0"/>
          <w:color w:val="auto"/>
          <w:sz w:val="32"/>
          <w:szCs w:val="32"/>
          <w:lang w:val="en-US" w:eastAsia="zh-CN"/>
        </w:rPr>
        <w:t>，招引LCD液晶显示模块、大型AI触控一体机等项目</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延伸发展智能穿戴设备产业</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培育3C数码智能终端设备制造能力。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2.生物医药（含医疗器械）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巩固原料药、化学药制剂、医疗设备及器械、医药物流等环节的既有优势</w:t>
      </w:r>
      <w:r>
        <w:rPr>
          <w:rFonts w:hint="eastAsia" w:ascii="仿宋_GB2312" w:hAnsi="仿宋_GB2312" w:eastAsia="仿宋_GB2312" w:cs="仿宋_GB2312"/>
          <w:color w:val="auto"/>
          <w:sz w:val="32"/>
          <w:szCs w:val="32"/>
          <w:lang w:val="en-US" w:eastAsia="zh-CN"/>
        </w:rPr>
        <w:t>。做强原料药产业优势。鼓励企业加大酶催化合成、绿色提取等工艺研发投入，建设原料药工程技术研究中心。拓展谷胱甘肽在保健品、化妆品等高附加值领域的应用，延伸产业链条。做大化学药制剂规模，支持化学药剂龙头企业扩大成品药产能，推动现有生产线GMP升级改造，提升固体制剂、注射剂等剂型的生产能力和质量标准。拓展心脑血管、抗感染等治疗领域的产品管线。做优医疗器械品牌，推动智能康复机器人、高端影像设备等产品加快量产和市场推广。构建覆盖江门、辐射粤西的智慧医药物流网络，推动仓储设施智能化升级，应用物联网、大数据技术实现药品全流程追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lang w:val="en-US" w:eastAsia="zh-CN"/>
        </w:rPr>
        <w:t>瞄准产业链高端环节和</w:t>
      </w:r>
      <w:r>
        <w:rPr>
          <w:rFonts w:hint="eastAsia" w:ascii="仿宋_GB2312" w:hAnsi="仿宋_GB2312" w:eastAsia="仿宋_GB2312" w:cs="仿宋_GB2312"/>
          <w:b/>
          <w:bCs/>
          <w:color w:val="auto"/>
          <w:sz w:val="32"/>
          <w:szCs w:val="32"/>
          <w:lang w:val="en-US" w:eastAsia="zh-CN"/>
        </w:rPr>
        <w:t>大健康消费市场</w:t>
      </w:r>
      <w:r>
        <w:rPr>
          <w:rFonts w:hint="default" w:ascii="仿宋_GB2312" w:hAnsi="仿宋_GB2312" w:eastAsia="仿宋_GB2312" w:cs="仿宋_GB2312"/>
          <w:b/>
          <w:bCs/>
          <w:color w:val="auto"/>
          <w:sz w:val="32"/>
          <w:szCs w:val="32"/>
          <w:lang w:val="en-US" w:eastAsia="zh-CN"/>
        </w:rPr>
        <w:t>，</w:t>
      </w:r>
      <w:r>
        <w:rPr>
          <w:rFonts w:hint="default" w:ascii="仿宋_GB2312" w:hAnsi="仿宋_GB2312" w:eastAsia="仿宋_GB2312" w:cs="仿宋_GB2312"/>
          <w:b/>
          <w:bCs/>
          <w:color w:val="auto"/>
          <w:sz w:val="32"/>
          <w:szCs w:val="32"/>
        </w:rPr>
        <w:t>打造生物医药全产业链创新生态</w:t>
      </w:r>
      <w:r>
        <w:rPr>
          <w:rFonts w:hint="default" w:ascii="仿宋_GB2312" w:hAnsi="仿宋_GB2312" w:eastAsia="仿宋_GB2312" w:cs="仿宋_GB2312"/>
          <w:color w:val="auto"/>
          <w:sz w:val="32"/>
          <w:szCs w:val="32"/>
          <w:lang w:val="en-US" w:eastAsia="zh-CN"/>
        </w:rPr>
        <w:t>。加快推进翠山湖生物医药创新研发基地建设，</w:t>
      </w:r>
      <w:r>
        <w:rPr>
          <w:rFonts w:hint="eastAsia" w:ascii="仿宋_GB2312" w:hAnsi="仿宋_GB2312" w:eastAsia="仿宋_GB2312" w:cs="仿宋_GB2312"/>
          <w:color w:val="auto"/>
          <w:sz w:val="32"/>
          <w:szCs w:val="32"/>
          <w:lang w:val="en-US" w:eastAsia="zh-CN"/>
        </w:rPr>
        <w:t>支持</w:t>
      </w:r>
      <w:r>
        <w:rPr>
          <w:rFonts w:hint="default" w:ascii="仿宋_GB2312" w:hAnsi="仿宋_GB2312" w:eastAsia="仿宋_GB2312" w:cs="仿宋_GB2312"/>
          <w:color w:val="auto"/>
          <w:sz w:val="32"/>
          <w:szCs w:val="32"/>
          <w:lang w:val="en-US" w:eastAsia="zh-CN"/>
        </w:rPr>
        <w:t>生物药研发与中试平台落地，积极对接高校科研资源。</w:t>
      </w:r>
      <w:r>
        <w:rPr>
          <w:rFonts w:hint="eastAsia" w:ascii="仿宋_GB2312" w:hAnsi="仿宋_GB2312" w:eastAsia="仿宋_GB2312" w:cs="仿宋_GB2312"/>
          <w:color w:val="auto"/>
          <w:sz w:val="32"/>
          <w:szCs w:val="32"/>
          <w:lang w:val="en-US" w:eastAsia="zh-CN"/>
        </w:rPr>
        <w:t>拓展</w:t>
      </w:r>
      <w:r>
        <w:rPr>
          <w:rFonts w:hint="default" w:ascii="仿宋_GB2312" w:hAnsi="仿宋_GB2312" w:eastAsia="仿宋_GB2312" w:cs="仿宋_GB2312"/>
          <w:color w:val="auto"/>
          <w:sz w:val="32"/>
          <w:szCs w:val="32"/>
          <w:lang w:val="en-US" w:eastAsia="zh-CN"/>
        </w:rPr>
        <w:t>现代中药</w:t>
      </w:r>
      <w:r>
        <w:rPr>
          <w:rFonts w:hint="eastAsia" w:ascii="仿宋_GB2312" w:hAnsi="仿宋_GB2312" w:eastAsia="仿宋_GB2312" w:cs="仿宋_GB2312"/>
          <w:color w:val="auto"/>
          <w:sz w:val="32"/>
          <w:szCs w:val="32"/>
          <w:lang w:val="en-US" w:eastAsia="zh-CN"/>
        </w:rPr>
        <w:t>产业</w:t>
      </w:r>
      <w:r>
        <w:rPr>
          <w:rFonts w:hint="default" w:ascii="仿宋_GB2312" w:hAnsi="仿宋_GB2312" w:eastAsia="仿宋_GB2312" w:cs="仿宋_GB2312"/>
          <w:color w:val="auto"/>
          <w:sz w:val="32"/>
          <w:szCs w:val="32"/>
          <w:lang w:val="en-US" w:eastAsia="zh-CN"/>
        </w:rPr>
        <w:t>，积极引进现代中药制剂龙头企业，提升中药配方颗粒和饮片精深加工水平，加快形成高附加值产品矩阵</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面向中医药大健康消费市场，</w:t>
      </w:r>
      <w:r>
        <w:rPr>
          <w:rFonts w:hint="eastAsia" w:ascii="仿宋_GB2312" w:hAnsi="仿宋_GB2312" w:eastAsia="仿宋_GB2312" w:cs="仿宋_GB2312"/>
          <w:color w:val="auto"/>
          <w:sz w:val="32"/>
          <w:szCs w:val="32"/>
          <w:lang w:val="en-US" w:eastAsia="zh-CN"/>
        </w:rPr>
        <w:t>大力发展</w:t>
      </w:r>
      <w:r>
        <w:rPr>
          <w:rFonts w:hint="default" w:ascii="仿宋_GB2312" w:hAnsi="仿宋_GB2312" w:eastAsia="仿宋_GB2312" w:cs="仿宋_GB2312"/>
          <w:color w:val="auto"/>
          <w:sz w:val="32"/>
          <w:szCs w:val="32"/>
          <w:lang w:val="en-US" w:eastAsia="zh-CN"/>
        </w:rPr>
        <w:t>中药衍生保健品、药食同源产品等新业态</w:t>
      </w:r>
      <w:r>
        <w:rPr>
          <w:rFonts w:hint="eastAsia" w:ascii="仿宋_GB2312" w:hAnsi="仿宋_GB2312" w:eastAsia="仿宋_GB2312" w:cs="仿宋_GB2312"/>
          <w:color w:val="auto"/>
          <w:sz w:val="32"/>
          <w:szCs w:val="32"/>
          <w:lang w:val="en-US" w:eastAsia="zh-CN"/>
        </w:rPr>
        <w:t>，构建“中医药+消费”融合发展新格局</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补强</w:t>
      </w:r>
      <w:r>
        <w:rPr>
          <w:rFonts w:hint="eastAsia" w:ascii="仿宋_GB2312" w:hAnsi="仿宋_GB2312" w:eastAsia="仿宋_GB2312" w:cs="仿宋_GB2312"/>
          <w:color w:val="auto"/>
          <w:sz w:val="32"/>
          <w:szCs w:val="32"/>
          <w:lang w:val="en-US" w:eastAsia="zh-CN"/>
        </w:rPr>
        <w:t>医药研发与检测服务</w:t>
      </w:r>
      <w:r>
        <w:rPr>
          <w:rFonts w:hint="eastAsia" w:ascii="仿宋_GB2312" w:hAnsi="仿宋_GB2312" w:eastAsia="仿宋_GB2312" w:cs="仿宋_GB2312"/>
          <w:color w:val="auto"/>
          <w:sz w:val="32"/>
          <w:szCs w:val="32"/>
          <w:lang w:val="en-US" w:eastAsia="zh-CN"/>
        </w:rPr>
        <w:t>链条</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引进合同研究组织（CRO）、合同定制生产组织（CMO）等第三方专业服务企业，补齐研发外包、中试验证、注册申报、检测认证等科技服务短板。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3.高端装备制造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做强输配电及控制装备</w:t>
      </w:r>
      <w:r>
        <w:rPr>
          <w:rFonts w:hint="eastAsia" w:ascii="仿宋_GB2312" w:hAnsi="仿宋_GB2312" w:eastAsia="仿宋_GB2312" w:cs="仿宋_GB2312"/>
          <w:color w:val="auto"/>
          <w:sz w:val="32"/>
          <w:szCs w:val="32"/>
          <w:lang w:val="en-US" w:eastAsia="zh-CN"/>
        </w:rPr>
        <w:t>。推动立体卷铁心变压器技术向新能源并网、数据中心供电、轨道交通等新基建领域拓展应用。支持企业扩大海外市场布局，依托“一带一路”沿线国家电力基础设施建设机遇，提升品牌国际影响力。</w:t>
      </w:r>
      <w:r>
        <w:rPr>
          <w:rFonts w:hint="eastAsia" w:ascii="仿宋_GB2312" w:hAnsi="仿宋_GB2312" w:eastAsia="仿宋_GB2312" w:cs="仿宋_GB2312"/>
          <w:b w:val="0"/>
          <w:bCs w:val="0"/>
          <w:color w:val="auto"/>
          <w:sz w:val="32"/>
          <w:szCs w:val="32"/>
          <w:lang w:val="en-US" w:eastAsia="zh-CN"/>
        </w:rPr>
        <w:t>鼓励</w:t>
      </w:r>
      <w:r>
        <w:rPr>
          <w:rFonts w:hint="eastAsia" w:ascii="仿宋_GB2312" w:hAnsi="仿宋_GB2312" w:eastAsia="仿宋_GB2312" w:cs="仿宋_GB2312"/>
          <w:color w:val="auto"/>
          <w:sz w:val="32"/>
          <w:szCs w:val="32"/>
          <w:lang w:val="en-US" w:eastAsia="zh-CN"/>
        </w:rPr>
        <w:t>企业在干式变压器、特种变压器领域持续创新，开发适用于海上风电、光伏电站等新能源场景的专用变压器产品。巩固提升电机及电工装备优势，支持电机及电气设备制造企业在中小型电机、专用电机领域深耕细作，开发高效节能电机、伺服电机等产品，提升产品附加值和市场竞争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发展精密加工装备及关键零部件</w:t>
      </w:r>
      <w:r>
        <w:rPr>
          <w:rFonts w:hint="eastAsia" w:ascii="仿宋_GB2312" w:hAnsi="仿宋_GB2312" w:eastAsia="仿宋_GB2312" w:cs="仿宋_GB2312"/>
          <w:color w:val="auto"/>
          <w:sz w:val="32"/>
          <w:szCs w:val="32"/>
          <w:lang w:val="en-US" w:eastAsia="zh-CN"/>
        </w:rPr>
        <w:t>。提升精密加工装备制造能力，推动自动化测控仪器与系统、大型精密科学测试分析仪器、数控机床、智能制造生产线等装备制造取得突破。支持模具企业扩大精密模具设计制造产能，为水暖卫浴、汽车零部件、电子信息等产业提供模具配套。</w:t>
      </w:r>
      <w:r>
        <w:rPr>
          <w:rFonts w:hint="eastAsia" w:ascii="仿宋_GB2312" w:hAnsi="仿宋_GB2312" w:eastAsia="仿宋_GB2312" w:cs="仿宋_GB2312"/>
          <w:color w:val="auto"/>
          <w:sz w:val="32"/>
          <w:szCs w:val="32"/>
          <w:lang w:val="en-US" w:eastAsia="zh-CN"/>
        </w:rPr>
        <w:t>紧抓</w:t>
      </w:r>
      <w:r>
        <w:rPr>
          <w:rFonts w:hint="eastAsia" w:ascii="仿宋_GB2312" w:hAnsi="仿宋_GB2312" w:eastAsia="仿宋_GB2312" w:cs="仿宋_GB2312"/>
          <w:color w:val="auto"/>
          <w:sz w:val="32"/>
          <w:szCs w:val="32"/>
          <w:lang w:val="en-US" w:eastAsia="zh-CN"/>
        </w:rPr>
        <w:t>人工智能与工业机器人技术迭代</w:t>
      </w:r>
      <w:r>
        <w:rPr>
          <w:rFonts w:hint="eastAsia" w:ascii="仿宋_GB2312" w:hAnsi="仿宋_GB2312" w:eastAsia="仿宋_GB2312" w:cs="仿宋_GB2312"/>
          <w:color w:val="auto"/>
          <w:sz w:val="32"/>
          <w:szCs w:val="32"/>
          <w:lang w:val="en-US" w:eastAsia="zh-CN"/>
        </w:rPr>
        <w:t>窗口期</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以</w:t>
      </w:r>
      <w:r>
        <w:rPr>
          <w:rFonts w:hint="eastAsia" w:ascii="仿宋_GB2312" w:hAnsi="仿宋_GB2312" w:eastAsia="仿宋_GB2312" w:cs="仿宋_GB2312"/>
          <w:color w:val="auto"/>
          <w:sz w:val="32"/>
          <w:szCs w:val="32"/>
          <w:lang w:val="en-US" w:eastAsia="zh-CN"/>
        </w:rPr>
        <w:t>工业机器人、协作机器人、AGV/AMR移动机器人</w:t>
      </w:r>
      <w:r>
        <w:rPr>
          <w:rFonts w:hint="eastAsia" w:ascii="仿宋_GB2312" w:hAnsi="仿宋_GB2312" w:eastAsia="仿宋_GB2312" w:cs="仿宋_GB2312"/>
          <w:color w:val="auto"/>
          <w:sz w:val="32"/>
          <w:szCs w:val="32"/>
          <w:lang w:val="en-US" w:eastAsia="zh-CN"/>
        </w:rPr>
        <w:t>为主攻方向</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引进智能装备制造项目，加速形成产业集聚效应。</w:t>
      </w:r>
      <w:r>
        <w:rPr>
          <w:rFonts w:hint="eastAsia" w:ascii="仿宋_GB2312" w:hAnsi="仿宋_GB2312" w:eastAsia="仿宋_GB2312" w:cs="仿宋_GB2312"/>
          <w:color w:val="auto"/>
          <w:sz w:val="32"/>
          <w:szCs w:val="32"/>
          <w:lang w:val="en-US" w:eastAsia="zh-CN"/>
        </w:rPr>
        <w:t>发展关键基础零部件，大力招引精密减速器、伺服电机及驱动器、控制器、传动装置、精密轴承、大型铸锻件等零部件制造企业。提高散热器等电子设备用零部件的生产规模和技术水平，协同龙胜镇小微双创汽配基地，发展汽车、轨道交通设备等技术含量高的先进装备零部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26" w:name="_Toc1587"/>
      <w:r>
        <w:rPr>
          <w:rFonts w:hint="eastAsia" w:ascii="楷体" w:hAnsi="楷体" w:eastAsia="楷体" w:cs="楷体"/>
          <w:b/>
          <w:bCs/>
          <w:color w:val="auto"/>
          <w:sz w:val="32"/>
          <w:szCs w:val="32"/>
          <w:lang w:val="en-US" w:eastAsia="zh-CN"/>
        </w:rPr>
        <w:t>第三节 前瞻布局未来产业</w:t>
      </w:r>
      <w:bookmarkEnd w:id="2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1.低空经济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布局发展</w:t>
      </w:r>
      <w:r>
        <w:rPr>
          <w:rFonts w:hint="default" w:ascii="仿宋_GB2312" w:hAnsi="仿宋_GB2312" w:eastAsia="仿宋_GB2312" w:cs="仿宋_GB2312"/>
          <w:b/>
          <w:bCs/>
          <w:color w:val="auto"/>
          <w:sz w:val="32"/>
          <w:szCs w:val="32"/>
          <w:lang w:val="en-US" w:eastAsia="zh-CN"/>
        </w:rPr>
        <w:t>低空</w:t>
      </w:r>
      <w:r>
        <w:rPr>
          <w:rFonts w:hint="eastAsia" w:ascii="仿宋_GB2312" w:hAnsi="仿宋_GB2312" w:eastAsia="仿宋_GB2312" w:cs="仿宋_GB2312"/>
          <w:b/>
          <w:bCs/>
          <w:color w:val="auto"/>
          <w:sz w:val="32"/>
          <w:szCs w:val="32"/>
          <w:lang w:val="en-US" w:eastAsia="zh-CN"/>
        </w:rPr>
        <w:t>经济产业</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加快低空基础设施建设</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构建低空物联感知网络</w:t>
      </w:r>
      <w:r>
        <w:rPr>
          <w:rFonts w:hint="eastAsia" w:ascii="仿宋_GB2312" w:hAnsi="仿宋_GB2312" w:eastAsia="仿宋_GB2312" w:cs="仿宋_GB2312"/>
          <w:color w:val="auto"/>
          <w:sz w:val="32"/>
          <w:szCs w:val="32"/>
          <w:lang w:val="en-US" w:eastAsia="zh-CN"/>
        </w:rPr>
        <w:t>，推进</w:t>
      </w:r>
      <w:r>
        <w:rPr>
          <w:rFonts w:hint="default" w:ascii="仿宋_GB2312" w:hAnsi="仿宋_GB2312" w:eastAsia="仿宋_GB2312" w:cs="仿宋_GB2312"/>
          <w:color w:val="auto"/>
          <w:sz w:val="32"/>
          <w:szCs w:val="32"/>
          <w:lang w:val="en-US" w:eastAsia="zh-CN"/>
        </w:rPr>
        <w:t>翠山湖低空经济产业园</w:t>
      </w:r>
      <w:r>
        <w:rPr>
          <w:rFonts w:hint="eastAsia" w:ascii="仿宋_GB2312" w:hAnsi="仿宋_GB2312" w:eastAsia="仿宋_GB2312" w:cs="仿宋_GB2312"/>
          <w:color w:val="auto"/>
          <w:sz w:val="32"/>
          <w:szCs w:val="32"/>
          <w:lang w:val="en-US" w:eastAsia="zh-CN"/>
        </w:rPr>
        <w:t>、赤水航空生态城建设。</w:t>
      </w:r>
      <w:r>
        <w:rPr>
          <w:rFonts w:hint="eastAsia" w:ascii="仿宋_GB2312" w:hAnsi="仿宋_GB2312" w:eastAsia="仿宋_GB2312" w:cs="仿宋_GB2312"/>
          <w:color w:val="auto"/>
          <w:sz w:val="32"/>
          <w:szCs w:val="32"/>
          <w:lang w:val="en-US" w:eastAsia="zh-CN"/>
        </w:rPr>
        <w:t>培育整机制造能力，</w:t>
      </w:r>
      <w:r>
        <w:rPr>
          <w:rFonts w:hint="eastAsia" w:ascii="仿宋_GB2312" w:hAnsi="仿宋_GB2312" w:eastAsia="仿宋_GB2312" w:cs="仿宋_GB2312"/>
          <w:color w:val="auto"/>
          <w:sz w:val="32"/>
          <w:szCs w:val="32"/>
        </w:rPr>
        <w:t>重点</w:t>
      </w:r>
      <w:r>
        <w:rPr>
          <w:rFonts w:hint="eastAsia" w:ascii="仿宋_GB2312" w:hAnsi="仿宋_GB2312" w:eastAsia="仿宋_GB2312" w:cs="仿宋_GB2312"/>
          <w:color w:val="auto"/>
          <w:sz w:val="32"/>
          <w:szCs w:val="32"/>
          <w:lang w:val="en-US" w:eastAsia="zh-CN"/>
        </w:rPr>
        <w:t>招引</w:t>
      </w:r>
      <w:r>
        <w:rPr>
          <w:rFonts w:hint="eastAsia" w:ascii="仿宋_GB2312" w:hAnsi="仿宋_GB2312" w:eastAsia="仿宋_GB2312" w:cs="仿宋_GB2312"/>
          <w:color w:val="auto"/>
          <w:sz w:val="32"/>
          <w:szCs w:val="32"/>
        </w:rPr>
        <w:t>电动垂直起降飞行器（eVTOL）、中大型无人机等整机制造企业</w:t>
      </w:r>
      <w:r>
        <w:rPr>
          <w:rFonts w:hint="eastAsia" w:ascii="仿宋_GB2312" w:hAnsi="仿宋_GB2312" w:eastAsia="仿宋_GB2312" w:cs="仿宋_GB2312"/>
          <w:color w:val="auto"/>
          <w:sz w:val="32"/>
          <w:szCs w:val="32"/>
          <w:lang w:eastAsia="zh-CN"/>
        </w:rPr>
        <w:t>。</w:t>
      </w:r>
      <w:r>
        <w:rPr>
          <w:rFonts w:hint="default" w:ascii="仿宋_GB2312" w:hAnsi="仿宋_GB2312" w:eastAsia="仿宋_GB2312" w:cs="仿宋_GB2312"/>
          <w:color w:val="auto"/>
          <w:sz w:val="32"/>
          <w:szCs w:val="32"/>
          <w:lang w:val="en-US" w:eastAsia="zh-CN"/>
        </w:rPr>
        <w:t>围绕核心零部件</w:t>
      </w:r>
      <w:r>
        <w:rPr>
          <w:rFonts w:hint="eastAsia" w:ascii="仿宋_GB2312" w:hAnsi="仿宋_GB2312" w:eastAsia="仿宋_GB2312" w:cs="仿宋_GB2312"/>
          <w:color w:val="auto"/>
          <w:sz w:val="32"/>
          <w:szCs w:val="32"/>
          <w:lang w:val="en-US" w:eastAsia="zh-CN"/>
        </w:rPr>
        <w:t>、关键材料开展</w:t>
      </w:r>
      <w:r>
        <w:rPr>
          <w:rFonts w:hint="default" w:ascii="仿宋_GB2312" w:hAnsi="仿宋_GB2312" w:eastAsia="仿宋_GB2312" w:cs="仿宋_GB2312"/>
          <w:color w:val="auto"/>
          <w:sz w:val="32"/>
          <w:szCs w:val="32"/>
          <w:lang w:val="en-US" w:eastAsia="zh-CN"/>
        </w:rPr>
        <w:t>精准招商，</w:t>
      </w:r>
      <w:r>
        <w:rPr>
          <w:rFonts w:hint="default" w:ascii="仿宋_GB2312" w:hAnsi="仿宋_GB2312" w:eastAsia="仿宋_GB2312" w:cs="仿宋_GB2312"/>
          <w:color w:val="auto"/>
          <w:sz w:val="32"/>
          <w:szCs w:val="32"/>
          <w:lang w:val="en-US" w:eastAsia="zh-CN"/>
        </w:rPr>
        <w:t>引进</w:t>
      </w:r>
      <w:r>
        <w:rPr>
          <w:rFonts w:hint="default" w:ascii="仿宋_GB2312" w:hAnsi="仿宋_GB2312" w:eastAsia="仿宋_GB2312" w:cs="仿宋_GB2312"/>
          <w:color w:val="auto"/>
          <w:sz w:val="32"/>
          <w:szCs w:val="32"/>
          <w:lang w:val="en-US" w:eastAsia="zh-CN"/>
        </w:rPr>
        <w:t>碳纤材料、凯夫拉材料等高端产品研发生产</w:t>
      </w:r>
      <w:r>
        <w:rPr>
          <w:rFonts w:hint="eastAsia" w:ascii="仿宋_GB2312" w:hAnsi="仿宋_GB2312" w:eastAsia="仿宋_GB2312" w:cs="仿宋_GB2312"/>
          <w:color w:val="auto"/>
          <w:sz w:val="32"/>
          <w:szCs w:val="32"/>
          <w:lang w:val="en-US" w:eastAsia="zh-CN"/>
        </w:rPr>
        <w:t>企业，</w:t>
      </w:r>
      <w:r>
        <w:rPr>
          <w:rFonts w:hint="eastAsia" w:ascii="仿宋_GB2312" w:hAnsi="仿宋_GB2312" w:eastAsia="仿宋_GB2312" w:cs="仿宋_GB2312"/>
          <w:color w:val="auto"/>
          <w:sz w:val="32"/>
          <w:szCs w:val="32"/>
          <w:lang w:val="en-US" w:eastAsia="zh-CN"/>
        </w:rPr>
        <w:t>以及</w:t>
      </w:r>
      <w:r>
        <w:rPr>
          <w:rFonts w:hint="default" w:ascii="仿宋_GB2312" w:hAnsi="仿宋_GB2312" w:eastAsia="仿宋_GB2312" w:cs="仿宋_GB2312"/>
          <w:color w:val="auto"/>
          <w:sz w:val="32"/>
          <w:szCs w:val="32"/>
          <w:lang w:val="en-US" w:eastAsia="zh-CN"/>
        </w:rPr>
        <w:t>主控芯片、精密元器件、核心传感器/连接器等企业，</w:t>
      </w:r>
      <w:r>
        <w:rPr>
          <w:rFonts w:hint="default" w:ascii="仿宋_GB2312" w:hAnsi="仿宋_GB2312" w:eastAsia="仿宋_GB2312" w:cs="仿宋_GB2312"/>
          <w:color w:val="auto"/>
          <w:sz w:val="32"/>
          <w:szCs w:val="32"/>
          <w:lang w:val="en-US" w:eastAsia="zh-CN"/>
        </w:rPr>
        <w:t>加快形成覆盖低空飞行器整机研发、核心零部件制造和关键材料生产的完整产业链条</w:t>
      </w:r>
      <w:r>
        <w:rPr>
          <w:rFonts w:hint="default"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rPr>
        <w:t>拓展“低空+”多元应用场景</w:t>
      </w:r>
      <w:r>
        <w:rPr>
          <w:rFonts w:hint="default" w:ascii="仿宋_GB2312" w:hAnsi="仿宋_GB2312" w:eastAsia="仿宋_GB2312" w:cs="仿宋_GB2312"/>
          <w:color w:val="auto"/>
          <w:sz w:val="32"/>
          <w:szCs w:val="32"/>
        </w:rPr>
        <w:t>，</w:t>
      </w:r>
      <w:r>
        <w:rPr>
          <w:rFonts w:hint="default" w:ascii="仿宋_GB2312" w:hAnsi="仿宋_GB2312" w:eastAsia="仿宋_GB2312" w:cs="仿宋_GB2312"/>
          <w:color w:val="auto"/>
          <w:sz w:val="32"/>
          <w:szCs w:val="32"/>
        </w:rPr>
        <w:t>充分发挥开平文旅资源丰富的独特优势，推动低空经济与旅游、农业、物流、城市管理等深度融合。打造低空文旅示范区，探索开发低空观光旅游、空中摄影、飞行体验等文旅产品，通过低空飞行串联开平碉楼、赤坎华侨古镇等市内景点，打造空中旅游精品线路。拓展公共服务应用，在应急救援、城市管理、农林植保、环境监测等领域推广应用无人机，实现“低空经济+旅游”“低空经济+安防”等应用场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2.氢能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培育发展氢能</w:t>
      </w:r>
      <w:r>
        <w:rPr>
          <w:rFonts w:hint="default" w:ascii="仿宋_GB2312" w:hAnsi="仿宋_GB2312" w:eastAsia="仿宋_GB2312" w:cs="仿宋_GB2312"/>
          <w:b/>
          <w:bCs/>
          <w:color w:val="auto"/>
          <w:sz w:val="32"/>
          <w:szCs w:val="32"/>
          <w:lang w:val="en-US" w:eastAsia="zh-CN"/>
        </w:rPr>
        <w:t>装备制造产业</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高标准建设三埠氢能装备智能制造和创新应用示范基地</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以氢储运装备制造为核心，构建“以氢储运为核心，并向上游制氢、下游用氢延伸”的特色氢能产业链发展格局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聚焦重大项目牵引，重点保障</w:t>
      </w:r>
      <w:r>
        <w:rPr>
          <w:rFonts w:hint="eastAsia" w:ascii="仿宋_GB2312" w:hAnsi="仿宋_GB2312" w:eastAsia="仿宋_GB2312" w:cs="仿宋_GB2312"/>
          <w:color w:val="auto"/>
          <w:sz w:val="32"/>
          <w:szCs w:val="32"/>
          <w:lang w:val="en-US" w:eastAsia="zh-CN"/>
        </w:rPr>
        <w:t>中科建成低温储运装备制造项目</w:t>
      </w:r>
      <w:r>
        <w:rPr>
          <w:rFonts w:hint="eastAsia" w:ascii="仿宋_GB2312" w:hAnsi="仿宋_GB2312" w:eastAsia="仿宋_GB2312" w:cs="仿宋_GB2312"/>
          <w:color w:val="auto"/>
          <w:sz w:val="32"/>
          <w:szCs w:val="32"/>
          <w:lang w:val="en-US" w:eastAsia="zh-CN"/>
        </w:rPr>
        <w:t>落地见效，围绕“链主”企业，积极引进低温绝热材料、同步加大制氢装备、燃料电池系统等关键环节的招商力度，前瞻布局氢能无人机、氢能两轮车等新兴装备赛道，形成梯次推进、协同联动的产业生态</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default" w:ascii="仿宋_GB2312" w:hAnsi="仿宋_GB2312" w:eastAsia="仿宋_GB2312" w:cs="仿宋_GB2312"/>
          <w:b/>
          <w:bCs/>
          <w:color w:val="auto"/>
          <w:sz w:val="32"/>
          <w:szCs w:val="32"/>
          <w:lang w:val="en-US" w:eastAsia="zh-CN"/>
        </w:rPr>
        <w:t>拓展多元化应用场景</w:t>
      </w:r>
      <w:r>
        <w:rPr>
          <w:rFonts w:hint="eastAsia" w:ascii="仿宋_GB2312" w:hAnsi="仿宋_GB2312" w:eastAsia="仿宋_GB2312" w:cs="仿宋_GB2312"/>
          <w:color w:val="auto"/>
          <w:sz w:val="32"/>
          <w:szCs w:val="32"/>
          <w:lang w:val="en-US" w:eastAsia="zh-CN"/>
        </w:rPr>
        <w:t>。坚持“以场景育产业、以示范促应用”的理念，</w:t>
      </w:r>
      <w:r>
        <w:rPr>
          <w:rFonts w:hint="eastAsia" w:ascii="仿宋_GB2312" w:hAnsi="仿宋_GB2312" w:eastAsia="仿宋_GB2312" w:cs="仿宋_GB2312"/>
          <w:color w:val="auto"/>
          <w:sz w:val="32"/>
          <w:szCs w:val="32"/>
          <w:lang w:val="en-US" w:eastAsia="zh-CN"/>
        </w:rPr>
        <w:t>加快推进</w:t>
      </w:r>
      <w:r>
        <w:rPr>
          <w:rFonts w:hint="default" w:ascii="仿宋_GB2312" w:hAnsi="仿宋_GB2312" w:eastAsia="仿宋_GB2312" w:cs="仿宋_GB2312"/>
          <w:color w:val="auto"/>
          <w:sz w:val="32"/>
          <w:szCs w:val="32"/>
        </w:rPr>
        <w:t>翠山湖加氢站二期建设，</w:t>
      </w:r>
      <w:r>
        <w:rPr>
          <w:rFonts w:hint="eastAsia" w:ascii="仿宋_GB2312" w:hAnsi="仿宋_GB2312" w:eastAsia="仿宋_GB2312" w:cs="仿宋_GB2312"/>
          <w:color w:val="auto"/>
          <w:sz w:val="32"/>
          <w:szCs w:val="32"/>
          <w:lang w:val="en-US" w:eastAsia="zh-CN"/>
        </w:rPr>
        <w:t>持续</w:t>
      </w:r>
      <w:r>
        <w:rPr>
          <w:rFonts w:hint="default" w:ascii="仿宋_GB2312" w:hAnsi="仿宋_GB2312" w:eastAsia="仿宋_GB2312" w:cs="仿宋_GB2312"/>
          <w:color w:val="auto"/>
          <w:sz w:val="32"/>
          <w:szCs w:val="32"/>
        </w:rPr>
        <w:t>丰富开平</w:t>
      </w:r>
      <w:r>
        <w:rPr>
          <w:rFonts w:hint="eastAsia" w:ascii="仿宋_GB2312" w:hAnsi="仿宋_GB2312" w:eastAsia="仿宋_GB2312" w:cs="仿宋_GB2312"/>
          <w:color w:val="auto"/>
          <w:sz w:val="32"/>
          <w:szCs w:val="32"/>
          <w:lang w:val="en-US" w:eastAsia="zh-CN"/>
        </w:rPr>
        <w:t>本地</w:t>
      </w:r>
      <w:r>
        <w:rPr>
          <w:rFonts w:hint="default" w:ascii="仿宋_GB2312" w:hAnsi="仿宋_GB2312" w:eastAsia="仿宋_GB2312" w:cs="仿宋_GB2312"/>
          <w:color w:val="auto"/>
          <w:sz w:val="32"/>
          <w:szCs w:val="32"/>
        </w:rPr>
        <w:t>应用场景</w:t>
      </w:r>
      <w:r>
        <w:rPr>
          <w:rFonts w:hint="eastAsia" w:ascii="仿宋_GB2312" w:hAnsi="仿宋_GB2312" w:eastAsia="仿宋_GB2312" w:cs="仿宋_GB2312"/>
          <w:color w:val="auto"/>
          <w:sz w:val="32"/>
          <w:szCs w:val="32"/>
          <w:lang w:eastAsia="zh-CN"/>
        </w:rPr>
        <w:t>。</w:t>
      </w:r>
      <w:r>
        <w:rPr>
          <w:rFonts w:hint="default" w:ascii="仿宋_GB2312" w:hAnsi="仿宋_GB2312" w:eastAsia="仿宋_GB2312" w:cs="仿宋_GB2312"/>
          <w:color w:val="auto"/>
          <w:sz w:val="32"/>
          <w:szCs w:val="32"/>
        </w:rPr>
        <w:t>积极探索氢燃料电池车在冷链物流、旅游巴士、绿电直连数据中心等多元场景的规模化验证与商业化运行，推动氢能从“技术突破”走向“场景落地”，为区域能源绿色转型提供可复制、可推广的开平样板。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27" w:name="_Toc5432"/>
      <w:bookmarkStart w:id="28" w:name="_Toc32591"/>
      <w:r>
        <w:rPr>
          <w:rFonts w:hint="eastAsia" w:ascii="楷体" w:hAnsi="楷体" w:eastAsia="楷体" w:cs="楷体"/>
          <w:b/>
          <w:bCs/>
          <w:color w:val="auto"/>
          <w:sz w:val="32"/>
          <w:szCs w:val="32"/>
          <w:lang w:val="en-US" w:eastAsia="zh-CN"/>
        </w:rPr>
        <w:t>第四节 差异化发展特色产业</w:t>
      </w:r>
      <w:bookmarkEnd w:id="27"/>
      <w:bookmarkEnd w:id="2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1.汽车及零部件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做强轮胎帘子布、汽车电子线路板与减震配套三大基础板块。</w:t>
      </w:r>
      <w:r>
        <w:rPr>
          <w:rFonts w:hint="eastAsia" w:ascii="仿宋_GB2312" w:hAnsi="仿宋_GB2312" w:eastAsia="仿宋_GB2312" w:cs="仿宋_GB2312"/>
          <w:b w:val="0"/>
          <w:bCs w:val="0"/>
          <w:color w:val="auto"/>
          <w:sz w:val="32"/>
          <w:szCs w:val="32"/>
          <w:lang w:val="en-US" w:eastAsia="zh-CN"/>
        </w:rPr>
        <w:t>支持企业扩大高性能纤维产能，加大研发投入，开发高模量低收缩聚酯帘子布、芳纶复合帘子布等高端产品，满足新能源汽车轻量化、高强度需求。扩大汽车电子线路板产能，拓展高多层板、HDI板在智能驾驶域控制器、车载传感器及通信模块等领域的应用。推动减震件、橡胶制品、五金配件等骨干企业扩能提质，向规上及专精特新方向跃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大力发展新能源汽车核心部件、轻量化材料与精密制造，</w:t>
      </w:r>
      <w:r>
        <w:rPr>
          <w:rFonts w:hint="eastAsia" w:ascii="仿宋_GB2312" w:hAnsi="仿宋_GB2312" w:eastAsia="仿宋_GB2312" w:cs="仿宋_GB2312"/>
          <w:b w:val="0"/>
          <w:bCs w:val="0"/>
          <w:color w:val="auto"/>
          <w:sz w:val="32"/>
          <w:szCs w:val="32"/>
          <w:lang w:val="en-US" w:eastAsia="zh-CN"/>
        </w:rPr>
        <w:t>在核心部件领域，推动车载充电机（OBC）、DC-DC转换器、电池管理系统（BMS）模组等产品延伸拓展，加速形成配套能力。在轻量化材料及零部件方面，重点发展汽车塑料件，涵盖空调风道、进气管路、防撞梁填充结构及内外饰件等产品；支持高机能树脂制品骨干企业向座舱、座椅发泡体、密封件及内饰零部件等环节延伸；积极引进铝合金精密压铸、镁合金零部件、碳纤维复合材料部件等轻量化制造项目，丰富产品矩阵。在精密制造与模具设计方面，引育高精度模具企业，应用CAD/CAE/CAM一体化、高速铣削、电火花加工等先进工艺，为零部件企业提供快速精准的模具开发服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2.胶粘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发展高性能胶黏剂与功能型产品</w:t>
      </w:r>
      <w:r>
        <w:rPr>
          <w:rFonts w:hint="eastAsia" w:ascii="仿宋_GB2312" w:hAnsi="仿宋_GB2312" w:eastAsia="仿宋_GB2312" w:cs="仿宋_GB2312"/>
          <w:color w:val="auto"/>
          <w:sz w:val="32"/>
          <w:szCs w:val="32"/>
          <w:lang w:val="en-US" w:eastAsia="zh-CN"/>
        </w:rPr>
        <w:t>。大力发展聚氨酯胶粘剂，补齐灌封胶和导热胶等关键产品，积极引进导热界面材料、三防漆、电子封装胶等高附加值产品制造企业。发展水性胶粘剂及环保型产品，推动水性聚氨酯胶粘剂、水性不干胶、无溶剂环保胶黏剂等绿色产品扩产提能，推动企业加快产品绿色化转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布局</w:t>
      </w:r>
      <w:r>
        <w:rPr>
          <w:rFonts w:hint="default" w:ascii="仿宋_GB2312" w:hAnsi="仿宋_GB2312" w:eastAsia="仿宋_GB2312" w:cs="仿宋_GB2312"/>
          <w:b/>
          <w:bCs/>
          <w:color w:val="auto"/>
          <w:sz w:val="32"/>
          <w:szCs w:val="32"/>
          <w:lang w:val="en-US" w:eastAsia="zh-CN"/>
        </w:rPr>
        <w:t>特种胶粘材料、高端密封胶及医用胶粘剂等重点领域</w:t>
      </w:r>
      <w:r>
        <w:rPr>
          <w:rFonts w:hint="eastAsia" w:ascii="仿宋_GB2312" w:hAnsi="仿宋_GB2312" w:eastAsia="仿宋_GB2312" w:cs="仿宋_GB2312"/>
          <w:color w:val="auto"/>
          <w:sz w:val="32"/>
          <w:szCs w:val="32"/>
          <w:lang w:val="en-US" w:eastAsia="zh-CN"/>
        </w:rPr>
        <w:t>。在特种胶粘材料方面，引导企业开发生物基胶黏剂、可降解不干胶材料、UV光固化胶等环保型特种产品，抢占绿色胶粘材料市场先机。在高端密封胶与结构胶方面，重点发展汽车轻量化结构胶、动力电池密封胶、光伏组件密封胶等高附加值产品，主动对接国内掌握高性能聚氨酯结构胶、MS密封胶等核心技术的优势企业，加快引进高端密封胶制造项目，补齐产业链短板。在医用胶粘剂及医用胶带方面，招引医用级丙烯酸压敏胶、有机硅医用胶等产品的研发生产企业，打造医疗器械配套材料特色板块，拓展产业应用新空间。</w:t>
      </w:r>
    </w:p>
    <w:p>
      <w:pPr>
        <w:rPr>
          <w:rFonts w:hint="default"/>
          <w:color w:val="auto"/>
          <w:lang w:val="en-US" w:eastAsia="zh-CN"/>
        </w:rPr>
        <w:sectPr>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default" w:ascii="黑体" w:hAnsi="黑体" w:eastAsia="黑体" w:cs="黑体"/>
          <w:color w:val="auto"/>
          <w:sz w:val="32"/>
          <w:szCs w:val="32"/>
          <w:lang w:val="en-US" w:eastAsia="zh-CN"/>
        </w:rPr>
      </w:pPr>
      <w:bookmarkStart w:id="29" w:name="_Toc2138"/>
      <w:r>
        <w:rPr>
          <w:rFonts w:hint="eastAsia" w:ascii="黑体" w:hAnsi="黑体" w:eastAsia="黑体" w:cs="黑体"/>
          <w:color w:val="auto"/>
          <w:sz w:val="32"/>
          <w:szCs w:val="32"/>
          <w:lang w:val="en-US" w:eastAsia="zh-CN"/>
        </w:rPr>
        <w:t>第六章 优化产业平台布局</w:t>
      </w:r>
      <w:bookmarkEnd w:id="2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仿宋_GB2312" w:hAnsi="仿宋_GB2312" w:eastAsia="仿宋_GB2312" w:cs="仿宋_GB2312"/>
          <w:b w:val="0"/>
          <w:bCs w:val="0"/>
          <w:color w:val="auto"/>
          <w:sz w:val="32"/>
          <w:szCs w:val="32"/>
          <w:lang w:val="en-US" w:eastAsia="zh-CN"/>
        </w:rPr>
      </w:pPr>
      <w:bookmarkStart w:id="30" w:name="_Toc30420"/>
      <w:r>
        <w:rPr>
          <w:rFonts w:hint="eastAsia" w:ascii="仿宋_GB2312" w:hAnsi="仿宋_GB2312" w:eastAsia="仿宋_GB2312" w:cs="仿宋_GB2312"/>
          <w:color w:val="auto"/>
          <w:sz w:val="32"/>
          <w:szCs w:val="32"/>
          <w:highlight w:val="none"/>
          <w:lang w:val="en-US" w:eastAsia="zh-CN"/>
        </w:rPr>
        <w:t>“十五五”时期，开平市将聚力建设江门承接产业有序转移主平台开平片区、开平产业园区、开平高新区和江门大型产业集聚区等高能级平台，以开平产业园区和开平高新区为主阵地，协同特色产业园，推动资源要素向园区集聚、政策措施向园区倾斜、工作力量向园区加强。以平台能级跃升引领产业集群提质，为开平高质量发展争先进位筑牢空间基石。</w:t>
      </w:r>
      <w:bookmarkEnd w:id="3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31" w:name="_Toc6770"/>
      <w:r>
        <w:rPr>
          <w:rFonts w:hint="eastAsia" w:ascii="楷体" w:hAnsi="楷体" w:eastAsia="楷体" w:cs="楷体"/>
          <w:b/>
          <w:bCs/>
          <w:color w:val="auto"/>
          <w:sz w:val="32"/>
          <w:szCs w:val="32"/>
          <w:lang w:val="en-US" w:eastAsia="zh-CN"/>
        </w:rPr>
        <w:t>第一节 开平产业园区</w:t>
      </w:r>
      <w:bookmarkEnd w:id="3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开平产业园区</w:t>
      </w:r>
      <w:r>
        <w:rPr>
          <w:rFonts w:hint="eastAsia" w:ascii="仿宋_GB2312" w:hAnsi="仿宋_GB2312" w:eastAsia="仿宋_GB2312" w:cs="仿宋_GB2312"/>
          <w:color w:val="auto"/>
          <w:sz w:val="32"/>
          <w:szCs w:val="32"/>
          <w:lang w:val="en-US" w:eastAsia="zh-CN"/>
        </w:rPr>
        <w:t>是</w:t>
      </w:r>
      <w:r>
        <w:rPr>
          <w:rFonts w:hint="default" w:ascii="仿宋_GB2312" w:hAnsi="仿宋_GB2312" w:eastAsia="仿宋_GB2312" w:cs="仿宋_GB2312"/>
          <w:color w:val="auto"/>
          <w:sz w:val="32"/>
          <w:szCs w:val="32"/>
          <w:lang w:val="en-US" w:eastAsia="zh-CN"/>
        </w:rPr>
        <w:t>全市制造业高质量发展的主阵地，重点布局水暖卫浴、纺织服装、食品、新一代信息技术、生物医药、高端装备制造及氢能等产业。</w:t>
      </w:r>
      <w:r>
        <w:rPr>
          <w:rFonts w:hint="eastAsia" w:ascii="仿宋_GB2312" w:hAnsi="仿宋_GB2312" w:eastAsia="仿宋_GB2312" w:cs="仿宋_GB2312"/>
          <w:color w:val="auto"/>
          <w:sz w:val="32"/>
          <w:szCs w:val="32"/>
          <w:lang w:val="en-US" w:eastAsia="zh-CN"/>
        </w:rPr>
        <w:t>其中</w:t>
      </w:r>
      <w:r>
        <w:rPr>
          <w:rFonts w:hint="default" w:ascii="仿宋_GB2312" w:hAnsi="仿宋_GB2312" w:eastAsia="仿宋_GB2312" w:cs="仿宋_GB2312"/>
          <w:color w:val="auto"/>
          <w:sz w:val="32"/>
          <w:szCs w:val="32"/>
          <w:lang w:val="en-US" w:eastAsia="zh-CN"/>
        </w:rPr>
        <w:t>水暖卫浴聚焦高端产品和大型企业，完善电镀、模具、检测等产业配套设施；纺织服装推进品牌化、柔性化转型；食品侧重休闲健康食品，拓展烘焙、蛋制品深加工；新一代信息技术发展线路板</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新型显示；生物医药打造“湾区药谷”核心承载区；高端装备制造做强输配电设备；氢能围绕加氢用氢装备、氢能冷链装备、加氢综合能源站、氢能源综合应用及氢能装备关键材料、核心部件，构建氢能全产业链生态</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园区</w:t>
      </w:r>
      <w:r>
        <w:rPr>
          <w:rFonts w:hint="default" w:ascii="仿宋_GB2312" w:hAnsi="仿宋_GB2312" w:eastAsia="仿宋_GB2312" w:cs="仿宋_GB2312"/>
          <w:color w:val="auto"/>
          <w:sz w:val="32"/>
          <w:szCs w:val="32"/>
          <w:lang w:val="en-US" w:eastAsia="zh-CN"/>
        </w:rPr>
        <w:t>配套布局共性管理、推广展示、培训职教、金融服务、居住休闲、生活服务等功能，促进城产深度融合。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32" w:name="_Toc20073"/>
      <w:r>
        <w:rPr>
          <w:rFonts w:hint="eastAsia" w:ascii="楷体" w:hAnsi="楷体" w:eastAsia="楷体" w:cs="楷体"/>
          <w:b/>
          <w:bCs/>
          <w:color w:val="auto"/>
          <w:sz w:val="32"/>
          <w:szCs w:val="32"/>
          <w:lang w:val="en-US" w:eastAsia="zh-CN"/>
        </w:rPr>
        <w:t>第二节 开平高新区</w:t>
      </w:r>
      <w:bookmarkEnd w:id="3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auto"/>
          <w:sz w:val="32"/>
          <w:szCs w:val="32"/>
          <w:vertAlign w:val="baseline"/>
          <w:lang w:val="en-US" w:eastAsia="zh-CN"/>
        </w:rPr>
      </w:pPr>
      <w:r>
        <w:rPr>
          <w:rFonts w:hint="eastAsia" w:ascii="仿宋_GB2312" w:hAnsi="仿宋_GB2312" w:eastAsia="仿宋_GB2312" w:cs="仿宋_GB2312"/>
          <w:b w:val="0"/>
          <w:bCs w:val="0"/>
          <w:color w:val="auto"/>
          <w:sz w:val="32"/>
          <w:szCs w:val="32"/>
          <w:vertAlign w:val="baseline"/>
          <w:lang w:val="en-US" w:eastAsia="zh-CN"/>
        </w:rPr>
        <w:t>开平高新区</w:t>
      </w:r>
      <w:r>
        <w:rPr>
          <w:rFonts w:hint="eastAsia" w:ascii="仿宋_GB2312" w:hAnsi="仿宋_GB2312" w:eastAsia="仿宋_GB2312" w:cs="仿宋_GB2312"/>
          <w:b w:val="0"/>
          <w:bCs w:val="0"/>
          <w:color w:val="auto"/>
          <w:sz w:val="32"/>
          <w:szCs w:val="32"/>
          <w:vertAlign w:val="baseline"/>
          <w:lang w:val="en-US" w:eastAsia="zh-CN"/>
        </w:rPr>
        <w:t>坚持“小而精、特而强”的发展理念，以培育新质生产力为核心，以特色化、差异化、集群化为发展路径，围绕水暖卫浴中小企业集群、氢能储运装备制造、马冈鹅预制菜、胶粘新材料、大健康科技、循环经济六大特色产业，构建“一区六园、协同发展”的产业新格局。立足现有产业基础，强化科技创新引领，推动产业向高端化、智能化、绿色化方向升级，加快培育一批“专精特新”企业和细分领域“隐形冠军”。持续完善技术研发、检验检测、创业孵化、人才培养、金融服务等公共服务配套，促进产业链上下游协同发展，提升亩均产出效益。深度融入粤港澳大湾区产业分工体系，积极承接大湾区核心城市创新</w:t>
      </w:r>
      <w:r>
        <w:rPr>
          <w:rFonts w:hint="eastAsia" w:ascii="仿宋_GB2312" w:hAnsi="仿宋_GB2312" w:eastAsia="仿宋_GB2312" w:cs="仿宋_GB2312"/>
          <w:b w:val="0"/>
          <w:bCs w:val="0"/>
          <w:color w:val="auto"/>
          <w:sz w:val="32"/>
          <w:szCs w:val="32"/>
          <w:vertAlign w:val="baseline"/>
          <w:lang w:val="en-US" w:eastAsia="zh-CN"/>
        </w:rPr>
        <w:t>外溢</w:t>
      </w:r>
      <w:r>
        <w:rPr>
          <w:rFonts w:hint="eastAsia" w:ascii="仿宋_GB2312" w:hAnsi="仿宋_GB2312" w:eastAsia="仿宋_GB2312" w:cs="仿宋_GB2312"/>
          <w:b w:val="0"/>
          <w:bCs w:val="0"/>
          <w:color w:val="auto"/>
          <w:sz w:val="32"/>
          <w:szCs w:val="32"/>
          <w:vertAlign w:val="baseline"/>
          <w:lang w:val="en-US" w:eastAsia="zh-CN"/>
        </w:rPr>
        <w:t>资源，将开平高新区打造成为大湾区西翼具有核心竞争力的特色高新技术产业集聚区和科技成果转化</w:t>
      </w:r>
      <w:r>
        <w:rPr>
          <w:rFonts w:hint="eastAsia" w:ascii="仿宋_GB2312" w:hAnsi="仿宋_GB2312" w:eastAsia="仿宋_GB2312" w:cs="仿宋_GB2312"/>
          <w:b w:val="0"/>
          <w:bCs w:val="0"/>
          <w:color w:val="auto"/>
          <w:sz w:val="32"/>
          <w:szCs w:val="32"/>
          <w:vertAlign w:val="baseline"/>
          <w:lang w:val="en-US" w:eastAsia="zh-CN"/>
        </w:rPr>
        <w:t>的</w:t>
      </w:r>
      <w:r>
        <w:rPr>
          <w:rFonts w:hint="eastAsia" w:ascii="仿宋_GB2312" w:hAnsi="仿宋_GB2312" w:eastAsia="仿宋_GB2312" w:cs="仿宋_GB2312"/>
          <w:b w:val="0"/>
          <w:bCs w:val="0"/>
          <w:color w:val="auto"/>
          <w:sz w:val="32"/>
          <w:szCs w:val="32"/>
          <w:vertAlign w:val="baseline"/>
          <w:lang w:val="en-US" w:eastAsia="zh-CN"/>
        </w:rPr>
        <w:t>首选</w:t>
      </w:r>
      <w:r>
        <w:rPr>
          <w:rFonts w:hint="eastAsia" w:ascii="仿宋_GB2312" w:hAnsi="仿宋_GB2312" w:eastAsia="仿宋_GB2312" w:cs="仿宋_GB2312"/>
          <w:b w:val="0"/>
          <w:bCs w:val="0"/>
          <w:color w:val="auto"/>
          <w:sz w:val="32"/>
          <w:szCs w:val="32"/>
          <w:vertAlign w:val="baseline"/>
          <w:lang w:val="en-US" w:eastAsia="zh-CN"/>
        </w:rPr>
        <w:t>承载</w:t>
      </w:r>
      <w:r>
        <w:rPr>
          <w:rFonts w:hint="eastAsia" w:ascii="仿宋_GB2312" w:hAnsi="仿宋_GB2312" w:eastAsia="仿宋_GB2312" w:cs="仿宋_GB2312"/>
          <w:b w:val="0"/>
          <w:bCs w:val="0"/>
          <w:color w:val="auto"/>
          <w:sz w:val="32"/>
          <w:szCs w:val="32"/>
          <w:vertAlign w:val="baseline"/>
          <w:lang w:val="en-US" w:eastAsia="zh-CN"/>
        </w:rPr>
        <w:t>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rPr>
      </w:pPr>
      <w:r>
        <w:rPr>
          <w:color w:val="auto"/>
        </w:rPr>
        <w:drawing>
          <wp:inline distT="0" distB="0" distL="114300" distR="114300">
            <wp:extent cx="5105400" cy="3424555"/>
            <wp:effectExtent l="0" t="0" r="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5105400" cy="3424555"/>
                    </a:xfrm>
                    <a:prstGeom prst="rect">
                      <a:avLst/>
                    </a:prstGeom>
                    <a:noFill/>
                    <a:ln>
                      <a:noFill/>
                    </a:ln>
                  </pic:spPr>
                </pic:pic>
              </a:graphicData>
            </a:graphic>
          </wp:inline>
        </w:drawing>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 xml:space="preserve">图 </w:t>
      </w:r>
      <w:r>
        <w:rPr>
          <w:rFonts w:hint="eastAsia" w:ascii="仿宋_GB2312" w:hAnsi="仿宋_GB2312" w:eastAsia="仿宋_GB2312" w:cs="仿宋_GB2312"/>
          <w:color w:val="auto"/>
          <w:lang w:val="en-US" w:eastAsia="zh-CN"/>
        </w:rPr>
        <w:t>6-</w:t>
      </w:r>
      <w:r>
        <w:rPr>
          <w:rFonts w:hint="eastAsia" w:ascii="仿宋_GB2312" w:hAnsi="仿宋_GB2312" w:eastAsia="仿宋_GB2312" w:cs="仿宋_GB2312"/>
          <w:color w:val="auto"/>
        </w:rPr>
        <w:fldChar w:fldCharType="begin"/>
      </w:r>
      <w:r>
        <w:rPr>
          <w:rFonts w:hint="eastAsia" w:ascii="仿宋_GB2312" w:hAnsi="仿宋_GB2312" w:eastAsia="仿宋_GB2312" w:cs="仿宋_GB2312"/>
          <w:color w:val="auto"/>
        </w:rPr>
        <w:instrText xml:space="preserve"> SEQ 图 \* ARABIC </w:instrText>
      </w:r>
      <w:r>
        <w:rPr>
          <w:rFonts w:hint="eastAsia" w:ascii="仿宋_GB2312" w:hAnsi="仿宋_GB2312" w:eastAsia="仿宋_GB2312" w:cs="仿宋_GB2312"/>
          <w:color w:val="auto"/>
        </w:rPr>
        <w:fldChar w:fldCharType="separate"/>
      </w:r>
      <w:r>
        <w:rPr>
          <w:rFonts w:hint="eastAsia" w:ascii="仿宋_GB2312" w:hAnsi="仿宋_GB2312" w:eastAsia="仿宋_GB2312" w:cs="仿宋_GB2312"/>
          <w:color w:val="auto"/>
        </w:rPr>
        <w:t>1</w:t>
      </w:r>
      <w:r>
        <w:rPr>
          <w:rFonts w:hint="eastAsia" w:ascii="仿宋_GB2312" w:hAnsi="仿宋_GB2312" w:eastAsia="仿宋_GB2312" w:cs="仿宋_GB2312"/>
          <w:color w:val="auto"/>
        </w:rPr>
        <w:fldChar w:fldCharType="end"/>
      </w:r>
      <w:r>
        <w:rPr>
          <w:rFonts w:hint="eastAsia" w:ascii="仿宋_GB2312" w:hAnsi="仿宋_GB2312" w:eastAsia="仿宋_GB2312" w:cs="仿宋_GB2312"/>
          <w:color w:val="auto"/>
          <w:lang w:eastAsia="zh-CN"/>
        </w:rPr>
        <w:t>：开平产业园区和开平高新区区位图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rPr>
      </w:pPr>
    </w:p>
    <w:p>
      <w:pPr>
        <w:rPr>
          <w:rFonts w:hint="default"/>
          <w:color w:val="auto"/>
          <w:lang w:val="en-US" w:eastAsia="zh-CN"/>
        </w:rPr>
        <w:sectPr>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default" w:ascii="黑体" w:hAnsi="黑体" w:eastAsia="黑体" w:cs="黑体"/>
          <w:color w:val="auto"/>
          <w:sz w:val="32"/>
          <w:szCs w:val="32"/>
          <w:lang w:val="en-US" w:eastAsia="zh-CN"/>
        </w:rPr>
      </w:pPr>
      <w:bookmarkStart w:id="33" w:name="_Toc21056"/>
      <w:r>
        <w:rPr>
          <w:rFonts w:hint="eastAsia" w:ascii="黑体" w:hAnsi="黑体" w:eastAsia="黑体" w:cs="黑体"/>
          <w:color w:val="auto"/>
          <w:sz w:val="32"/>
          <w:szCs w:val="32"/>
          <w:lang w:val="en-US" w:eastAsia="zh-CN"/>
        </w:rPr>
        <w:t>第七章 重点任务</w:t>
      </w:r>
      <w:bookmarkEnd w:id="3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eastAsia" w:ascii="楷体" w:hAnsi="楷体" w:eastAsia="楷体" w:cs="楷体"/>
          <w:b/>
          <w:bCs/>
          <w:color w:val="auto"/>
          <w:sz w:val="32"/>
          <w:szCs w:val="32"/>
          <w:lang w:val="en-US" w:eastAsia="zh-CN"/>
        </w:rPr>
      </w:pPr>
      <w:bookmarkStart w:id="34" w:name="_Toc13047"/>
      <w:r>
        <w:rPr>
          <w:rFonts w:hint="eastAsia" w:ascii="楷体" w:hAnsi="楷体" w:eastAsia="楷体" w:cs="楷体"/>
          <w:b/>
          <w:bCs/>
          <w:color w:val="auto"/>
          <w:sz w:val="32"/>
          <w:szCs w:val="32"/>
          <w:lang w:val="en-US" w:eastAsia="zh-CN"/>
        </w:rPr>
        <w:t>第一节 培育壮大骨干企业</w:t>
      </w:r>
      <w:bookmarkEnd w:id="34"/>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深化企业梯度培育，</w:t>
      </w:r>
      <w:r>
        <w:rPr>
          <w:rFonts w:hint="eastAsia" w:ascii="仿宋_GB2312" w:hAnsi="仿宋_GB2312" w:eastAsia="仿宋_GB2312" w:cs="仿宋_GB2312"/>
          <w:color w:val="auto"/>
          <w:sz w:val="32"/>
          <w:szCs w:val="32"/>
          <w:lang w:val="en-US" w:eastAsia="zh-CN"/>
        </w:rPr>
        <w:t>健全“创新型中小企业—专精特新中小企业—专精特新‘小巨人’企业—单项冠军企业”梯度培育体系，</w:t>
      </w:r>
      <w:r>
        <w:rPr>
          <w:rFonts w:hint="eastAsia" w:ascii="仿宋_GB2312" w:hAnsi="仿宋_GB2312" w:eastAsia="仿宋_GB2312" w:cs="仿宋_GB2312"/>
          <w:color w:val="auto"/>
          <w:sz w:val="32"/>
          <w:szCs w:val="32"/>
          <w:lang w:val="en-US" w:eastAsia="zh-CN"/>
        </w:rPr>
        <w:t>实施</w:t>
      </w:r>
      <w:r>
        <w:rPr>
          <w:rFonts w:hint="eastAsia" w:ascii="仿宋_GB2312" w:hAnsi="仿宋_GB2312" w:eastAsia="仿宋_GB2312" w:cs="仿宋_GB2312"/>
          <w:color w:val="auto"/>
          <w:sz w:val="32"/>
          <w:szCs w:val="32"/>
          <w:lang w:val="en-US" w:eastAsia="zh-CN"/>
        </w:rPr>
        <w:t>培育库动态管理，每年新增省级“专精特新”中小企业7家、专精特新“小巨人”企业1家</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争取更多企业进入广东制造业500强。到2030年，力争</w:t>
      </w:r>
      <w:r>
        <w:rPr>
          <w:rFonts w:hint="eastAsia" w:ascii="仿宋_GB2312" w:hAnsi="仿宋_GB2312" w:eastAsia="仿宋_GB2312" w:cs="仿宋_GB2312"/>
          <w:color w:val="auto"/>
          <w:sz w:val="32"/>
          <w:szCs w:val="32"/>
          <w:lang w:val="en-US" w:eastAsia="zh-CN"/>
        </w:rPr>
        <w:t>年</w:t>
      </w:r>
      <w:r>
        <w:rPr>
          <w:rFonts w:hint="eastAsia" w:ascii="仿宋_GB2312" w:hAnsi="仿宋_GB2312" w:eastAsia="仿宋_GB2312" w:cs="仿宋_GB2312"/>
          <w:color w:val="auto"/>
          <w:sz w:val="32"/>
          <w:szCs w:val="32"/>
          <w:lang w:val="en-US" w:eastAsia="zh-CN"/>
        </w:rPr>
        <w:t>产值</w:t>
      </w:r>
      <w:r>
        <w:rPr>
          <w:rFonts w:hint="eastAsia" w:ascii="仿宋_GB2312" w:hAnsi="仿宋_GB2312" w:eastAsia="仿宋_GB2312" w:cs="仿宋_GB2312"/>
          <w:color w:val="auto"/>
          <w:sz w:val="32"/>
          <w:szCs w:val="32"/>
          <w:lang w:val="en-US" w:eastAsia="zh-CN"/>
        </w:rPr>
        <w:t>超</w:t>
      </w:r>
      <w:r>
        <w:rPr>
          <w:rFonts w:hint="eastAsia" w:ascii="仿宋_GB2312" w:hAnsi="仿宋_GB2312" w:eastAsia="仿宋_GB2312" w:cs="仿宋_GB2312"/>
          <w:color w:val="auto"/>
          <w:sz w:val="32"/>
          <w:szCs w:val="32"/>
          <w:lang w:val="en-US" w:eastAsia="zh-CN"/>
        </w:rPr>
        <w:t>10亿元、40亿元企业分别新增5家、1家，省级以上制造业单项冠军企业累计达4家。</w:t>
      </w:r>
      <w:r>
        <w:rPr>
          <w:rFonts w:hint="eastAsia" w:ascii="仿宋_GB2312" w:hAnsi="仿宋_GB2312" w:eastAsia="仿宋_GB2312" w:cs="仿宋_GB2312"/>
          <w:b/>
          <w:bCs/>
          <w:color w:val="auto"/>
          <w:sz w:val="32"/>
          <w:szCs w:val="32"/>
          <w:lang w:val="en-US" w:eastAsia="zh-CN"/>
        </w:rPr>
        <w:t>支持骨干企业做大做强，</w:t>
      </w:r>
      <w:r>
        <w:rPr>
          <w:rFonts w:hint="eastAsia" w:ascii="仿宋_GB2312" w:hAnsi="仿宋_GB2312" w:eastAsia="仿宋_GB2312" w:cs="仿宋_GB2312"/>
          <w:b w:val="0"/>
          <w:bCs w:val="0"/>
          <w:color w:val="auto"/>
          <w:sz w:val="32"/>
          <w:szCs w:val="32"/>
          <w:lang w:val="en-US" w:eastAsia="zh-CN"/>
        </w:rPr>
        <w:t>鼓励本地龙头企业增资扩产、做强主业，在开平设立综合型总部、功能型总部或区域总部，</w:t>
      </w:r>
      <w:r>
        <w:rPr>
          <w:rFonts w:hint="eastAsia" w:ascii="仿宋_GB2312" w:hAnsi="仿宋_GB2312" w:eastAsia="仿宋_GB2312" w:cs="仿宋_GB2312"/>
          <w:color w:val="auto"/>
          <w:sz w:val="32"/>
          <w:szCs w:val="32"/>
          <w:lang w:val="en-US" w:eastAsia="zh-CN"/>
        </w:rPr>
        <w:t>引导企业将研发设计、品牌营销、财务结算、供应链管理等高附加值环节留在开平，推动人才、资本、信息等高端要素在开平集聚，提升城市综合竞争力和辐射带动力。</w:t>
      </w:r>
      <w:r>
        <w:rPr>
          <w:rFonts w:hint="eastAsia" w:ascii="仿宋_GB2312" w:hAnsi="仿宋_GB2312" w:eastAsia="仿宋_GB2312" w:cs="仿宋_GB2312"/>
          <w:b/>
          <w:bCs/>
          <w:color w:val="auto"/>
          <w:sz w:val="32"/>
          <w:szCs w:val="32"/>
          <w:lang w:val="en-US" w:eastAsia="zh-CN"/>
        </w:rPr>
        <w:t>纵深推进企业“小升规”专项行动，</w:t>
      </w:r>
      <w:r>
        <w:rPr>
          <w:rFonts w:hint="eastAsia" w:ascii="仿宋_GB2312" w:hAnsi="仿宋_GB2312" w:eastAsia="仿宋_GB2312" w:cs="仿宋_GB2312"/>
          <w:b w:val="0"/>
          <w:bCs w:val="0"/>
          <w:color w:val="auto"/>
          <w:sz w:val="32"/>
          <w:szCs w:val="32"/>
          <w:lang w:val="en-US" w:eastAsia="zh-CN"/>
        </w:rPr>
        <w:t>完善“发现—培育—入库—跟踪”全链条机制，重点围绕年主营收入在1500万—2000万元区间的优质规下企业，建立后备企业库，实行“清单化管理、节点化推进”</w:t>
      </w:r>
      <w:r>
        <w:rPr>
          <w:rFonts w:hint="eastAsia" w:ascii="仿宋_GB2312" w:hAnsi="仿宋_GB2312" w:eastAsia="仿宋_GB2312" w:cs="仿宋_GB2312"/>
          <w:color w:val="auto"/>
          <w:sz w:val="32"/>
          <w:szCs w:val="32"/>
          <w:lang w:val="en-US" w:eastAsia="zh-CN"/>
        </w:rPr>
        <w:t>，组织和指导达标企业申报入库，每年推动53家工业企业“小升规”。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35" w:name="_Toc10701"/>
      <w:r>
        <w:rPr>
          <w:rFonts w:hint="eastAsia" w:ascii="楷体" w:hAnsi="楷体" w:eastAsia="楷体" w:cs="楷体"/>
          <w:b/>
          <w:bCs/>
          <w:color w:val="auto"/>
          <w:sz w:val="32"/>
          <w:szCs w:val="32"/>
          <w:lang w:val="en-US" w:eastAsia="zh-CN"/>
        </w:rPr>
        <w:t>第二节 推动产业转型升级</w:t>
      </w:r>
      <w:bookmarkEnd w:id="3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rPr>
        <w:t>加快制造业数智化转型，</w:t>
      </w:r>
      <w:r>
        <w:rPr>
          <w:rFonts w:hint="eastAsia" w:ascii="仿宋_GB2312" w:hAnsi="仿宋_GB2312" w:eastAsia="仿宋_GB2312" w:cs="仿宋_GB2312"/>
          <w:color w:val="auto"/>
          <w:sz w:val="32"/>
          <w:szCs w:val="32"/>
        </w:rPr>
        <w:t>以“智能+工业”深度融合为主线，大力实施中小企业数字化转型行动。加强人工智能、5G、工业自动化控制、数字孪生等新技术与制造业的融合应用，支持企业建设智能车间、智能工厂，打造一批可复制、可推广的数智化应用标杆场景。到2030年，累计推动工业企业实现数字化转型282家，培育省级智能制造示范工厂或数字化车间1个，以点带面引领制造业整体能级跃升。</w:t>
      </w:r>
      <w:r>
        <w:rPr>
          <w:rFonts w:hint="eastAsia" w:ascii="仿宋_GB2312" w:hAnsi="仿宋_GB2312" w:eastAsia="仿宋_GB2312" w:cs="仿宋_GB2312"/>
          <w:b/>
          <w:bCs/>
          <w:color w:val="auto"/>
          <w:sz w:val="32"/>
          <w:szCs w:val="32"/>
          <w:lang w:val="en-US" w:eastAsia="zh-CN"/>
        </w:rPr>
        <w:t>持续赋能传统产业转型升级</w:t>
      </w:r>
      <w:r>
        <w:rPr>
          <w:rFonts w:hint="eastAsia" w:ascii="仿宋_GB2312" w:hAnsi="仿宋_GB2312" w:eastAsia="仿宋_GB2312" w:cs="仿宋_GB2312"/>
          <w:color w:val="auto"/>
          <w:sz w:val="32"/>
          <w:szCs w:val="32"/>
          <w:lang w:val="en-US" w:eastAsia="zh-CN"/>
        </w:rPr>
        <w:t>，贯彻国家和省大规模设备更新部署，支持企业运用新技术、新工艺、新材料、新设备改造升级，每年推动60家企业开展技术改造。</w:t>
      </w:r>
      <w:r>
        <w:rPr>
          <w:rFonts w:hint="default" w:ascii="仿宋_GB2312" w:hAnsi="仿宋_GB2312" w:eastAsia="仿宋_GB2312" w:cs="仿宋_GB2312"/>
          <w:b/>
          <w:bCs/>
          <w:color w:val="auto"/>
          <w:sz w:val="32"/>
          <w:szCs w:val="32"/>
        </w:rPr>
        <w:t>构建绿色制造体系，</w:t>
      </w:r>
      <w:r>
        <w:rPr>
          <w:rFonts w:hint="default" w:ascii="仿宋_GB2312" w:hAnsi="仿宋_GB2312" w:eastAsia="仿宋_GB2312" w:cs="仿宋_GB2312"/>
          <w:color w:val="auto"/>
          <w:sz w:val="32"/>
          <w:szCs w:val="32"/>
        </w:rPr>
        <w:t>引导重点行业和企业对标国际国内先进能效水平，实施系统性节能改造和清洁生产审核。深入开展绿色工厂创建行动，鼓励企业采用绿色工艺技术，优化用能结构，推广节能改造成功经验</w:t>
      </w:r>
      <w:r>
        <w:rPr>
          <w:rFonts w:hint="eastAsia" w:ascii="仿宋_GB2312" w:hAnsi="仿宋_GB2312" w:eastAsia="仿宋_GB2312" w:cs="仿宋_GB2312"/>
          <w:color w:val="auto"/>
          <w:sz w:val="32"/>
          <w:szCs w:val="32"/>
          <w:lang w:eastAsia="zh-CN"/>
        </w:rPr>
        <w:t>。</w:t>
      </w:r>
      <w:r>
        <w:rPr>
          <w:rFonts w:hint="default" w:ascii="仿宋_GB2312" w:hAnsi="仿宋_GB2312" w:eastAsia="仿宋_GB2312" w:cs="仿宋_GB2312"/>
          <w:color w:val="auto"/>
          <w:sz w:val="32"/>
          <w:szCs w:val="32"/>
        </w:rPr>
        <w:t>支持企业建设光伏一体化厂房、分布式光伏发电系统及余热余压回收利用设施，提升可再生能源利用比例和能源梯级利用效率。到2030年，新增绿色工厂3家，重点行业能效水平明显提升，绿色发展成为产业升级的鲜明底色。</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eastAsia" w:ascii="楷体" w:hAnsi="楷体" w:eastAsia="楷体" w:cs="楷体"/>
          <w:b/>
          <w:bCs/>
          <w:color w:val="auto"/>
          <w:sz w:val="32"/>
          <w:szCs w:val="32"/>
          <w:lang w:val="en-US" w:eastAsia="zh-CN"/>
        </w:rPr>
      </w:pPr>
      <w:bookmarkStart w:id="36" w:name="_Toc8517"/>
      <w:r>
        <w:rPr>
          <w:rFonts w:hint="eastAsia" w:ascii="楷体" w:hAnsi="楷体" w:eastAsia="楷体" w:cs="楷体"/>
          <w:b/>
          <w:bCs/>
          <w:color w:val="auto"/>
          <w:sz w:val="32"/>
          <w:szCs w:val="32"/>
          <w:lang w:val="en-US" w:eastAsia="zh-CN"/>
        </w:rPr>
        <w:t xml:space="preserve">第三节 </w:t>
      </w:r>
      <w:r>
        <w:rPr>
          <w:rFonts w:hint="eastAsia" w:ascii="楷体" w:hAnsi="楷体" w:eastAsia="楷体" w:cs="楷体"/>
          <w:b/>
          <w:bCs/>
          <w:color w:val="auto"/>
          <w:sz w:val="32"/>
          <w:szCs w:val="32"/>
        </w:rPr>
        <w:t>强化科技引领</w:t>
      </w:r>
      <w:r>
        <w:rPr>
          <w:rFonts w:hint="eastAsia" w:ascii="楷体" w:hAnsi="楷体" w:eastAsia="楷体" w:cs="楷体"/>
          <w:b/>
          <w:bCs/>
          <w:color w:val="auto"/>
          <w:sz w:val="32"/>
          <w:szCs w:val="32"/>
          <w:lang w:val="en-US" w:eastAsia="zh-CN"/>
        </w:rPr>
        <w:t>效能</w:t>
      </w:r>
      <w:bookmarkEnd w:id="3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rPr>
        <w:t>壮大培优科技企业梯队，</w:t>
      </w:r>
      <w:r>
        <w:rPr>
          <w:rFonts w:hint="eastAsia" w:ascii="仿宋_GB2312" w:hAnsi="仿宋_GB2312" w:eastAsia="仿宋_GB2312" w:cs="仿宋_GB2312"/>
          <w:b w:val="0"/>
          <w:bCs w:val="0"/>
          <w:color w:val="auto"/>
          <w:sz w:val="32"/>
          <w:szCs w:val="32"/>
          <w:lang w:val="en-US" w:eastAsia="zh-CN"/>
        </w:rPr>
        <w:t>完善高新技术企业培育体系，</w:t>
      </w:r>
      <w:r>
        <w:rPr>
          <w:rFonts w:hint="eastAsia" w:ascii="仿宋_GB2312" w:hAnsi="仿宋_GB2312" w:eastAsia="仿宋_GB2312" w:cs="仿宋_GB2312"/>
          <w:color w:val="auto"/>
          <w:sz w:val="32"/>
          <w:szCs w:val="32"/>
        </w:rPr>
        <w:t>建立分层级、动态化的高企培育储备库，对入库企业实施“一企一策”精准辅导</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sz w:val="32"/>
          <w:szCs w:val="32"/>
        </w:rPr>
        <w:t>强化企业创新主体地位，鼓励引导企业持续加大研发投入，支持有条件的企业自建或共建企业研究院、工程技术中心等内部研发机构，推动创新要素向企业集聚。到2030年，力争全市高新技术企业数量突破200家，省级及以上科技创新平台达到65个，形成梯次衔接、量质齐升的创新企业集群</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rPr>
        <w:t>攻坚关键核心技术</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聚焦新一代信息技术、生物医药（含医疗器械）、高端装备制造等新兴产业，以及金属制品（水暖卫浴）、纺织服装、食品等传统产业发展技术需求，推广实施“揭榜挂帅”技术攻关模式。</w:t>
      </w:r>
      <w:r>
        <w:rPr>
          <w:rFonts w:hint="eastAsia" w:ascii="仿宋_GB2312" w:hAnsi="仿宋_GB2312" w:eastAsia="仿宋_GB2312" w:cs="仿宋_GB2312"/>
          <w:color w:val="auto"/>
          <w:sz w:val="32"/>
          <w:szCs w:val="32"/>
        </w:rPr>
        <w:t>强化攻关成果的转化应用与迭代优化，推动新技术、新产品在应用场景中不断验证和升级，以技术突破带动产业链向高附加值环节延伸，真正实现以科技创新引领产业高质量发展、以产业升级驱动新旧动能转换。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37" w:name="_Toc29218"/>
      <w:r>
        <w:rPr>
          <w:rFonts w:hint="eastAsia" w:ascii="楷体" w:hAnsi="楷体" w:eastAsia="楷体" w:cs="楷体"/>
          <w:b/>
          <w:bCs/>
          <w:color w:val="auto"/>
          <w:sz w:val="32"/>
          <w:szCs w:val="32"/>
          <w:lang w:val="en-US" w:eastAsia="zh-CN"/>
        </w:rPr>
        <w:t>第四节 构建大招商格局</w:t>
      </w:r>
      <w:bookmarkEnd w:id="3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lang w:val="en-US" w:eastAsia="zh-CN"/>
        </w:rPr>
        <w:t>实施招商引资“一把手”工程</w:t>
      </w:r>
      <w:r>
        <w:rPr>
          <w:rFonts w:hint="eastAsia" w:ascii="仿宋_GB2312" w:hAnsi="仿宋_GB2312" w:eastAsia="仿宋_GB2312" w:cs="仿宋_GB2312"/>
          <w:b/>
          <w:bCs/>
          <w:color w:val="auto"/>
          <w:sz w:val="32"/>
          <w:szCs w:val="32"/>
          <w:lang w:val="en-US" w:eastAsia="zh-CN"/>
        </w:rPr>
        <w:t>，</w:t>
      </w:r>
      <w:r>
        <w:rPr>
          <w:rFonts w:hint="default" w:ascii="仿宋_GB2312" w:hAnsi="仿宋_GB2312" w:eastAsia="仿宋_GB2312" w:cs="仿宋_GB2312"/>
          <w:color w:val="auto"/>
          <w:sz w:val="32"/>
          <w:szCs w:val="32"/>
          <w:lang w:val="en-US" w:eastAsia="zh-CN"/>
        </w:rPr>
        <w:t>市领导带头、相关职能部门分包重点区域、重点企业、重点项目，形成市级统筹、多线发力的大招商格局。围绕</w:t>
      </w:r>
      <w:r>
        <w:rPr>
          <w:rFonts w:hint="eastAsia" w:ascii="仿宋_GB2312" w:hAnsi="仿宋_GB2312" w:eastAsia="仿宋_GB2312" w:cs="仿宋_GB2312"/>
          <w:color w:val="auto"/>
          <w:sz w:val="32"/>
          <w:szCs w:val="32"/>
          <w:lang w:val="en-US" w:eastAsia="zh-CN"/>
        </w:rPr>
        <w:t>我市</w:t>
      </w:r>
      <w:r>
        <w:rPr>
          <w:rFonts w:hint="default" w:ascii="仿宋_GB2312" w:hAnsi="仿宋_GB2312" w:eastAsia="仿宋_GB2312" w:cs="仿宋_GB2312"/>
          <w:color w:val="auto"/>
          <w:sz w:val="32"/>
          <w:szCs w:val="32"/>
          <w:lang w:val="en-US" w:eastAsia="zh-CN"/>
        </w:rPr>
        <w:t>重点产业方向，绘制产业链全景图谱，明确建链、补链、延链、强链的关键环节和缺失节点，锁定一批细分领域头部企业和“隐形冠军”</w:t>
      </w:r>
      <w:r>
        <w:rPr>
          <w:rFonts w:hint="eastAsia" w:ascii="仿宋_GB2312" w:hAnsi="仿宋_GB2312" w:eastAsia="仿宋_GB2312" w:cs="仿宋_GB2312"/>
          <w:color w:val="auto"/>
          <w:sz w:val="32"/>
          <w:szCs w:val="32"/>
          <w:lang w:val="en-US" w:eastAsia="zh-CN"/>
        </w:rPr>
        <w:t>，开展精准招商</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b/>
          <w:bCs/>
          <w:color w:val="auto"/>
          <w:sz w:val="32"/>
          <w:szCs w:val="32"/>
          <w:lang w:val="en-US" w:eastAsia="zh-CN"/>
        </w:rPr>
        <w:t>探索</w:t>
      </w:r>
      <w:r>
        <w:rPr>
          <w:rFonts w:hint="default" w:ascii="仿宋_GB2312" w:hAnsi="仿宋_GB2312" w:eastAsia="仿宋_GB2312" w:cs="仿宋_GB2312"/>
          <w:b/>
          <w:bCs/>
          <w:color w:val="auto"/>
          <w:sz w:val="32"/>
          <w:szCs w:val="32"/>
          <w:lang w:val="en-US" w:eastAsia="zh-CN"/>
        </w:rPr>
        <w:t>“国资引领+社会资本跟进”的资本招商模式，</w:t>
      </w:r>
      <w:r>
        <w:rPr>
          <w:rFonts w:hint="default" w:ascii="仿宋_GB2312" w:hAnsi="仿宋_GB2312" w:eastAsia="仿宋_GB2312" w:cs="仿宋_GB2312"/>
          <w:color w:val="auto"/>
          <w:sz w:val="32"/>
          <w:szCs w:val="32"/>
          <w:lang w:val="en-US" w:eastAsia="zh-CN"/>
        </w:rPr>
        <w:t>联合粤科风险投资等机构设立产业引导基金，以资本力量撬动优质项目落地。“十五五”期间，</w:t>
      </w:r>
      <w:r>
        <w:rPr>
          <w:rFonts w:hint="eastAsia" w:ascii="仿宋_GB2312" w:hAnsi="仿宋_GB2312" w:eastAsia="仿宋_GB2312" w:cs="仿宋_GB2312"/>
          <w:color w:val="auto"/>
          <w:sz w:val="32"/>
          <w:szCs w:val="32"/>
          <w:lang w:val="en-US" w:eastAsia="zh-CN"/>
        </w:rPr>
        <w:t>引进超亿元项目300个，超10亿元项目30个，力争超50亿元项目1个；每年</w:t>
      </w:r>
      <w:r>
        <w:rPr>
          <w:rFonts w:hint="eastAsia" w:ascii="仿宋_GB2312" w:hAnsi="仿宋_GB2312" w:eastAsia="仿宋_GB2312" w:cs="仿宋_GB2312"/>
          <w:color w:val="auto"/>
          <w:sz w:val="32"/>
          <w:szCs w:val="32"/>
        </w:rPr>
        <w:t>新引进制造业项目投资</w:t>
      </w:r>
      <w:r>
        <w:rPr>
          <w:rFonts w:hint="eastAsia" w:ascii="仿宋_GB2312" w:hAnsi="仿宋_GB2312" w:eastAsia="仿宋_GB2312" w:cs="仿宋_GB2312"/>
          <w:color w:val="auto"/>
          <w:sz w:val="32"/>
          <w:szCs w:val="32"/>
          <w:lang w:val="en-US" w:eastAsia="zh-CN"/>
        </w:rPr>
        <w:t>168</w:t>
      </w:r>
      <w:r>
        <w:rPr>
          <w:rFonts w:hint="default" w:ascii="仿宋_GB2312" w:hAnsi="仿宋_GB2312" w:eastAsia="仿宋_GB2312" w:cs="仿宋_GB2312"/>
          <w:color w:val="auto"/>
          <w:sz w:val="32"/>
          <w:szCs w:val="32"/>
          <w:lang w:val="en-US" w:eastAsia="zh-CN"/>
        </w:rPr>
        <w:t>亿元。</w:t>
      </w:r>
      <w:r>
        <w:rPr>
          <w:rFonts w:hint="default" w:ascii="仿宋_GB2312" w:hAnsi="仿宋_GB2312" w:eastAsia="仿宋_GB2312" w:cs="仿宋_GB2312"/>
          <w:b/>
          <w:bCs/>
          <w:color w:val="auto"/>
          <w:sz w:val="32"/>
          <w:szCs w:val="32"/>
          <w:lang w:val="en-US" w:eastAsia="zh-CN"/>
        </w:rPr>
        <w:t>打好“侨”牌，激活侨资侨力招商动能</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深化港澳招商合作。发挥港澳乡亲社团的桥梁纽带作用，举办专场招商推介会，以侨为桥、以商引商，深化开平与港澳三地资源互补与产业协同。完善侨资服务体系。</w:t>
      </w:r>
      <w:r>
        <w:rPr>
          <w:rFonts w:hint="eastAsia" w:ascii="仿宋_GB2312" w:hAnsi="仿宋_GB2312" w:eastAsia="仿宋_GB2312" w:cs="仿宋_GB2312"/>
          <w:color w:val="auto"/>
          <w:sz w:val="32"/>
          <w:szCs w:val="32"/>
          <w:lang w:val="en-US" w:eastAsia="zh-CN"/>
        </w:rPr>
        <w:t>争取</w:t>
      </w:r>
      <w:r>
        <w:rPr>
          <w:rFonts w:hint="default" w:ascii="仿宋_GB2312" w:hAnsi="仿宋_GB2312" w:eastAsia="仿宋_GB2312" w:cs="仿宋_GB2312"/>
          <w:color w:val="auto"/>
          <w:sz w:val="32"/>
          <w:szCs w:val="32"/>
          <w:lang w:val="en-US" w:eastAsia="zh-CN"/>
        </w:rPr>
        <w:t>落实“一网通办”便利化措施，为港澳投资企业提供高效便捷的政务服务，持续优化侨资企业投资营商环境。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1"/>
        <w:rPr>
          <w:rFonts w:hint="eastAsia" w:ascii="仿宋_GB2312" w:hAnsi="仿宋_GB2312" w:eastAsia="仿宋_GB2312" w:cs="仿宋_GB2312"/>
          <w:b w:val="0"/>
          <w:bCs w:val="0"/>
          <w:color w:val="auto"/>
          <w:sz w:val="32"/>
          <w:szCs w:val="32"/>
          <w:lang w:val="en-US" w:eastAsia="zh-CN"/>
        </w:rPr>
      </w:pPr>
      <w:bookmarkStart w:id="38" w:name="_Toc14381"/>
      <w:r>
        <w:rPr>
          <w:rFonts w:hint="eastAsia" w:ascii="楷体" w:hAnsi="楷体" w:eastAsia="楷体" w:cs="楷体"/>
          <w:b/>
          <w:bCs/>
          <w:color w:val="auto"/>
          <w:kern w:val="2"/>
          <w:sz w:val="32"/>
          <w:szCs w:val="32"/>
          <w:lang w:val="en-US" w:eastAsia="zh-CN" w:bidi="ar-SA"/>
        </w:rPr>
        <w:t xml:space="preserve">第五节 </w:t>
      </w:r>
      <w:r>
        <w:rPr>
          <w:rFonts w:hint="eastAsia" w:ascii="楷体" w:hAnsi="楷体" w:eastAsia="楷体" w:cs="楷体"/>
          <w:b/>
          <w:bCs/>
          <w:color w:val="auto"/>
          <w:sz w:val="32"/>
          <w:szCs w:val="32"/>
          <w:lang w:val="en-US" w:eastAsia="zh-CN"/>
        </w:rPr>
        <w:t>推进产业园区建设</w:t>
      </w:r>
      <w:bookmarkEnd w:id="38"/>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rPr>
        <w:t>全面推进产业园区标准化建设</w:t>
      </w:r>
      <w:r>
        <w:rPr>
          <w:rFonts w:hint="default"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高水平建设</w:t>
      </w:r>
      <w:r>
        <w:rPr>
          <w:rFonts w:hint="eastAsia" w:ascii="仿宋_GB2312" w:hAnsi="仿宋_GB2312" w:eastAsia="仿宋_GB2312" w:cs="仿宋_GB2312"/>
          <w:color w:val="auto"/>
          <w:sz w:val="32"/>
          <w:szCs w:val="32"/>
          <w:lang w:eastAsia="zh-CN"/>
        </w:rPr>
        <w:t>2</w:t>
      </w:r>
      <w:r>
        <w:rPr>
          <w:rFonts w:hint="eastAsia" w:ascii="仿宋_GB2312" w:hAnsi="仿宋_GB2312" w:eastAsia="仿宋_GB2312" w:cs="仿宋_GB2312"/>
          <w:color w:val="auto"/>
          <w:sz w:val="32"/>
          <w:szCs w:val="32"/>
        </w:rPr>
        <w:t>个省级以上开发区，推动土地、资金、项目、人才等资源向园区集中</w:t>
      </w:r>
      <w:r>
        <w:rPr>
          <w:rFonts w:hint="eastAsia" w:ascii="仿宋_GB2312" w:hAnsi="仿宋_GB2312" w:eastAsia="仿宋_GB2312" w:cs="仿宋_GB2312"/>
          <w:color w:val="auto"/>
          <w:sz w:val="32"/>
          <w:szCs w:val="32"/>
          <w:lang w:eastAsia="zh-CN"/>
        </w:rPr>
        <w:t>。</w:t>
      </w:r>
      <w:r>
        <w:rPr>
          <w:rFonts w:hint="default" w:ascii="仿宋_GB2312" w:hAnsi="仿宋_GB2312" w:eastAsia="仿宋_GB2312" w:cs="仿宋_GB2312"/>
          <w:color w:val="auto"/>
          <w:sz w:val="32"/>
          <w:szCs w:val="32"/>
        </w:rPr>
        <w:t>重点围绕基础设施、城产融合、产业能级、营商环境和运营能力五个维度，实施园区提质升级专项行动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推动</w:t>
      </w:r>
      <w:r>
        <w:rPr>
          <w:rFonts w:hint="default" w:ascii="仿宋_GB2312" w:hAnsi="仿宋_GB2312" w:eastAsia="仿宋_GB2312" w:cs="仿宋_GB2312"/>
          <w:color w:val="auto"/>
          <w:sz w:val="32"/>
          <w:szCs w:val="32"/>
        </w:rPr>
        <w:t>“七通一平”全域覆盖，提升园区数字化、智能化水平，持续完善科创及公共服务平台功能，稳步推进绿色低碳发展。</w:t>
      </w:r>
      <w:r>
        <w:rPr>
          <w:rFonts w:hint="eastAsia" w:ascii="仿宋_GB2312" w:hAnsi="仿宋_GB2312" w:eastAsia="仿宋_GB2312" w:cs="仿宋_GB2312"/>
          <w:b/>
          <w:bCs/>
          <w:color w:val="auto"/>
          <w:sz w:val="32"/>
          <w:szCs w:val="32"/>
          <w:lang w:val="en-US" w:eastAsia="zh-CN"/>
        </w:rPr>
        <w:t>优化功能布局，</w:t>
      </w:r>
      <w:r>
        <w:rPr>
          <w:rFonts w:hint="eastAsia" w:ascii="仿宋_GB2312" w:hAnsi="仿宋_GB2312" w:eastAsia="仿宋_GB2312" w:cs="仿宋_GB2312"/>
          <w:b w:val="0"/>
          <w:bCs w:val="0"/>
          <w:color w:val="auto"/>
          <w:sz w:val="32"/>
          <w:szCs w:val="32"/>
          <w:lang w:val="en-US" w:eastAsia="zh-CN"/>
        </w:rPr>
        <w:t>强化技术赋能、金融支撑与人才集聚，完善生产性、生活性服务业和公共基础设施配套，</w:t>
      </w:r>
      <w:r>
        <w:rPr>
          <w:rFonts w:hint="eastAsia" w:ascii="仿宋_GB2312" w:hAnsi="仿宋_GB2312" w:eastAsia="仿宋_GB2312" w:cs="仿宋_GB2312"/>
          <w:color w:val="auto"/>
          <w:sz w:val="32"/>
          <w:szCs w:val="32"/>
          <w:lang w:val="en-US" w:eastAsia="zh-CN"/>
        </w:rPr>
        <w:t>加快建设园区</w:t>
      </w:r>
      <w:r>
        <w:rPr>
          <w:rFonts w:hint="default" w:ascii="仿宋_GB2312" w:hAnsi="仿宋_GB2312" w:eastAsia="仿宋_GB2312" w:cs="仿宋_GB2312"/>
          <w:color w:val="auto"/>
          <w:sz w:val="32"/>
          <w:szCs w:val="32"/>
        </w:rPr>
        <w:t>大型商业综合体主体工程，</w:t>
      </w:r>
      <w:r>
        <w:rPr>
          <w:rFonts w:hint="eastAsia" w:ascii="仿宋_GB2312" w:hAnsi="仿宋_GB2312" w:eastAsia="仿宋_GB2312" w:cs="仿宋_GB2312"/>
          <w:color w:val="auto"/>
          <w:sz w:val="32"/>
          <w:szCs w:val="32"/>
          <w:lang w:val="en-US" w:eastAsia="zh-CN"/>
        </w:rPr>
        <w:t>构建</w:t>
      </w:r>
      <w:r>
        <w:rPr>
          <w:rFonts w:hint="default" w:ascii="仿宋_GB2312" w:hAnsi="仿宋_GB2312" w:eastAsia="仿宋_GB2312" w:cs="仿宋_GB2312"/>
          <w:color w:val="auto"/>
          <w:sz w:val="32"/>
          <w:szCs w:val="32"/>
        </w:rPr>
        <w:t>社区级商业服务网络，搭建智慧化“一站式”企业综合服务平台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到2030年，开平产业园区、开平高新区规上工业增加值</w:t>
      </w:r>
      <w:r>
        <w:rPr>
          <w:rFonts w:hint="eastAsia" w:ascii="仿宋_GB2312" w:hAnsi="仿宋_GB2312" w:eastAsia="仿宋_GB2312" w:cs="仿宋_GB2312"/>
          <w:color w:val="auto"/>
          <w:sz w:val="32"/>
          <w:szCs w:val="32"/>
          <w:lang w:val="en-US" w:eastAsia="zh-CN"/>
        </w:rPr>
        <w:t>增速达到江门市平均水平120%以上</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39" w:name="_Toc24793"/>
      <w:r>
        <w:rPr>
          <w:rFonts w:hint="eastAsia" w:ascii="楷体" w:hAnsi="楷体" w:eastAsia="楷体" w:cs="楷体"/>
          <w:b/>
          <w:bCs/>
          <w:color w:val="auto"/>
          <w:sz w:val="32"/>
          <w:szCs w:val="32"/>
          <w:lang w:val="en-US" w:eastAsia="zh-CN"/>
        </w:rPr>
        <w:t>第六节 着力强化要素支持</w:t>
      </w:r>
      <w:bookmarkEnd w:id="3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sz w:val="32"/>
          <w:szCs w:val="32"/>
          <w:lang w:val="en-US" w:eastAsia="zh-CN"/>
        </w:rPr>
        <w:sectPr>
          <w:pgSz w:w="11906" w:h="16838"/>
          <w:pgMar w:top="1440" w:right="1800" w:bottom="1440" w:left="1800" w:header="851" w:footer="992" w:gutter="0"/>
          <w:pgNumType w:fmt="decimal"/>
          <w:cols w:space="425" w:num="1"/>
          <w:docGrid w:type="lines" w:linePitch="312" w:charSpace="0"/>
        </w:sectPr>
      </w:pPr>
      <w:r>
        <w:rPr>
          <w:rFonts w:hint="default" w:ascii="仿宋_GB2312" w:hAnsi="仿宋_GB2312" w:eastAsia="仿宋_GB2312" w:cs="仿宋_GB2312"/>
          <w:b/>
          <w:bCs/>
          <w:color w:val="auto"/>
          <w:sz w:val="32"/>
          <w:szCs w:val="32"/>
          <w:lang w:val="en-US" w:eastAsia="zh-CN"/>
        </w:rPr>
        <w:t>充分发挥财政资金的引导作用</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积极争取中央预算内投资、超长期特别国债、地方政府专项债券及新型政策性金融工具，在基础设施、城市更新、公共服务、新兴产业和未来产业等重点领域，谋划</w:t>
      </w:r>
      <w:r>
        <w:rPr>
          <w:rFonts w:hint="eastAsia" w:ascii="仿宋_GB2312" w:hAnsi="仿宋_GB2312" w:eastAsia="仿宋_GB2312" w:cs="仿宋_GB2312"/>
          <w:color w:val="auto"/>
          <w:sz w:val="32"/>
          <w:szCs w:val="32"/>
          <w:lang w:val="en-US" w:eastAsia="zh-CN"/>
        </w:rPr>
        <w:t>推进</w:t>
      </w:r>
      <w:r>
        <w:rPr>
          <w:rFonts w:hint="default" w:ascii="仿宋_GB2312" w:hAnsi="仿宋_GB2312" w:eastAsia="仿宋_GB2312" w:cs="仿宋_GB2312"/>
          <w:color w:val="auto"/>
          <w:sz w:val="32"/>
          <w:szCs w:val="32"/>
          <w:lang w:val="en-US" w:eastAsia="zh-CN"/>
        </w:rPr>
        <w:t>一批重大项目。</w:t>
      </w:r>
      <w:r>
        <w:rPr>
          <w:rFonts w:hint="eastAsia" w:ascii="仿宋_GB2312" w:hAnsi="仿宋_GB2312" w:eastAsia="仿宋_GB2312" w:cs="仿宋_GB2312"/>
          <w:color w:val="auto"/>
          <w:sz w:val="32"/>
          <w:szCs w:val="32"/>
          <w:lang w:val="en-US" w:eastAsia="zh-CN"/>
        </w:rPr>
        <w:t>引导国资国企参与产业园区基础设施建设、重大产业项目投资和战略性新兴产业培育。</w:t>
      </w:r>
      <w:r>
        <w:rPr>
          <w:rFonts w:hint="default" w:ascii="仿宋_GB2312" w:hAnsi="仿宋_GB2312" w:eastAsia="仿宋_GB2312" w:cs="仿宋_GB2312"/>
          <w:b/>
          <w:bCs/>
          <w:color w:val="auto"/>
          <w:sz w:val="32"/>
          <w:szCs w:val="32"/>
          <w:lang w:val="en-US" w:eastAsia="zh-CN"/>
        </w:rPr>
        <w:t>强化土地要素保障，</w:t>
      </w:r>
      <w:r>
        <w:rPr>
          <w:rFonts w:hint="eastAsia" w:ascii="仿宋_GB2312" w:hAnsi="仿宋_GB2312" w:eastAsia="仿宋_GB2312" w:cs="仿宋_GB2312"/>
          <w:color w:val="auto"/>
          <w:sz w:val="32"/>
          <w:szCs w:val="32"/>
          <w:lang w:val="en-US" w:eastAsia="zh-CN"/>
        </w:rPr>
        <w:t>推行“标准地”出让，支持弹性年期出让、长期租赁、先租后让等多种供应方式，探索工业主导型混合产业用地供应，提升土地利用综合效益。盘活低效闲置存量用地，推动园区“工改工”升级改造，鼓励企业开展“零增地”技术改造，推进村级工业园升级改造，引导分散的村级工业用地向园区集中，实现规模化、集约化发展。</w:t>
      </w:r>
      <w:r>
        <w:rPr>
          <w:rFonts w:hint="eastAsia" w:ascii="仿宋_GB2312" w:hAnsi="仿宋_GB2312" w:eastAsia="仿宋_GB2312" w:cs="仿宋_GB2312"/>
          <w:b/>
          <w:bCs/>
          <w:color w:val="auto"/>
          <w:sz w:val="32"/>
          <w:szCs w:val="32"/>
          <w:lang w:val="en-US" w:eastAsia="zh-CN"/>
        </w:rPr>
        <w:t>做好能耗和环境容量保障</w:t>
      </w:r>
      <w:r>
        <w:rPr>
          <w:rFonts w:hint="eastAsia" w:ascii="仿宋_GB2312" w:hAnsi="仿宋_GB2312" w:eastAsia="仿宋_GB2312" w:cs="仿宋_GB2312"/>
          <w:color w:val="auto"/>
          <w:sz w:val="32"/>
          <w:szCs w:val="32"/>
          <w:lang w:val="en-US" w:eastAsia="zh-CN"/>
        </w:rPr>
        <w:t>，落实“三线一单”生态环境分区管控，建立用能预算管理制度，实行能耗指标与产出效益挂钩，优先保障先进制造业、战略性新兴产业用能需求。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黑体" w:hAnsi="黑体" w:eastAsia="黑体" w:cs="黑体"/>
          <w:color w:val="auto"/>
          <w:sz w:val="32"/>
          <w:szCs w:val="32"/>
          <w:lang w:val="en-US" w:eastAsia="zh-CN"/>
        </w:rPr>
      </w:pPr>
      <w:bookmarkStart w:id="40" w:name="_Toc18528"/>
      <w:r>
        <w:rPr>
          <w:rFonts w:hint="eastAsia" w:ascii="黑体" w:hAnsi="黑体" w:eastAsia="黑体" w:cs="黑体"/>
          <w:color w:val="auto"/>
          <w:sz w:val="32"/>
          <w:szCs w:val="32"/>
          <w:lang w:val="en-US" w:eastAsia="zh-CN"/>
        </w:rPr>
        <w:t>第八章 保障措施</w:t>
      </w:r>
      <w:bookmarkEnd w:id="4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41" w:name="_Toc14164"/>
      <w:r>
        <w:rPr>
          <w:rFonts w:hint="eastAsia" w:ascii="楷体" w:hAnsi="楷体" w:eastAsia="楷体" w:cs="楷体"/>
          <w:b/>
          <w:bCs/>
          <w:color w:val="auto"/>
          <w:sz w:val="32"/>
          <w:szCs w:val="32"/>
          <w:lang w:val="en-US" w:eastAsia="zh-CN"/>
        </w:rPr>
        <w:t>第一节 强化组织统筹协调</w:t>
      </w:r>
      <w:bookmarkEnd w:id="41"/>
    </w:p>
    <w:p>
      <w:pPr>
        <w:widowControl w:val="0"/>
        <w:numPr>
          <w:ilvl w:val="0"/>
          <w:numId w:val="0"/>
        </w:numPr>
        <w:ind w:firstLine="640" w:firstLineChars="200"/>
        <w:jc w:val="both"/>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坚持</w:t>
      </w:r>
      <w:r>
        <w:rPr>
          <w:rFonts w:hint="default" w:ascii="仿宋_GB2312" w:hAnsi="仿宋_GB2312" w:eastAsia="仿宋_GB2312" w:cs="仿宋_GB2312"/>
          <w:b w:val="0"/>
          <w:bCs w:val="0"/>
          <w:color w:val="auto"/>
          <w:sz w:val="32"/>
          <w:szCs w:val="32"/>
          <w:lang w:val="en-US" w:eastAsia="zh-CN"/>
        </w:rPr>
        <w:t>党的全面领导，深入实施“链长制”，充分发挥“链长</w:t>
      </w:r>
      <w:r>
        <w:rPr>
          <w:rFonts w:hint="eastAsia" w:ascii="仿宋_GB2312" w:hAnsi="仿宋_GB2312" w:eastAsia="仿宋_GB2312" w:cs="仿宋_GB2312"/>
          <w:b w:val="0"/>
          <w:bCs w:val="0"/>
          <w:color w:val="auto"/>
          <w:sz w:val="32"/>
          <w:szCs w:val="32"/>
          <w:lang w:val="en-US" w:eastAsia="zh-CN"/>
        </w:rPr>
        <w:t>－部门－重点企业</w:t>
      </w:r>
      <w:r>
        <w:rPr>
          <w:rFonts w:hint="default"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color w:val="auto"/>
          <w:sz w:val="32"/>
          <w:szCs w:val="32"/>
        </w:rPr>
        <w:t>联动机制作用，推动各方密切协作、同向发力</w:t>
      </w:r>
      <w:r>
        <w:rPr>
          <w:rFonts w:hint="default" w:ascii="仿宋_GB2312" w:hAnsi="仿宋_GB2312" w:eastAsia="仿宋_GB2312" w:cs="仿宋_GB2312"/>
          <w:b w:val="0"/>
          <w:bCs w:val="0"/>
          <w:color w:val="auto"/>
          <w:sz w:val="32"/>
          <w:szCs w:val="32"/>
          <w:lang w:val="en-US" w:eastAsia="zh-CN"/>
        </w:rPr>
        <w:t>，形成高效协同的工作格局。</w:t>
      </w:r>
      <w:r>
        <w:rPr>
          <w:rFonts w:hint="eastAsia" w:ascii="仿宋_GB2312" w:hAnsi="仿宋_GB2312" w:eastAsia="仿宋_GB2312" w:cs="仿宋_GB2312"/>
          <w:b w:val="0"/>
          <w:bCs w:val="0"/>
          <w:color w:val="auto"/>
          <w:sz w:val="32"/>
          <w:szCs w:val="32"/>
          <w:lang w:val="en-US" w:eastAsia="zh-CN"/>
        </w:rPr>
        <w:t>用好</w:t>
      </w:r>
      <w:r>
        <w:rPr>
          <w:rFonts w:hint="default" w:ascii="仿宋_GB2312" w:hAnsi="仿宋_GB2312" w:eastAsia="仿宋_GB2312" w:cs="仿宋_GB2312"/>
          <w:b w:val="0"/>
          <w:bCs w:val="0"/>
          <w:color w:val="auto"/>
          <w:sz w:val="32"/>
          <w:szCs w:val="32"/>
          <w:lang w:val="en-US" w:eastAsia="zh-CN"/>
        </w:rPr>
        <w:t>重大项目并联审批专班和招商联席会议机制，优化审批流程，提升服务效能，加快推动重点项目的引进与建设。强化要素保障和政策协同，统筹能耗、环境容量、土地、资金等资源向重点领域和关键环节倾斜，确保科技创新与新型工业化各项任务落地见效，为开平市制造业高质量发展提供坚强支撑</w:t>
      </w:r>
      <w:r>
        <w:rPr>
          <w:rFonts w:hint="default"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42" w:name="_Toc23372"/>
      <w:r>
        <w:rPr>
          <w:rFonts w:hint="eastAsia" w:ascii="楷体" w:hAnsi="楷体" w:eastAsia="楷体" w:cs="楷体"/>
          <w:b/>
          <w:bCs/>
          <w:color w:val="auto"/>
          <w:sz w:val="32"/>
          <w:szCs w:val="32"/>
          <w:lang w:val="en-US" w:eastAsia="zh-CN"/>
        </w:rPr>
        <w:t xml:space="preserve">第二节 </w:t>
      </w:r>
      <w:r>
        <w:rPr>
          <w:rFonts w:hint="default" w:ascii="楷体" w:hAnsi="楷体" w:eastAsia="楷体" w:cs="楷体"/>
          <w:b/>
          <w:bCs/>
          <w:color w:val="auto"/>
          <w:sz w:val="32"/>
          <w:szCs w:val="32"/>
          <w:lang w:val="en-US" w:eastAsia="zh-CN"/>
        </w:rPr>
        <w:t>健全规划评估机制</w:t>
      </w:r>
      <w:bookmarkEnd w:id="42"/>
    </w:p>
    <w:p>
      <w:pPr>
        <w:widowControl w:val="0"/>
        <w:numPr>
          <w:ilvl w:val="0"/>
          <w:numId w:val="0"/>
        </w:numPr>
        <w:ind w:firstLine="640" w:firstLineChars="200"/>
        <w:jc w:val="both"/>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建立健全“动态监测—中期评估—跟踪问效”的全链条管理机制，科学分解目标任务，落实到部门、明确到责任人，形成年度工作计划和责任清单，确保规划落地见效。构建科学的监测评价体系，引入第三方机构开展动态评估，灵活运用大数据等信息技术提升评价精准性，根据产业趋势和市场动态及时优化发展重点。紧盯规划指标落实、资金使用等关键环节，聚焦产业园区、科技创新等重点领域精准配置资源</w:t>
      </w:r>
      <w:r>
        <w:rPr>
          <w:rFonts w:hint="default"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楷体" w:hAnsi="楷体" w:eastAsia="楷体" w:cs="楷体"/>
          <w:b/>
          <w:bCs/>
          <w:color w:val="auto"/>
          <w:sz w:val="32"/>
          <w:szCs w:val="32"/>
          <w:lang w:val="en-US" w:eastAsia="zh-CN"/>
        </w:rPr>
      </w:pPr>
      <w:bookmarkStart w:id="43" w:name="_Toc14492"/>
      <w:r>
        <w:rPr>
          <w:rFonts w:hint="eastAsia" w:ascii="楷体" w:hAnsi="楷体" w:eastAsia="楷体" w:cs="楷体"/>
          <w:b/>
          <w:bCs/>
          <w:color w:val="auto"/>
          <w:sz w:val="32"/>
          <w:szCs w:val="32"/>
          <w:lang w:val="en-US" w:eastAsia="zh-CN"/>
        </w:rPr>
        <w:t>第三节 重视</w:t>
      </w:r>
      <w:r>
        <w:rPr>
          <w:rFonts w:hint="default" w:ascii="楷体" w:hAnsi="楷体" w:eastAsia="楷体" w:cs="楷体"/>
          <w:b/>
          <w:bCs/>
          <w:color w:val="auto"/>
          <w:sz w:val="32"/>
          <w:szCs w:val="32"/>
          <w:lang w:val="en-US" w:eastAsia="zh-CN"/>
        </w:rPr>
        <w:t>规划宣传</w:t>
      </w:r>
      <w:bookmarkEnd w:id="43"/>
    </w:p>
    <w:p>
      <w:pPr>
        <w:widowControl w:val="0"/>
        <w:numPr>
          <w:ilvl w:val="0"/>
          <w:numId w:val="0"/>
        </w:numPr>
        <w:ind w:firstLine="640" w:firstLineChars="200"/>
        <w:jc w:val="both"/>
        <w:rPr>
          <w:rFonts w:hint="default" w:ascii="仿宋_GB2312" w:hAnsi="仿宋_GB2312" w:eastAsia="仿宋_GB2312" w:cs="仿宋_GB2312"/>
          <w:color w:val="auto"/>
          <w:sz w:val="32"/>
          <w:szCs w:val="32"/>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仿宋_GB2312" w:hAnsi="仿宋_GB2312" w:eastAsia="仿宋_GB2312" w:cs="仿宋_GB2312"/>
          <w:color w:val="auto"/>
          <w:sz w:val="32"/>
          <w:szCs w:val="32"/>
          <w:lang w:val="en-US" w:eastAsia="zh-CN"/>
        </w:rPr>
        <w:t>依托</w:t>
      </w:r>
      <w:r>
        <w:rPr>
          <w:rFonts w:hint="default" w:ascii="仿宋_GB2312" w:hAnsi="仿宋_GB2312" w:eastAsia="仿宋_GB2312" w:cs="仿宋_GB2312"/>
          <w:color w:val="auto"/>
          <w:sz w:val="32"/>
          <w:szCs w:val="32"/>
          <w:lang w:val="en-US" w:eastAsia="zh-CN"/>
        </w:rPr>
        <w:t>政府门户网站、政务新媒体、广播电视、报刊等</w:t>
      </w:r>
      <w:r>
        <w:rPr>
          <w:rFonts w:hint="eastAsia" w:ascii="仿宋_GB2312" w:hAnsi="仿宋_GB2312" w:eastAsia="仿宋_GB2312" w:cs="仿宋_GB2312"/>
          <w:color w:val="auto"/>
          <w:sz w:val="32"/>
          <w:szCs w:val="32"/>
          <w:lang w:val="en-US" w:eastAsia="zh-CN"/>
        </w:rPr>
        <w:t>多元传播</w:t>
      </w:r>
      <w:r>
        <w:rPr>
          <w:rFonts w:hint="default" w:ascii="仿宋_GB2312" w:hAnsi="仿宋_GB2312" w:eastAsia="仿宋_GB2312" w:cs="仿宋_GB2312"/>
          <w:color w:val="auto"/>
          <w:sz w:val="32"/>
          <w:szCs w:val="32"/>
          <w:lang w:val="en-US" w:eastAsia="zh-CN"/>
        </w:rPr>
        <w:t>平台，</w:t>
      </w:r>
      <w:r>
        <w:rPr>
          <w:rFonts w:hint="eastAsia" w:ascii="仿宋_GB2312" w:hAnsi="仿宋_GB2312" w:eastAsia="仿宋_GB2312" w:cs="仿宋_GB2312"/>
          <w:color w:val="auto"/>
          <w:sz w:val="32"/>
          <w:szCs w:val="32"/>
          <w:lang w:val="en-US" w:eastAsia="zh-CN"/>
        </w:rPr>
        <w:t>深入开展</w:t>
      </w:r>
      <w:r>
        <w:rPr>
          <w:rFonts w:hint="default" w:ascii="仿宋_GB2312" w:hAnsi="仿宋_GB2312" w:eastAsia="仿宋_GB2312" w:cs="仿宋_GB2312"/>
          <w:color w:val="auto"/>
          <w:sz w:val="32"/>
          <w:szCs w:val="32"/>
        </w:rPr>
        <w:t>规划解读</w:t>
      </w:r>
      <w:r>
        <w:rPr>
          <w:rFonts w:hint="eastAsia" w:ascii="仿宋_GB2312" w:hAnsi="仿宋_GB2312" w:eastAsia="仿宋_GB2312" w:cs="仿宋_GB2312"/>
          <w:color w:val="auto"/>
          <w:sz w:val="32"/>
          <w:szCs w:val="32"/>
          <w:lang w:eastAsia="zh-CN"/>
        </w:rPr>
        <w:t>和</w:t>
      </w:r>
      <w:r>
        <w:rPr>
          <w:rFonts w:hint="default" w:ascii="仿宋_GB2312" w:hAnsi="仿宋_GB2312" w:eastAsia="仿宋_GB2312" w:cs="仿宋_GB2312"/>
          <w:color w:val="auto"/>
          <w:sz w:val="32"/>
          <w:szCs w:val="32"/>
        </w:rPr>
        <w:t>宣传</w:t>
      </w:r>
      <w:r>
        <w:rPr>
          <w:rFonts w:hint="eastAsia" w:ascii="仿宋_GB2312" w:hAnsi="仿宋_GB2312" w:eastAsia="仿宋_GB2312" w:cs="仿宋_GB2312"/>
          <w:color w:val="auto"/>
          <w:sz w:val="32"/>
          <w:szCs w:val="32"/>
          <w:lang w:val="en-US" w:eastAsia="zh-CN"/>
        </w:rPr>
        <w:t>推广工作</w:t>
      </w:r>
      <w:r>
        <w:rPr>
          <w:rFonts w:hint="default" w:ascii="仿宋_GB2312" w:hAnsi="仿宋_GB2312" w:eastAsia="仿宋_GB2312" w:cs="仿宋_GB2312"/>
          <w:color w:val="auto"/>
          <w:sz w:val="32"/>
          <w:szCs w:val="32"/>
        </w:rPr>
        <w:t>，营造良好的舆论</w:t>
      </w:r>
      <w:r>
        <w:rPr>
          <w:rFonts w:hint="eastAsia" w:ascii="仿宋_GB2312" w:hAnsi="仿宋_GB2312" w:eastAsia="仿宋_GB2312" w:cs="仿宋_GB2312"/>
          <w:color w:val="auto"/>
          <w:sz w:val="32"/>
          <w:szCs w:val="32"/>
          <w:lang w:val="en-US" w:eastAsia="zh-CN"/>
        </w:rPr>
        <w:t>氛围</w:t>
      </w:r>
      <w:r>
        <w:rPr>
          <w:rFonts w:hint="default" w:ascii="仿宋_GB2312" w:hAnsi="仿宋_GB2312" w:eastAsia="仿宋_GB2312" w:cs="仿宋_GB2312"/>
          <w:color w:val="auto"/>
          <w:sz w:val="32"/>
          <w:szCs w:val="32"/>
          <w:lang w:val="en-US" w:eastAsia="zh-CN"/>
        </w:rPr>
        <w:t>。推动规划实施公开化、透明化，</w:t>
      </w:r>
      <w:r>
        <w:rPr>
          <w:rFonts w:hint="default" w:ascii="仿宋_GB2312" w:hAnsi="仿宋_GB2312" w:eastAsia="仿宋_GB2312" w:cs="仿宋_GB2312"/>
          <w:color w:val="auto"/>
          <w:sz w:val="32"/>
          <w:szCs w:val="32"/>
        </w:rPr>
        <w:t>依法保障社会各界通过法定程序和正规渠道参与规划执行与监督</w:t>
      </w:r>
      <w:r>
        <w:rPr>
          <w:rFonts w:hint="eastAsia" w:ascii="仿宋_GB2312" w:hAnsi="仿宋_GB2312" w:eastAsia="仿宋_GB2312" w:cs="仿宋_GB2312"/>
          <w:color w:val="auto"/>
          <w:sz w:val="32"/>
          <w:szCs w:val="32"/>
          <w:lang w:val="en-US" w:eastAsia="zh-CN"/>
        </w:rPr>
        <w:t>，注重总结推广典型经验，构建政府统筹主导、企业主体能动、社会广泛参与的协同共推格局</w:t>
      </w:r>
      <w:r>
        <w:rPr>
          <w:rFonts w:hint="default"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w:t>
      </w:r>
      <w:bookmarkStart w:id="44" w:name="_GoBack"/>
      <w:bookmarkEnd w:id="44"/>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lang w:val="en-US" w:eastAsia="zh-CN"/>
        </w:rPr>
        <w:t>《开平市推动科技创新与新型工业化“十五五”规划》产业重点项目清单</w:t>
      </w:r>
    </w:p>
    <w:tbl>
      <w:tblPr>
        <w:tblW w:w="143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80"/>
        <w:gridCol w:w="3736"/>
        <w:gridCol w:w="6360"/>
        <w:gridCol w:w="2056"/>
        <w:gridCol w:w="10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blHeader/>
        </w:trPr>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bdr w:val="none" w:color="auto" w:sz="0" w:space="0"/>
                <w:lang w:val="en-US" w:eastAsia="zh-CN" w:bidi="ar"/>
              </w:rPr>
              <w:t>序号</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bdr w:val="none" w:color="auto" w:sz="0" w:space="0"/>
                <w:lang w:val="en-US" w:eastAsia="zh-CN" w:bidi="ar"/>
              </w:rPr>
              <w:t>项目名称</w:t>
            </w:r>
          </w:p>
        </w:tc>
        <w:tc>
          <w:tcPr>
            <w:tcW w:w="63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bdr w:val="none" w:color="auto" w:sz="0" w:space="0"/>
                <w:lang w:val="en-US" w:eastAsia="zh-CN" w:bidi="ar"/>
              </w:rPr>
              <w:t>建设内容</w:t>
            </w:r>
          </w:p>
        </w:tc>
        <w:tc>
          <w:tcPr>
            <w:tcW w:w="205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bdr w:val="none" w:color="auto" w:sz="0" w:space="0"/>
                <w:lang w:val="en-US" w:eastAsia="zh-CN" w:bidi="ar"/>
              </w:rPr>
              <w:t>总投资（万元）</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bdr w:val="none" w:color="auto" w:sz="0" w:space="0"/>
                <w:lang w:val="en-US" w:eastAsia="zh-CN" w:bidi="ar"/>
              </w:rPr>
              <w:t>属地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建滔（开平）新一代信息技术产业园项目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项目计划投资50亿元，用地313.76亩。其中，计划投资40亿元建设AI应用印制电路板生产线，达产后年产AI应用板120万平方米；投资10亿元扩建覆铜板生产线，达产后年产覆铜板2000万张。</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500000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水口镇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2</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广东建成机械设备有限公司中科富海低温储运装备制造项目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项目计划用地205.11亩，主要产品有车载液氢瓶、常规酷德宝、液氢杜瓦、常规压力容器、低温压力容器等氢能源装备和常规能源装备。项目投产后，预计年产值20亿元。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153600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三埠街道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科森装配式建筑构件制造项目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项目计划约200亩，年产预应力砼马鞍形壳板+双T板40万平方米、预应力空心板20万平方米、预制钢筋砼梁、柱、杯口基础、混凝土外墙板、混凝土天沟梁等20万平方米。</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150000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4</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广东平睿晶芯半导体科技产业园项目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项目计划用地约100亩，主要生产磷化铟单晶衬底片，建成后年产磷化铟单晶衬底30万片，达产后年产值约6.1亿元。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5</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广东永胜医疗科技有限公司年产呼吸医疗耗材及康复辅助器具等产品5000万套项目（永胜医疗研发生产基地）</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100亩，主要生产流量呼吸湿化治疗仪、吸氧管、呼吸湿化系统、过滤器、麻醉呼吸耗材、康复辅助器具等系列医疗产品。项目达产后预计年产呼吸医疗耗材及康复辅助器具产品5000万套，实现年产值约6.5亿。</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100000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6</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开平牵牛生物科技有限公司年产1400万盒保健食品、化妆品智能工厂项目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项目计划用地100亩，主要生产食品、保健食品和化妆品，计划年产食品、保健食品约1000万盒，化妆品400万盒。项目建成达产后年产值约7亿元。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100000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7</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任达商用逆变器、电力模块3.0项目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项目计划用地48.26亩，主要生产光伏逆变、充电桩、数据中心配套UPS及配电柜，年产高低压配电柜2万台、高低压配电箱1.6万台等。建成后，预计年产值50000万元。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100000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8</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乐庭达BOPP高性能薄膜材料产业园（一期）</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项目计划用地100亩，引进一条国际先进同步双向拉伸BOPP生产线，生产线全面建成投产后，预计年产6万吨BOPP薄膜，可实现年产值7亿元。</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100000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9</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开平恒炎百合镇200MW光伏发电项目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利用鱼塘、一般农地、滩涂、自留地等合规用地，通过企业自建方式配套建设200MW（配套20MW/20MWh储能系统）农光互补+渔光互补电站，占地面积约2331000平方米（3500亩），建筑面积1500平方米。项目按照“农业种植+水产养殖+光伏发电”的思路进行开发建设，组件高出地面2—3米，采取板上发电、板下种植养殖模式。主要设备为单晶硅双面发电组件，年均发电量约2.2亿度。</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98000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百合镇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10</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马冈鹅全产业链生态发展项目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项目占地面积500亩，重点发展马冈鹅养殖、孵化、屠宰、中央厨房（预制菜）、鲜活（熟食）加工、冷链、市场运营、物流配送等。</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85000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马冈镇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11</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广东保厘制药年产40亿片（粒）制剂项目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项目计划用地106亩，主要生产仿制药、中成药等，包含片剂、胶囊剂、颗粒剂、小针剂等常见剂型，年产药品40亿片（粒）。</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66000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沙塘镇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12</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广东建邦原创装配有限公司建艺原创智能装配式产业园项目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项目计划用地60.72亩，建成后，年产MiC模块化集成建筑5.4万平方米，预计产值6亿元。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60000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13</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开平市信迪染整厂有限公司绿色功能性纺织印染智能工厂建设一期项目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项目计划新建1栋生产厂房，建设年产时尚绿色功能性梭织产品生产线、针织产品生产线、数码印花产品生产线。</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58600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长沙街道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14</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江门甲智甲创智能设备制造有限公司年产10万台智能门及其它智能家居产品项目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项目建筑面积11000平方米，预计年产10万台智能门及其它智能家居产品。</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50000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15</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江门市瑞霖厨卫科技有限公司智能卫浴生产项目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项目计划用地86.43亩，主要建设卫浴设备及其配件生产线，预计每年生产成套的淋浴设备（包括花洒、水龙头等）100万套，预计项目达产后年产值可达8亿元。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50000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水口镇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16</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聚创公司高端先进复合材料制造项目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项目计划用地50亩，分两期建设，主要生产复合材料。</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50000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17</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江门志特新材料科技有限公司年产20万平方米绿色环保建筑铝合金模板、7500个机位智能防护平台项目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项目计划用地75.62亩，年产20万平方米绿色环保建筑铝合金模板、7500个机位智能防护平台。</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40000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18</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圣戈班科技材料（广东）有限公司年产6400万平方米纸面石膏板项目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项目计划用地120亩，主要年产6400万平方米纸面石膏板，供应中高端市场，达产后预计年产值不低于6.85亿元。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40000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19</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江门津泓新材料科技有限公司新材料生产项目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项目建筑面积28630平方米，项目建成后年产水洗塑料片10万吨。</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36000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长沙街道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20</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新穗英皮具有限公司增资扩产项目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项目计划用地107.15亩，主要生产销售头层牛皮革、羊皮及其制品，中高档真皮女包等产品。达产后，年产值5.32亿元。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30743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长沙街道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21</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江门市宏佳新材料科技有限公司年新增18000吨粉末冶金制品车间建设项目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项目建筑面积25000平方米，主要建筑包括生产车间、气站及相关配套设施。项目建成后预计年产 18000吨金属粉末冶金制品。</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30500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22</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新希望年产24万吨生物科技高端水产饲料智造基地项目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项目计划用地60亩，分两期建设，第一期年产水产生物饲料16万吨，年产值112000万元；第二期年产水产生物饲料8万吨，年产值56000万元。</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月山镇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23</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宝仕利金属制品生产项目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项目计划用地约22.41亩，主要生产金属宠物笼、智能宠物笼、五金制品等产品。达产后，年产114万套宠物笼等产品，年产值1.7亿元</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22500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龙胜镇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24</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欧莱宝新型环保地板项目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项目计划用地20亩，主要从事新型环保地材的研发和生产，预计年产新型环保地材产品400万平方米，年产值约2亿元。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25</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江门市立昕卫浴科技有限公司厂房新建项目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项目计划用地20亩，主要生产销售五金卫浴龙头、挂件、电热毛巾架，项目建成可年产水龙头40万套，电热毛巾架1.5万套，淋浴房2万套，年产值18500万元。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18000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水口镇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26</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特丰汽车零部件生产项目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项目计划用地20.02亩，建设汽车配件生产线，达产后年产值约1.2亿元。</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18000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龙胜镇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27</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开平市庆华矿产资源开发有限公司年产280万吨高端建筑用石生产项目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项目拟用地面积65亩，主要建设破碎、筛分、料仓、成品库等车间厂房、综合楼，预计项目建成达产后年产值约1.16亿元。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16800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赤水镇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28</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广东凯米瑞特肥科技有限公司20000吨/年海藻酶解提取物及新型海藻液体肥料项目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项目计划用地20亩，主要生产海藻多糖等新型农用营养材料产品和复配生产新型海藻水溶肥料产品，设计总产能2万吨/年。项目达产后预计年产值达1亿元。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月山镇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29</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开平市联洋卫浴配件有限公司年产水龙头25万套新建项目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26.63亩，主要产品为不锈钢水龙头、铜制水龙头、UFC粉丝金腰带、UFC冠军金腰带。达产后预计年销售不锈钢水龙头套装25万套，铜制水龙头18万套，金腰带粉丝腰带10万条，冠军腰带30条，水龙头相关配件320万件。</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14000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水口镇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30</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开平市凯赛德水暖配件有限公司年产1700万套自动恒温阀芯项目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项目计划用地20亩，主要生产卫浴行业用的自动恒温阀芯，分水器，双把铜阀芯，预计建成达产后年产值约9000万元。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12000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31</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开平展锐科技有限公司年定型加工50000吨布匹建设项目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项目计划用地22.12亩，年定型加工50000吨纺织布匹。</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12000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沙塘镇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32</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晶科电力开平市蚬冈镇二期50MW渔光互补综合利用示范增资项目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项目租赁鱼塘等用地约360亩，预计年平均发电量0.15亿度。建成后，预计年发电产值约1120万元。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11500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蚬冈镇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33</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宝伦卫浴中高端不锈钢管生产项目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项目计划用地20.49亩，建成后年产150万件锌合金水龙头配件产品及70万件不锈钢管淋浴配件，年产值达12400万元人民币以上。</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11500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水口镇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34</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鹅堡（开平市）食品有限公司马冈鹅预制菜项目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项目计划用地17.33亩，通过引进行业内先进的速冻保鲜冷藏冷冻技术等现代化生产设备，建设马冈鹅预制菜、烧腊、卤味等深加工生产线，配套马冈鹅博物馆、旅客观光休闲体验区。</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11370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蚬冈镇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35</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得艺卫浴五金制品生产及真空镀膜项目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项目计划用地20亩，主要产品为金属卫浴制品。达产后，总产值12000万元。</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11000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水口镇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36</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开平市月山镇惠普卫浴增资扩产项目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项目计划用地10.04亩，主要生产铜花洒、不锈钢花洒、升降杆、大淋浴套装等系列产品，预计年产卫浴产品200万件（套），年产值约1亿元。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10800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月山镇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37</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开平市振轩卫浴有限公司高端淋浴套装年产30万套新建项目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项目计划用地20.5亩，主要从事中高端智能卫浴龙头产品的研发和生产.项目建成后，预计年产中高端淋浴套装30万套，卫浴龙头28万件，水暖零配件30万件，达产后年产值20000万元。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10788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水口镇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38</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石兴年产24万吨全价配合饲料建设项目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项目计划用地23亩，建成达产后，预计年全价配合饲料24万吨，年产值约9.48亿元。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月山镇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39</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青澜生物项目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计划总投资1亿元。计划分两期建设，其中一期建设GMP厂房，建设CRDMO项目配套临床批产线，以提供IND研发关键批次样品及Ⅰ期临床批样品。二期增加商业化生产线以满足新增合作项目的量产需求。</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翠山湖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40</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开平市华发金属包装有限公司年产100万个钢桶项目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项目计划用地11.08亩，建设100-236L钢桶自动生产线2条，18-100L钢桶生产线1条，预计每年可生产18-236L闭口、开口、涂料、镀锌、不锈钢等金属桶100万只，达产后，年产值8354万元。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百合镇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41</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江门市臻丽玻璃制品有限公司日用玻璃生产线项目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计划新建日用玻璃生产线一条，主要建设内容为工业厂房、仓库以及办公楼，购置日用玻璃生产设备。</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苍城镇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俊晖洁具卫浴器材制造项目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项目计划用地14.19亩，主要生产、销售明装淋浴、面盆龙头、厨房龙头、水暖零配件等，达产后总产值达10050万元。</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水口镇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43</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高塑管业搬迁扩产项目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项目计划用地15.58亩，主要生产农用灌溉管道、卫浴软管、花园管、编织软管、高压管等,预计全年生产各类软管达到1亿米，预计年产值1.2亿元。</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水口镇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44</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开平市天骄卫浴有限公司年产水龙头10万套项目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项目计划用地5.92亩，建设年产水龙头10万套项目生产线一条，建成达产后，年产值可达4200万元。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月山镇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45</w:t>
            </w:r>
          </w:p>
        </w:tc>
        <w:tc>
          <w:tcPr>
            <w:tcW w:w="37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广东腾飞摩托车配件有限公司年产摩托车配件3000万件扩建项目</w:t>
            </w:r>
          </w:p>
        </w:tc>
        <w:tc>
          <w:tcPr>
            <w:tcW w:w="6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项目建筑面积2696平方米，新建2条电镀生产线，预计年产摩托车配件3000万件，建成达产后年产值可达15000万元。</w:t>
            </w:r>
          </w:p>
        </w:tc>
        <w:tc>
          <w:tcPr>
            <w:tcW w:w="20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bdr w:val="none" w:color="auto" w:sz="0" w:space="0"/>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月山镇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bdr w:val="none" w:color="auto" w:sz="0" w:space="0"/>
                <w:lang w:val="en-US" w:eastAsia="zh-CN" w:bidi="ar"/>
              </w:rPr>
              <w:t>2323701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仿宋_GB2312" w:hAnsi="宋体" w:eastAsia="仿宋_GB2312" w:cs="仿宋_GB2312"/>
                <w:b/>
                <w:bCs/>
                <w:i w:val="0"/>
                <w:iCs w:val="0"/>
                <w:color w:val="000000"/>
                <w:sz w:val="22"/>
                <w:szCs w:val="22"/>
                <w:u w:val="none"/>
              </w:rPr>
            </w:pPr>
          </w:p>
        </w:tc>
      </w:tr>
    </w:tbl>
    <w:p>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both"/>
        <w:textAlignment w:val="auto"/>
        <w:rPr>
          <w:rFonts w:hint="default" w:ascii="仿宋_GB2312" w:hAnsi="仿宋_GB2312" w:eastAsia="仿宋_GB2312" w:cs="仿宋_GB2312"/>
          <w:color w:val="auto"/>
          <w:sz w:val="32"/>
          <w:szCs w:val="32"/>
          <w:lang w:val="en-US" w:eastAsia="zh-CN"/>
        </w:rPr>
      </w:pPr>
    </w:p>
    <w:sectPr>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0CD7F"/>
    <w:multiLevelType w:val="multilevel"/>
    <w:tmpl w:val="65B0CD7F"/>
    <w:lvl w:ilvl="0" w:tentative="0">
      <w:start w:val="1"/>
      <w:numFmt w:val="chineseCountingThousand"/>
      <w:suff w:val="nothing"/>
      <w:lvlText w:val="第%1章  "/>
      <w:legacy w:legacy="1" w:legacySpace="0" w:legacyIndent="288"/>
      <w:lvlJc w:val="center"/>
      <w:pPr>
        <w:ind w:left="0" w:firstLine="288"/>
      </w:pPr>
      <w:rPr>
        <w:rFonts w:hint="eastAsia" w:eastAsia="黑体"/>
        <w:sz w:val="28"/>
        <w:szCs w:val="28"/>
      </w:rPr>
    </w:lvl>
    <w:lvl w:ilvl="1" w:tentative="0">
      <w:start w:val="1"/>
      <w:numFmt w:val="chineseCountingThousand"/>
      <w:suff w:val="nothing"/>
      <w:lvlText w:val="第%2节  "/>
      <w:legacy w:legacy="1" w:legacySpace="0" w:legacyIndent="0"/>
      <w:lvlJc w:val="left"/>
      <w:pPr>
        <w:ind w:left="0" w:firstLine="0"/>
      </w:pPr>
      <w:rPr>
        <w:rFonts w:hint="eastAsia" w:ascii="宋体" w:hAnsi="宋体" w:eastAsia="宋体"/>
        <w:b w:val="0"/>
        <w:sz w:val="28"/>
        <w:szCs w:val="28"/>
      </w:rPr>
    </w:lvl>
    <w:lvl w:ilvl="2" w:tentative="0">
      <w:start w:val="1"/>
      <w:numFmt w:val="none"/>
      <w:suff w:val="nothing"/>
      <w:lvlText w:val=""/>
      <w:legacy w:legacy="1" w:legacySpace="0" w:legacyIndent="0"/>
      <w:lvlJc w:val="left"/>
      <w:pPr>
        <w:ind w:left="0" w:firstLine="0"/>
      </w:pPr>
      <w:rPr>
        <w:rFonts w:hint="eastAsia"/>
      </w:rPr>
    </w:lvl>
    <w:lvl w:ilvl="3" w:tentative="0">
      <w:start w:val="1"/>
      <w:numFmt w:val="none"/>
      <w:suff w:val="nothing"/>
      <w:lvlText w:val=""/>
      <w:legacy w:legacy="1" w:legacySpace="0" w:legacyIndent="0"/>
      <w:lvlJc w:val="left"/>
      <w:pPr>
        <w:ind w:left="0" w:firstLine="0"/>
      </w:pPr>
      <w:rPr>
        <w:rFonts w:hint="eastAsia"/>
      </w:rPr>
    </w:lvl>
    <w:lvl w:ilvl="4" w:tentative="0">
      <w:start w:val="1"/>
      <w:numFmt w:val="none"/>
      <w:suff w:val="nothing"/>
      <w:lvlText w:val=""/>
      <w:legacy w:legacy="1" w:legacySpace="0" w:legacyIndent="0"/>
      <w:lvlJc w:val="left"/>
      <w:pPr>
        <w:ind w:left="0" w:firstLine="0"/>
      </w:pPr>
      <w:rPr>
        <w:rFonts w:hint="eastAsia"/>
      </w:rPr>
    </w:lvl>
    <w:lvl w:ilvl="5" w:tentative="0">
      <w:start w:val="1"/>
      <w:numFmt w:val="none"/>
      <w:pStyle w:val="3"/>
      <w:suff w:val="nothing"/>
      <w:lvlText w:val=""/>
      <w:legacy w:legacy="1" w:legacySpace="0" w:legacyIndent="0"/>
      <w:lvlJc w:val="left"/>
      <w:pPr>
        <w:ind w:left="0" w:firstLine="0"/>
      </w:pPr>
      <w:rPr>
        <w:rFonts w:hint="eastAsia"/>
      </w:rPr>
    </w:lvl>
    <w:lvl w:ilvl="6" w:tentative="0">
      <w:start w:val="1"/>
      <w:numFmt w:val="none"/>
      <w:suff w:val="nothing"/>
      <w:lvlText w:val=""/>
      <w:legacy w:legacy="1" w:legacySpace="0" w:legacyIndent="0"/>
      <w:lvlJc w:val="left"/>
      <w:pPr>
        <w:ind w:left="0" w:firstLine="0"/>
      </w:pPr>
      <w:rPr>
        <w:rFonts w:hint="eastAsia"/>
      </w:rPr>
    </w:lvl>
    <w:lvl w:ilvl="7" w:tentative="0">
      <w:start w:val="1"/>
      <w:numFmt w:val="none"/>
      <w:suff w:val="nothing"/>
      <w:lvlText w:val=""/>
      <w:legacy w:legacy="1" w:legacySpace="0" w:legacyIndent="0"/>
      <w:lvlJc w:val="left"/>
      <w:pPr>
        <w:ind w:left="0" w:firstLine="0"/>
      </w:pPr>
      <w:rPr>
        <w:rFonts w:hint="eastAsia"/>
      </w:rPr>
    </w:lvl>
    <w:lvl w:ilvl="8" w:tentative="0">
      <w:start w:val="1"/>
      <w:numFmt w:val="none"/>
      <w:suff w:val="nothing"/>
      <w:lvlText w:val=""/>
      <w:legacy w:legacy="1" w:legacySpace="0" w:legacyIndent="0"/>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wYWIzYThhNjcwNGQ0ODExM2ZhZGExZDY1N2I2OTcifQ=="/>
  </w:docVars>
  <w:rsids>
    <w:rsidRoot w:val="00000000"/>
    <w:rsid w:val="008247D7"/>
    <w:rsid w:val="00D074CA"/>
    <w:rsid w:val="00D5063D"/>
    <w:rsid w:val="02C572EA"/>
    <w:rsid w:val="0307622B"/>
    <w:rsid w:val="032D29B2"/>
    <w:rsid w:val="04A85806"/>
    <w:rsid w:val="0514287A"/>
    <w:rsid w:val="062C0CFF"/>
    <w:rsid w:val="06345E06"/>
    <w:rsid w:val="06E01BE1"/>
    <w:rsid w:val="072F4A67"/>
    <w:rsid w:val="07DB478B"/>
    <w:rsid w:val="07F42223"/>
    <w:rsid w:val="08162951"/>
    <w:rsid w:val="087A3335"/>
    <w:rsid w:val="087E5560"/>
    <w:rsid w:val="09153CCC"/>
    <w:rsid w:val="092265E3"/>
    <w:rsid w:val="098222D3"/>
    <w:rsid w:val="09F74D1C"/>
    <w:rsid w:val="0A165F4E"/>
    <w:rsid w:val="0ABB4D47"/>
    <w:rsid w:val="0AEE5E82"/>
    <w:rsid w:val="0B41349E"/>
    <w:rsid w:val="0BBE3A7B"/>
    <w:rsid w:val="0BC87EE4"/>
    <w:rsid w:val="0BFD0309"/>
    <w:rsid w:val="0C5745FC"/>
    <w:rsid w:val="0D44749C"/>
    <w:rsid w:val="0E511C4A"/>
    <w:rsid w:val="0E923653"/>
    <w:rsid w:val="0EA703EB"/>
    <w:rsid w:val="0F7A6F7F"/>
    <w:rsid w:val="0FB31F3C"/>
    <w:rsid w:val="10810A0C"/>
    <w:rsid w:val="10C77FA2"/>
    <w:rsid w:val="117A05DF"/>
    <w:rsid w:val="11D951B4"/>
    <w:rsid w:val="1209283C"/>
    <w:rsid w:val="12353631"/>
    <w:rsid w:val="128C51A3"/>
    <w:rsid w:val="129E23B9"/>
    <w:rsid w:val="12BB3B36"/>
    <w:rsid w:val="12CB6C74"/>
    <w:rsid w:val="1305600C"/>
    <w:rsid w:val="13BF1404"/>
    <w:rsid w:val="13E448F3"/>
    <w:rsid w:val="13E87E5C"/>
    <w:rsid w:val="13EE3A98"/>
    <w:rsid w:val="13EF0381"/>
    <w:rsid w:val="14213E6D"/>
    <w:rsid w:val="14707267"/>
    <w:rsid w:val="15026467"/>
    <w:rsid w:val="15565D98"/>
    <w:rsid w:val="158E72E0"/>
    <w:rsid w:val="15BC1522"/>
    <w:rsid w:val="162E19C4"/>
    <w:rsid w:val="16D36D46"/>
    <w:rsid w:val="176E2C4A"/>
    <w:rsid w:val="17A9055A"/>
    <w:rsid w:val="17DD76F9"/>
    <w:rsid w:val="180C0521"/>
    <w:rsid w:val="180E45A5"/>
    <w:rsid w:val="181810E3"/>
    <w:rsid w:val="18A57265"/>
    <w:rsid w:val="18D3114A"/>
    <w:rsid w:val="18EC67F1"/>
    <w:rsid w:val="18FA4C8D"/>
    <w:rsid w:val="19756814"/>
    <w:rsid w:val="19C63FD8"/>
    <w:rsid w:val="1A1678A4"/>
    <w:rsid w:val="1A385BC9"/>
    <w:rsid w:val="1B610FF3"/>
    <w:rsid w:val="1B7C3A1F"/>
    <w:rsid w:val="1BB27AA1"/>
    <w:rsid w:val="1C024BBF"/>
    <w:rsid w:val="1C980A44"/>
    <w:rsid w:val="1CFF0AC4"/>
    <w:rsid w:val="1D205C0A"/>
    <w:rsid w:val="1D540E0F"/>
    <w:rsid w:val="1DD20239"/>
    <w:rsid w:val="1E002D45"/>
    <w:rsid w:val="1E046070"/>
    <w:rsid w:val="1E2F042C"/>
    <w:rsid w:val="1EF74E26"/>
    <w:rsid w:val="1F4C3527"/>
    <w:rsid w:val="1FB96D3E"/>
    <w:rsid w:val="202C0C9E"/>
    <w:rsid w:val="202D5948"/>
    <w:rsid w:val="20647B91"/>
    <w:rsid w:val="20AD434B"/>
    <w:rsid w:val="20BA367F"/>
    <w:rsid w:val="20F40DFB"/>
    <w:rsid w:val="20F55A41"/>
    <w:rsid w:val="2110329F"/>
    <w:rsid w:val="21110DC5"/>
    <w:rsid w:val="219B3A9A"/>
    <w:rsid w:val="224A0A33"/>
    <w:rsid w:val="22552F34"/>
    <w:rsid w:val="22AC0FBB"/>
    <w:rsid w:val="23141B3E"/>
    <w:rsid w:val="247F2E64"/>
    <w:rsid w:val="24E54906"/>
    <w:rsid w:val="24E9192C"/>
    <w:rsid w:val="24FA2ECE"/>
    <w:rsid w:val="25021151"/>
    <w:rsid w:val="253C020E"/>
    <w:rsid w:val="269D3572"/>
    <w:rsid w:val="26AC08D4"/>
    <w:rsid w:val="276C144B"/>
    <w:rsid w:val="288822B5"/>
    <w:rsid w:val="288A3961"/>
    <w:rsid w:val="28A0758C"/>
    <w:rsid w:val="28C037FD"/>
    <w:rsid w:val="28EA31A8"/>
    <w:rsid w:val="293B65E1"/>
    <w:rsid w:val="29910CF5"/>
    <w:rsid w:val="2ACD2201"/>
    <w:rsid w:val="2AD215C5"/>
    <w:rsid w:val="2B424B3A"/>
    <w:rsid w:val="2BB90A27"/>
    <w:rsid w:val="2BBA0707"/>
    <w:rsid w:val="2BDF02E5"/>
    <w:rsid w:val="2C490E69"/>
    <w:rsid w:val="2C5C2AA6"/>
    <w:rsid w:val="2C796D64"/>
    <w:rsid w:val="2CE13D42"/>
    <w:rsid w:val="2CE80C68"/>
    <w:rsid w:val="2CFB29EA"/>
    <w:rsid w:val="2D245294"/>
    <w:rsid w:val="2D2E5126"/>
    <w:rsid w:val="2D3444F8"/>
    <w:rsid w:val="2D502A7E"/>
    <w:rsid w:val="2D7E77E3"/>
    <w:rsid w:val="2D852659"/>
    <w:rsid w:val="2E434E65"/>
    <w:rsid w:val="2E5844D8"/>
    <w:rsid w:val="2EBA43F7"/>
    <w:rsid w:val="2F1A79DF"/>
    <w:rsid w:val="2F8524B1"/>
    <w:rsid w:val="305C4E5A"/>
    <w:rsid w:val="312C2206"/>
    <w:rsid w:val="314F1BC2"/>
    <w:rsid w:val="33345455"/>
    <w:rsid w:val="33B01010"/>
    <w:rsid w:val="33BF58D5"/>
    <w:rsid w:val="34052A0C"/>
    <w:rsid w:val="34882DB7"/>
    <w:rsid w:val="34AC16BC"/>
    <w:rsid w:val="34D113FF"/>
    <w:rsid w:val="355D6917"/>
    <w:rsid w:val="35E127E3"/>
    <w:rsid w:val="360A4B31"/>
    <w:rsid w:val="37592AA8"/>
    <w:rsid w:val="37D526F5"/>
    <w:rsid w:val="38526AFA"/>
    <w:rsid w:val="38741F0E"/>
    <w:rsid w:val="38D0503F"/>
    <w:rsid w:val="395269DC"/>
    <w:rsid w:val="39F70BCA"/>
    <w:rsid w:val="3A037C57"/>
    <w:rsid w:val="3A497D10"/>
    <w:rsid w:val="3A667F7C"/>
    <w:rsid w:val="3A6C4CA1"/>
    <w:rsid w:val="3A7020B2"/>
    <w:rsid w:val="3ACA6F6D"/>
    <w:rsid w:val="3B057058"/>
    <w:rsid w:val="3BEB0739"/>
    <w:rsid w:val="3CBF6A3F"/>
    <w:rsid w:val="3D207BA8"/>
    <w:rsid w:val="3D2B7260"/>
    <w:rsid w:val="3D2F758A"/>
    <w:rsid w:val="3DB86D8D"/>
    <w:rsid w:val="3DDA0A65"/>
    <w:rsid w:val="3E1A6422"/>
    <w:rsid w:val="3ECB7CCF"/>
    <w:rsid w:val="3F0D4E6A"/>
    <w:rsid w:val="3F3F170D"/>
    <w:rsid w:val="3F7D3C25"/>
    <w:rsid w:val="3FB86B84"/>
    <w:rsid w:val="3FE60A97"/>
    <w:rsid w:val="40474FCB"/>
    <w:rsid w:val="404C551E"/>
    <w:rsid w:val="41796EA7"/>
    <w:rsid w:val="420C31B7"/>
    <w:rsid w:val="421E39B7"/>
    <w:rsid w:val="42223F0D"/>
    <w:rsid w:val="42ED12F3"/>
    <w:rsid w:val="43A35FE7"/>
    <w:rsid w:val="43BB0E8C"/>
    <w:rsid w:val="43EA12F2"/>
    <w:rsid w:val="440D6EDD"/>
    <w:rsid w:val="445F1CC4"/>
    <w:rsid w:val="44696315"/>
    <w:rsid w:val="448101FD"/>
    <w:rsid w:val="44D426B2"/>
    <w:rsid w:val="44DE708D"/>
    <w:rsid w:val="455C0CE8"/>
    <w:rsid w:val="4561504D"/>
    <w:rsid w:val="45857C60"/>
    <w:rsid w:val="45AD1BE3"/>
    <w:rsid w:val="46037705"/>
    <w:rsid w:val="46741597"/>
    <w:rsid w:val="471F1A07"/>
    <w:rsid w:val="475C208A"/>
    <w:rsid w:val="47F55EE2"/>
    <w:rsid w:val="48086427"/>
    <w:rsid w:val="482F7BFF"/>
    <w:rsid w:val="487B1097"/>
    <w:rsid w:val="489A6A16"/>
    <w:rsid w:val="48B6393D"/>
    <w:rsid w:val="4913307D"/>
    <w:rsid w:val="49530FD5"/>
    <w:rsid w:val="496F0B2E"/>
    <w:rsid w:val="49F7270F"/>
    <w:rsid w:val="4A1D0657"/>
    <w:rsid w:val="4A742241"/>
    <w:rsid w:val="4A920C4C"/>
    <w:rsid w:val="4B4D58BE"/>
    <w:rsid w:val="4B6232EC"/>
    <w:rsid w:val="4BAB57EF"/>
    <w:rsid w:val="4BB20E15"/>
    <w:rsid w:val="4BBE6EC7"/>
    <w:rsid w:val="4BD20FCE"/>
    <w:rsid w:val="4BF44BB3"/>
    <w:rsid w:val="4C7D362F"/>
    <w:rsid w:val="4CAA28C2"/>
    <w:rsid w:val="4D27688A"/>
    <w:rsid w:val="4D58123A"/>
    <w:rsid w:val="4D720CBA"/>
    <w:rsid w:val="4E3223E2"/>
    <w:rsid w:val="4E4E51CF"/>
    <w:rsid w:val="4EE93425"/>
    <w:rsid w:val="4F7B31C9"/>
    <w:rsid w:val="4F933581"/>
    <w:rsid w:val="4FAB3490"/>
    <w:rsid w:val="502142D2"/>
    <w:rsid w:val="51D830B6"/>
    <w:rsid w:val="51EE7771"/>
    <w:rsid w:val="523C1897"/>
    <w:rsid w:val="523C7B19"/>
    <w:rsid w:val="52950FA7"/>
    <w:rsid w:val="531473B1"/>
    <w:rsid w:val="53197576"/>
    <w:rsid w:val="53324957"/>
    <w:rsid w:val="53B92A11"/>
    <w:rsid w:val="547D0FD4"/>
    <w:rsid w:val="54986B06"/>
    <w:rsid w:val="55052414"/>
    <w:rsid w:val="553000B5"/>
    <w:rsid w:val="553920BD"/>
    <w:rsid w:val="55676C2B"/>
    <w:rsid w:val="55915A56"/>
    <w:rsid w:val="55A51B36"/>
    <w:rsid w:val="55D91870"/>
    <w:rsid w:val="55DF7BF0"/>
    <w:rsid w:val="56432787"/>
    <w:rsid w:val="569C6DA8"/>
    <w:rsid w:val="56A01386"/>
    <w:rsid w:val="56B867A8"/>
    <w:rsid w:val="57291C6D"/>
    <w:rsid w:val="57CA16F3"/>
    <w:rsid w:val="58C765E4"/>
    <w:rsid w:val="58EB64FB"/>
    <w:rsid w:val="59282B75"/>
    <w:rsid w:val="594A73E8"/>
    <w:rsid w:val="59CC54EE"/>
    <w:rsid w:val="59E051FD"/>
    <w:rsid w:val="5ACD4BBE"/>
    <w:rsid w:val="5AFC71AD"/>
    <w:rsid w:val="5BC65AF2"/>
    <w:rsid w:val="5BD60A2C"/>
    <w:rsid w:val="5BDF743B"/>
    <w:rsid w:val="5C4001D5"/>
    <w:rsid w:val="5CCB70BC"/>
    <w:rsid w:val="5D216DAB"/>
    <w:rsid w:val="5DB847EB"/>
    <w:rsid w:val="5E0C306E"/>
    <w:rsid w:val="5E220C5A"/>
    <w:rsid w:val="5EEF08FE"/>
    <w:rsid w:val="5F8A5ED4"/>
    <w:rsid w:val="5F8D48C0"/>
    <w:rsid w:val="5FC609F2"/>
    <w:rsid w:val="5FEC4406"/>
    <w:rsid w:val="602045A6"/>
    <w:rsid w:val="60A9630A"/>
    <w:rsid w:val="621965A2"/>
    <w:rsid w:val="62333FBD"/>
    <w:rsid w:val="62467FCB"/>
    <w:rsid w:val="62FC7EAD"/>
    <w:rsid w:val="63A4729C"/>
    <w:rsid w:val="644B7717"/>
    <w:rsid w:val="64B32242"/>
    <w:rsid w:val="64E65B08"/>
    <w:rsid w:val="64F658D5"/>
    <w:rsid w:val="65077C58"/>
    <w:rsid w:val="656D2DB6"/>
    <w:rsid w:val="658C1712"/>
    <w:rsid w:val="659D04FA"/>
    <w:rsid w:val="65B23EF2"/>
    <w:rsid w:val="66166297"/>
    <w:rsid w:val="66263F98"/>
    <w:rsid w:val="66437299"/>
    <w:rsid w:val="66903710"/>
    <w:rsid w:val="67064B36"/>
    <w:rsid w:val="671B1623"/>
    <w:rsid w:val="674943E2"/>
    <w:rsid w:val="6796514D"/>
    <w:rsid w:val="67991468"/>
    <w:rsid w:val="67A16DFE"/>
    <w:rsid w:val="681B1975"/>
    <w:rsid w:val="689C2C37"/>
    <w:rsid w:val="68C55CEA"/>
    <w:rsid w:val="68E1064A"/>
    <w:rsid w:val="69913F83"/>
    <w:rsid w:val="69996984"/>
    <w:rsid w:val="69A55B1C"/>
    <w:rsid w:val="69C310BC"/>
    <w:rsid w:val="6A0868C0"/>
    <w:rsid w:val="6A9126C2"/>
    <w:rsid w:val="6AA04670"/>
    <w:rsid w:val="6AEB777A"/>
    <w:rsid w:val="6B6B13A6"/>
    <w:rsid w:val="6BAD606B"/>
    <w:rsid w:val="6BC17C63"/>
    <w:rsid w:val="6BD578EC"/>
    <w:rsid w:val="6C64581A"/>
    <w:rsid w:val="6D5C770C"/>
    <w:rsid w:val="6E554BA2"/>
    <w:rsid w:val="6ED76777"/>
    <w:rsid w:val="6F24676B"/>
    <w:rsid w:val="6FDB2297"/>
    <w:rsid w:val="6FDF3001"/>
    <w:rsid w:val="6FE0703B"/>
    <w:rsid w:val="707E6B13"/>
    <w:rsid w:val="708A3034"/>
    <w:rsid w:val="70D0347E"/>
    <w:rsid w:val="70F3716D"/>
    <w:rsid w:val="711D369B"/>
    <w:rsid w:val="71C42E0D"/>
    <w:rsid w:val="720C2BF4"/>
    <w:rsid w:val="7245721D"/>
    <w:rsid w:val="72CF7087"/>
    <w:rsid w:val="72F74F02"/>
    <w:rsid w:val="740022CC"/>
    <w:rsid w:val="74171BFE"/>
    <w:rsid w:val="748C2400"/>
    <w:rsid w:val="74AF6627"/>
    <w:rsid w:val="751B4EE4"/>
    <w:rsid w:val="76B824E1"/>
    <w:rsid w:val="76E3225D"/>
    <w:rsid w:val="76F61765"/>
    <w:rsid w:val="77442BD2"/>
    <w:rsid w:val="7784784B"/>
    <w:rsid w:val="78006D3F"/>
    <w:rsid w:val="7846699F"/>
    <w:rsid w:val="788B134A"/>
    <w:rsid w:val="78943BE2"/>
    <w:rsid w:val="78B47B29"/>
    <w:rsid w:val="78F85C68"/>
    <w:rsid w:val="79030169"/>
    <w:rsid w:val="792C6A50"/>
    <w:rsid w:val="79B61D34"/>
    <w:rsid w:val="79B7167F"/>
    <w:rsid w:val="7A3251AA"/>
    <w:rsid w:val="7A7430CC"/>
    <w:rsid w:val="7B7A5656"/>
    <w:rsid w:val="7BB24E72"/>
    <w:rsid w:val="7BD14868"/>
    <w:rsid w:val="7CAF6584"/>
    <w:rsid w:val="7CCB71F0"/>
    <w:rsid w:val="7D1E1A15"/>
    <w:rsid w:val="7D9F4B71"/>
    <w:rsid w:val="7E747B3F"/>
    <w:rsid w:val="7F60481E"/>
    <w:rsid w:val="7F78540D"/>
    <w:rsid w:val="7FAA2C3C"/>
    <w:rsid w:val="7FB56A69"/>
    <w:rsid w:val="7FCD4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autoRedefine/>
    <w:qFormat/>
    <w:uiPriority w:val="0"/>
    <w:pPr>
      <w:keepNext/>
      <w:keepLines/>
      <w:spacing w:before="340" w:after="330" w:line="578" w:lineRule="auto"/>
      <w:jc w:val="center"/>
      <w:outlineLvl w:val="0"/>
    </w:pPr>
    <w:rPr>
      <w:rFonts w:asciiTheme="minorAscii" w:hAnsiTheme="minorAscii"/>
      <w:b/>
      <w:bCs/>
      <w:kern w:val="44"/>
      <w:sz w:val="44"/>
      <w:szCs w:val="44"/>
    </w:rPr>
  </w:style>
  <w:style w:type="paragraph" w:styleId="3">
    <w:name w:val="heading 6"/>
    <w:basedOn w:val="1"/>
    <w:next w:val="1"/>
    <w:autoRedefine/>
    <w:qFormat/>
    <w:uiPriority w:val="0"/>
    <w:pPr>
      <w:keepNext/>
      <w:keepLines/>
      <w:widowControl w:val="0"/>
      <w:numPr>
        <w:ilvl w:val="5"/>
        <w:numId w:val="1"/>
      </w:numPr>
      <w:spacing w:line="560" w:lineRule="exact"/>
      <w:ind w:left="0" w:firstLine="0"/>
      <w:outlineLvl w:val="5"/>
    </w:pPr>
    <w:rPr>
      <w:rFonts w:ascii="Arial" w:hAnsi="Arial" w:eastAsia="楷体_GB2312"/>
      <w:bCs/>
      <w:sz w:val="32"/>
      <w:szCs w:val="24"/>
    </w:rPr>
  </w:style>
  <w:style w:type="character" w:default="1" w:styleId="12">
    <w:name w:val="Default Paragraph Font"/>
    <w:autoRedefine/>
    <w:semiHidden/>
    <w:unhideWhenUsed/>
    <w:qFormat/>
    <w:uiPriority w:val="1"/>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4">
    <w:name w:val="caption"/>
    <w:basedOn w:val="1"/>
    <w:next w:val="1"/>
    <w:autoRedefine/>
    <w:semiHidden/>
    <w:unhideWhenUsed/>
    <w:qFormat/>
    <w:uiPriority w:val="0"/>
    <w:rPr>
      <w:rFonts w:ascii="Arial" w:hAnsi="Arial" w:eastAsia="黑体"/>
      <w:sz w:val="20"/>
    </w:rPr>
  </w:style>
  <w:style w:type="paragraph" w:styleId="5">
    <w:name w:val="annotation text"/>
    <w:basedOn w:val="1"/>
    <w:autoRedefine/>
    <w:qFormat/>
    <w:uiPriority w:val="0"/>
    <w:pPr>
      <w:jc w:val="left"/>
    </w:p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标题 1 字符"/>
    <w:basedOn w:val="12"/>
    <w:link w:val="2"/>
    <w:autoRedefine/>
    <w:qFormat/>
    <w:uiPriority w:val="0"/>
    <w:rPr>
      <w:rFonts w:asciiTheme="minorAscii" w:hAnsiTheme="minorAscii" w:eastAsiaTheme="minorEastAsia" w:cstheme="minorBidi"/>
      <w:b/>
      <w:bCs/>
      <w:kern w:val="44"/>
      <w:sz w:val="44"/>
      <w:szCs w:val="44"/>
    </w:rPr>
  </w:style>
  <w:style w:type="character" w:customStyle="1" w:styleId="14">
    <w:name w:val="font71"/>
    <w:basedOn w:val="12"/>
    <w:autoRedefine/>
    <w:qFormat/>
    <w:uiPriority w:val="0"/>
    <w:rPr>
      <w:rFonts w:ascii="仿宋_GB2312" w:eastAsia="仿宋_GB2312" w:cs="仿宋_GB2312"/>
      <w:b/>
      <w:bCs/>
      <w:color w:val="000000"/>
      <w:sz w:val="22"/>
      <w:szCs w:val="22"/>
      <w:u w:val="none"/>
    </w:rPr>
  </w:style>
  <w:style w:type="character" w:customStyle="1" w:styleId="15">
    <w:name w:val="font31"/>
    <w:basedOn w:val="12"/>
    <w:autoRedefine/>
    <w:qFormat/>
    <w:uiPriority w:val="0"/>
    <w:rPr>
      <w:rFonts w:hint="eastAsia" w:ascii="仿宋_GB2312" w:eastAsia="仿宋_GB2312" w:cs="仿宋_GB2312"/>
      <w:color w:val="000000"/>
      <w:sz w:val="20"/>
      <w:szCs w:val="20"/>
      <w:u w:val="none"/>
    </w:rPr>
  </w:style>
  <w:style w:type="character" w:customStyle="1" w:styleId="16">
    <w:name w:val="font51"/>
    <w:basedOn w:val="12"/>
    <w:autoRedefine/>
    <w:qFormat/>
    <w:uiPriority w:val="0"/>
    <w:rPr>
      <w:rFonts w:hint="default" w:ascii="Times New Roman" w:hAnsi="Times New Roman" w:cs="Times New Roman"/>
      <w:color w:val="000000"/>
      <w:sz w:val="20"/>
      <w:szCs w:val="20"/>
      <w:u w:val="none"/>
    </w:rPr>
  </w:style>
  <w:style w:type="character" w:customStyle="1" w:styleId="17">
    <w:name w:val="font41"/>
    <w:basedOn w:val="12"/>
    <w:autoRedefine/>
    <w:qFormat/>
    <w:uiPriority w:val="0"/>
    <w:rPr>
      <w:rFonts w:hint="default" w:ascii="Times New Roman" w:hAnsi="Times New Roman" w:cs="Times New Roman"/>
      <w:color w:val="000000"/>
      <w:sz w:val="20"/>
      <w:szCs w:val="20"/>
      <w:u w:val="none"/>
    </w:rPr>
  </w:style>
  <w:style w:type="character" w:customStyle="1" w:styleId="18">
    <w:name w:val="font81"/>
    <w:basedOn w:val="12"/>
    <w:autoRedefine/>
    <w:qFormat/>
    <w:uiPriority w:val="0"/>
    <w:rPr>
      <w:rFonts w:hint="eastAsia" w:ascii="宋体" w:hAnsi="宋体" w:eastAsia="宋体" w:cs="宋体"/>
      <w:color w:val="000000"/>
      <w:sz w:val="20"/>
      <w:szCs w:val="20"/>
      <w:u w:val="none"/>
    </w:rPr>
  </w:style>
  <w:style w:type="character" w:customStyle="1" w:styleId="19">
    <w:name w:val="font91"/>
    <w:basedOn w:val="12"/>
    <w:autoRedefine/>
    <w:qFormat/>
    <w:uiPriority w:val="0"/>
    <w:rPr>
      <w:rFonts w:hint="eastAsia" w:ascii="仿宋_GB2312" w:eastAsia="仿宋_GB2312" w:cs="仿宋_GB2312"/>
      <w:color w:val="000000"/>
      <w:sz w:val="20"/>
      <w:szCs w:val="20"/>
      <w:u w:val="none"/>
    </w:rPr>
  </w:style>
  <w:style w:type="character" w:customStyle="1" w:styleId="20">
    <w:name w:val="font61"/>
    <w:basedOn w:val="12"/>
    <w:autoRedefine/>
    <w:qFormat/>
    <w:uiPriority w:val="0"/>
    <w:rPr>
      <w:rFonts w:hint="default" w:ascii="Times New Roman" w:hAnsi="Times New Roman" w:cs="Times New Roman"/>
      <w:color w:val="000000"/>
      <w:sz w:val="20"/>
      <w:szCs w:val="20"/>
      <w:u w:val="none"/>
    </w:rPr>
  </w:style>
  <w:style w:type="character" w:customStyle="1" w:styleId="21">
    <w:name w:val="font11"/>
    <w:basedOn w:val="12"/>
    <w:autoRedefine/>
    <w:qFormat/>
    <w:uiPriority w:val="0"/>
    <w:rPr>
      <w:rFonts w:hint="eastAsia" w:ascii="仿宋_GB2312" w:eastAsia="仿宋_GB2312" w:cs="仿宋_GB2312"/>
      <w:b/>
      <w:bCs/>
      <w:color w:val="000000"/>
      <w:sz w:val="22"/>
      <w:szCs w:val="22"/>
      <w:u w:val="none"/>
    </w:rPr>
  </w:style>
  <w:style w:type="character" w:customStyle="1" w:styleId="22">
    <w:name w:val="font21"/>
    <w:basedOn w:val="12"/>
    <w:autoRedefine/>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ad4c2119-0687-451d-abd7-b9fc64541278</errorID>
      <errorWord>造</errorWord>
      <group>L1_Word</group>
      <groupName>字词问题</groupName>
      <ability>L2_Typo</ability>
      <abilityName>字词错误</abilityName>
      <candidateList>
        <item>造了</item>
      </candidateList>
      <explain/>
      <paraID>72A0B037</paraID>
      <start>34</start>
      <end>35</end>
      <status>unmodified</status>
      <modifiedWord/>
      <trackRevisions>false</trackRevisions>
    </reviewItem>
    <reviewItem>
      <errorID>83daaee3-8426-48f3-b281-418ad8e89cce</errorID>
      <errorWord>，</errorWord>
      <group>L1_Word</group>
      <groupName>字词问题</groupName>
      <ability>L2_Typo</ability>
      <abilityName>字词错误</abilityName>
      <candidateList>
        <item>，以</item>
      </candidateList>
      <explain/>
      <paraID>4A19A2A4</paraID>
      <start>15</start>
      <end>16</end>
      <status>unmodified</status>
      <modifiedWord/>
      <trackRevisions>false</trackRevisions>
    </reviewItem>
    <reviewItem>
      <errorID>58fbaf5e-7b98-4620-8a0f-998a8fa32719</errorID>
      <errorWord>，</errorWord>
      <group>L1_Grammar</group>
      <groupName>语法问题</groupName>
      <ability>L2_Grammar</ability>
      <abilityName>语法错误</abilityName>
      <candidateList>
        <item>的情况，</item>
      </candidateList>
      <explain/>
      <paraID>4A19A2A4</paraID>
      <start>380</start>
      <end>381</end>
      <status>unmodified</status>
      <modifiedWord/>
      <trackRevisions>false</trackRevisions>
    </reviewItem>
    <reviewItem>
      <errorID>e8724a1c-26ee-48f5-933f-3016bdfde20b</errorID>
      <errorWord>亟需</errorWord>
      <group>L1_Word</group>
      <groupName>字词问题</groupName>
      <ability>L2_Typo</ability>
      <abilityName>字词错误</abilityName>
      <candidateList>
        <item>亟须</item>
      </candidateList>
      <explain/>
      <paraID>22EEE608</paraID>
      <start>88</start>
      <end>90</end>
      <status>unmodified</status>
      <modifiedWord/>
      <trackRevisions>false</trackRevisions>
    </reviewItem>
    <reviewItem>
      <errorID>c4a1a726-2b1b-4870-bed7-9917105e3a77</errorID>
      <errorWord>以国内大循环为主体、国内国际双循环相互促进的新发展格局</errorWord>
      <group>L1_Political</group>
      <groupName>政治性问题</groupName>
      <ability>L2_Keyword</ability>
      <abilityName>固定表述</abilityName>
      <candidateList>
        <item>以国内大循环为主体、国内国际双循环相互促进的新发展格局。</item>
      </candidateList>
      <explain>此处内容疑似含有固定表述相关错误，建议核查。</explain>
      <paraID> BE7673C</paraID>
      <start>222</start>
      <end>249</end>
      <status>unmodified</status>
      <modifiedWord/>
      <trackRevisions>false</trackRevisions>
    </reviewItem>
    <reviewItem>
      <errorID>453b372b-4b40-4b1b-b448-e045498d3f8e</errorID>
      <errorWord>重点科技创新平台</errorWord>
      <group>L1_Political</group>
      <groupName>政治性问题</groupName>
      <ability>L2_Keyword</ability>
      <abilityName>固定表述</abilityName>
      <candidateList>
        <item>重大科技创新平台</item>
      </candidateList>
      <explain>词汇“重大科技创新平台”在特定场景下为固定表述形式，请确认此处的“重点科技创新平台”是否存在不当。</explain>
      <paraID>2F9131CF</paraID>
      <start>29</start>
      <end>37</end>
      <status>unmodified</status>
      <modifiedWord/>
      <trackRevisions>false</trackRevisions>
    </reviewItem>
    <reviewItem>
      <errorID>502c745e-de7c-4592-9e3e-1c914a3b0e3e</errorID>
      <errorWord>达</errorWord>
      <group>L1_Word</group>
      <groupName>字词问题</groupName>
      <ability>L2_Typo</ability>
      <abilityName>字词错误</abilityName>
      <candidateList>
        <item>在</item>
      </candidateList>
      <explain/>
      <paraID>27176B64</paraID>
      <start>67</start>
      <end>68</end>
      <status>unmodified</status>
      <modifiedWord/>
      <trackRevisions>false</trackRevisions>
    </reviewItem>
    <reviewItem>
      <errorID>50de7c9c-056f-48b3-a459-7295c36bb915</errorID>
      <errorWord>辅助</errorWord>
      <group>L1_Word</group>
      <groupName>字词问题</groupName>
      <ability>L2_Typo</ability>
      <abilityName>字词错误</abilityName>
      <candidateList>
        <item>帮助</item>
      </candidateList>
      <explain/>
      <paraID>1C683D44</paraID>
      <start>112</start>
      <end>114</end>
      <status>unmodified</status>
      <modifiedWord/>
      <trackRevisions>false</trackRevisions>
    </reviewItem>
    <reviewItem>
      <errorID>cfaf5677-96fc-4f67-98e1-187a95f8b861</errorID>
      <errorWord>。</errorWord>
      <group>L1_Grammar</group>
      <groupName>语法问题</groupName>
      <ability>L2_Grammar</ability>
      <abilityName>语法错误</abilityName>
      <candidateList>
        <item>的问题。</item>
      </candidateList>
      <explain/>
      <paraID>1C683D44</paraID>
      <start>139</start>
      <end>140</end>
      <status>unmodified</status>
      <modifiedWord/>
      <trackRevisions>false</trackRevisions>
    </reviewItem>
    <reviewItem>
      <errorID>21d16948-70d8-4ae1-a6fe-c032015b0960</errorID>
      <errorWord>胶粘</errorWord>
      <group>L1_Word</group>
      <groupName>字词问题</groupName>
      <ability>L2_Typo</ability>
      <abilityName>字词错误</abilityName>
      <candidateList>
        <item>胶黏</item>
      </candidateList>
      <explain/>
      <paraID>49727E72</paraID>
      <start>41</start>
      <end>43</end>
      <status>unmodified</status>
      <modifiedWord/>
      <trackRevisions>false</trackRevisions>
    </reviewItem>
    <reviewItem>
      <errorID>01dc7cb5-f44b-48da-bb37-bd0453ff9e52</errorID>
      <errorWord>药</errorWord>
      <group>L1_Word</group>
      <groupName>字词问题</groupName>
      <ability>L2_Typo</ability>
      <abilityName>字词错误</abilityName>
      <candidateList>
        <item>药制</item>
      </candidateList>
      <explain/>
      <paraID>2F5F7E04</paraID>
      <start>132</start>
      <end>133</end>
      <status>unmodified</status>
      <modifiedWord/>
      <trackRevisions>false</trackRevisions>
    </reviewItem>
    <reviewItem>
      <errorID>44daa5cb-b032-460a-8a5f-12efb249e809</errorID>
      <errorWord>产品</errorWord>
      <group>L1_Word</group>
      <groupName>字词问题</groupName>
      <ability>L2_Typo</ability>
      <abilityName>字词错误</abilityName>
      <candidateList>
        <item>的产品</item>
      </candidateList>
      <explain/>
      <paraID>67EFA043</paraID>
      <start>43</start>
      <end>45</end>
      <status>unmodified</status>
      <modifiedWord/>
      <trackRevisions>false</trackRevisions>
    </reviewItem>
    <reviewItem>
      <errorID>59bd8c60-edbd-4168-9410-05bd10ac3057</errorID>
      <errorWord>，</errorWord>
      <group>L1_Punc</group>
      <groupName>标点问题</groupName>
      <ability>L2_Punc_CN</ability>
      <abilityName>标点符号问题</abilityName>
      <candidateList>
        <item>、</item>
      </candidateList>
      <explain/>
      <paraID> F04C65B</paraID>
      <start>80</start>
      <end>81</end>
      <status>unmodified</status>
      <modifiedWord/>
      <trackRevisions>false</trackRevisions>
    </reviewItem>
    <reviewItem>
      <errorID>2aa965c6-71ce-4603-a40e-fc5a23e28b6a</errorID>
      <errorWord>，</errorWord>
      <group>L1_Punc</group>
      <groupName>标点问题</groupName>
      <ability>L2_Punc_CN</ability>
      <abilityName>标点符号问题</abilityName>
      <candidateList>
        <item>、</item>
      </candidateList>
      <explain/>
      <paraID> F04C65B</paraID>
      <start>88</start>
      <end>89</end>
      <status>unmodified</status>
      <modifiedWord/>
      <trackRevisions>false</trackRevisions>
    </reviewItem>
    <reviewItem>
      <errorID>63879708-a6e9-41d3-a2ce-699133b726db</errorID>
      <errorWord>：</errorWord>
      <group>L1_Punc</group>
      <groupName>标点问题</groupName>
      <ability>L2_Punc_CN</ability>
      <abilityName>标点符号问题</abilityName>
      <candidateList>
        <item/>
      </candidateList>
      <explain/>
      <paraID>62AB370C</paraID>
      <start>62</start>
      <end>63</end>
      <status>unmodified</status>
      <modifiedWord/>
      <trackRevisions>false</trackRevisions>
    </reviewItem>
    <reviewItem>
      <errorID>5839a77d-3d7a-4554-8c90-b4d69cafa775</errorID>
      <errorWord>冲床</errorWord>
      <group>L1_Punc</group>
      <groupName>标点问题</groupName>
      <ability>L2_Punc_CN</ability>
      <abilityName>标点符号问题</abilityName>
      <candidateList>
        <item>、冲床</item>
      </candidateList>
      <explain/>
      <paraID>700FA3A6</paraID>
      <start>128</start>
      <end>130</end>
      <status>unmodified</status>
      <modifiedWord/>
      <trackRevisions>false</trackRevisions>
    </reviewItem>
    <reviewItem>
      <errorID>572d9f35-9715-48c3-b77a-6e98c3657f9f</errorID>
      <errorWord>：</errorWord>
      <group>L1_Word</group>
      <groupName>字词问题</groupName>
      <ability>L2_Typo</ability>
      <abilityName>字词错误</abilityName>
      <candidateList>
        <item>为</item>
      </candidateList>
      <explain/>
      <paraID>14066AC2</paraID>
      <start>32</start>
      <end>33</end>
      <status>unmodified</status>
      <modifiedWord/>
      <trackRevisions>false</trackRevisions>
    </reviewItem>
    <reviewItem>
      <errorID>9eb48ed9-a00d-4e61-862f-5a80141fc6dc</errorID>
      <errorWord>；</errorWord>
      <group>L1_Punc</group>
      <groupName>标点问题</groupName>
      <ability>L2_Punc_CN</ability>
      <abilityName>标点符号问题</abilityName>
      <candidateList>
        <item>，</item>
      </candidateList>
      <explain/>
      <paraID>18E2034F</paraID>
      <start>7</start>
      <end>8</end>
      <status>unmodified</status>
      <modifiedWord/>
      <trackRevisions>false</trackRevisions>
    </reviewItem>
    <reviewItem>
      <errorID>e38514f2-add7-4a75-8945-865ab0f3bb22</errorID>
      <errorWord>：年产</errorWord>
      <group>L1_Grammar</group>
      <groupName>语法问题</groupName>
      <ability>L2_Grammar</ability>
      <abilityName>语法错误</abilityName>
      <candidateList>
        <item>：</item>
      </candidateList>
      <explain/>
      <paraID>18E2034F</paraID>
      <start>83</start>
      <end>86</end>
      <status>unmodified</status>
      <modifiedWord/>
      <trackRevisions>false</trackRevisions>
    </reviewItem>
    <reviewItem>
      <errorID>d829b036-fc25-4905-a5ef-36f6a5862f41</errorID>
      <errorWord>及</errorWord>
      <group>L1_Word</group>
      <groupName>字词问题</groupName>
      <ability>L2_Typo</ability>
      <abilityName>字词错误</abilityName>
      <candidateList>
        <item>、</item>
      </candidateList>
      <explain/>
      <paraID>41930B96</paraID>
      <start>67</start>
      <end>68</end>
      <status>unmodified</status>
      <modifiedWord/>
      <trackRevisions>false</trackRevisions>
    </reviewItem>
    <reviewItem>
      <errorID>5971ffe8-50d2-48f8-a5a0-12c2e47ca970</errorID>
      <errorWord>：年产</errorWord>
      <group>L1_Grammar</group>
      <groupName>语法问题</groupName>
      <ability>L2_Grammar</ability>
      <abilityName>语法错误</abilityName>
      <candidateList>
        <item>：</item>
      </candidateList>
      <explain/>
      <paraID>7752C74A</paraID>
      <start>130</start>
      <end>133</end>
      <status>unmodified</status>
      <modifiedWord/>
      <trackRevisions>false</trackRevisions>
    </reviewItem>
    <reviewItem>
      <errorID>84f12d25-5633-4b7b-bffb-10e48e18a9b2</errorID>
      <errorWord>：</errorWord>
      <group>L1_Punc</group>
      <groupName>标点问题</groupName>
      <ability>L2_Punc_CN</ability>
      <abilityName>标点符号问题</abilityName>
      <candidateList>
        <item/>
      </candidateList>
      <explain/>
      <paraID>598E1277</paraID>
      <start>5</start>
      <end>6</end>
      <status>unmodified</status>
      <modifiedWord/>
      <trackRevisions>false</trackRevisions>
    </reviewItem>
    <reviewItem>
      <errorID>57f2b582-05c2-466e-90e8-f2dde33a66e1</errorID>
      <errorWord>：</errorWord>
      <group>L1_Punc</group>
      <groupName>标点问题</groupName>
      <ability>L2_Punc_CN</ability>
      <abilityName>标点符号问题</abilityName>
      <candidateList>
        <item/>
      </candidateList>
      <explain/>
      <paraID>598E1277</paraID>
      <start>22</start>
      <end>23</end>
      <status>unmodified</status>
      <modifiedWord/>
      <trackRevisions>false</trackRevisions>
    </reviewItem>
    <reviewItem>
      <errorID>0908eef5-af54-43e5-8711-84330f1d75de</errorID>
      <errorWord>；</errorWord>
      <group>L1_Punc</group>
      <groupName>标点问题</groupName>
      <ability>L2_Punc_CN</ability>
      <abilityName>标点符号问题</abilityName>
      <candidateList>
        <item>，</item>
      </candidateList>
      <explain/>
      <paraID>598E1277</paraID>
      <start>33</start>
      <end>34</end>
      <status>unmodified</status>
      <modifiedWord/>
      <trackRevisions>false</trackRevisions>
    </reviewItem>
    <reviewItem>
      <errorID>503d240f-bb8d-47a5-9cbd-b428bb1ffc52</errorID>
      <errorWord>（</errorWord>
      <group>L1_Punc</group>
      <groupName>标点问题</groupName>
      <ability>L2_Punc_CN</ability>
      <abilityName>标点符号问题</abilityName>
      <candidateList>
        <item/>
      </candidateList>
      <explain/>
      <paraID>3A17C41E</paraID>
      <start>160</start>
      <end>161</end>
      <status>unmodified</status>
      <modifiedWord/>
      <trackRevisions>false</trackRevisions>
    </reviewItem>
    <reviewItem>
      <errorID>5f66c7a0-9627-4f23-b5ff-a2d1976f8eae</errorID>
      <errorWord>）</errorWord>
      <group>L1_Punc</group>
      <groupName>标点问题</groupName>
      <ability>L2_Punc_CN</ability>
      <abilityName>标点符号问题</abilityName>
      <candidateList>
        <item/>
      </candidateList>
      <explain/>
      <paraID>3A17C41E</paraID>
      <start>166</start>
      <end>167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207b22-8733-4c3a-8842-01bfdab8d4de}">
  <ds:schemaRefs/>
</ds:datastoreItem>
</file>

<file path=docProps/app.xml><?xml version="1.0" encoding="utf-8"?>
<Properties xmlns="http://schemas.openxmlformats.org/officeDocument/2006/extended-properties" xmlns:vt="http://schemas.openxmlformats.org/officeDocument/2006/docPropsVTypes">
  <Template>Normal.dotm</Template>
  <Pages>45</Pages>
  <Words>443</Words>
  <Characters>472</Characters>
  <Lines>0</Lines>
  <Paragraphs>0</Paragraphs>
  <TotalTime>13</TotalTime>
  <ScaleCrop>false</ScaleCrop>
  <LinksUpToDate>false</LinksUpToDate>
  <CharactersWithSpaces>612</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2023-06-12T03:33:00Z</dcterms:created>
  <dc:creator>hongxinghui</dc:creator>
  <cp:lastModifiedBy>甄的三次方</cp:lastModifiedBy>
  <cp:lastPrinted>2026-07-21T02:31:00Z</cp:lastPrinted>
  <dcterms:modified xsi:type="dcterms:W3CDTF">2026-07-28T12:40:47Z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64CCCE72503C4FD0A197A0C04E9EFA2C_13</vt:lpwstr>
  </property>
  <property fmtid="{D5CDD505-2E9C-101B-9397-08002B2CF9AE}" pid="4" name="KSOTemplateDocerSaveRecord">
    <vt:lpwstr>eyJoZGlkIjoiMTQ0YjIzMjExYmIxOWQyZTMyMDM2ZmU2M2U3ZDM5NjgiLCJ1c2VySWQiOiI5MjIzNzc1MDIifQ==</vt:lpwstr>
  </property>
</Properties>
</file>