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EE975">
      <w:pPr>
        <w:bidi w:val="0"/>
        <w:rPr>
          <w:rFonts w:hint="default"/>
          <w:lang w:val="en-US" w:eastAsia="zh-CN"/>
        </w:rPr>
      </w:pPr>
      <w:r>
        <w:rPr>
          <w:rFonts w:hint="eastAsia"/>
          <w:lang w:val="en-US" w:eastAsia="zh-CN"/>
        </w:rPr>
        <w:t xml:space="preserve"> </w:t>
      </w:r>
    </w:p>
    <w:p w14:paraId="17E0A644">
      <w:pPr>
        <w:pStyle w:val="9"/>
        <w:keepNext w:val="0"/>
        <w:keepLines w:val="0"/>
        <w:pageBreakBefore w:val="0"/>
        <w:widowControl w:val="0"/>
        <w:kinsoku/>
        <w:wordWrap/>
        <w:overflowPunct/>
        <w:topLinePunct w:val="0"/>
        <w:autoSpaceDE/>
        <w:autoSpaceDN/>
        <w:bidi w:val="0"/>
        <w:adjustRightInd/>
        <w:snapToGrid/>
        <w:ind w:left="160" w:leftChars="50" w:right="160" w:rightChars="50"/>
        <w:textAlignment w:val="auto"/>
        <w:rPr>
          <w:rFonts w:hint="default"/>
          <w:lang w:val="en-US" w:eastAsia="zh-CN"/>
        </w:rPr>
      </w:pPr>
      <w:r>
        <w:rPr>
          <w:rFonts w:hint="eastAsia"/>
          <w:lang w:val="en-US" w:eastAsia="zh-CN"/>
        </w:rPr>
        <w:t>文本解读：</w:t>
      </w:r>
      <w:bookmarkStart w:id="26" w:name="_GoBack"/>
      <w:bookmarkEnd w:id="26"/>
      <w:r>
        <w:rPr>
          <w:rFonts w:hint="eastAsia"/>
          <w:lang w:val="en-US" w:eastAsia="zh-CN"/>
        </w:rPr>
        <w:t>《开平</w:t>
      </w:r>
      <w:r>
        <w:rPr>
          <w:rFonts w:hint="eastAsia"/>
          <w:lang w:eastAsia="zh-CN"/>
        </w:rPr>
        <w:t>市国民经济和社会发展第十五个五年规划纲要</w:t>
      </w:r>
      <w:r>
        <w:rPr>
          <w:rFonts w:hint="eastAsia"/>
          <w:lang w:val="en-US" w:eastAsia="zh-CN"/>
        </w:rPr>
        <w:t>》</w:t>
      </w:r>
    </w:p>
    <w:p w14:paraId="3E1F604E">
      <w:pPr>
        <w:bidi w:val="0"/>
        <w:rPr>
          <w:rFonts w:hint="eastAsia"/>
        </w:rPr>
      </w:pPr>
    </w:p>
    <w:p w14:paraId="41594877">
      <w:pPr>
        <w:bidi w:val="0"/>
        <w:rPr>
          <w:rFonts w:hint="eastAsia"/>
        </w:rPr>
      </w:pPr>
      <w:r>
        <w:rPr>
          <w:rFonts w:hint="eastAsia"/>
          <w:lang w:val="en-US" w:eastAsia="zh-CN"/>
        </w:rPr>
        <w:t>“十五五”时期是我国基本实现社会主义现代化夯实基础、全面发力的关键时期，也是开平增创新优势、实现新突破的紧要时期</w:t>
      </w:r>
      <w:r>
        <w:rPr>
          <w:rFonts w:hint="eastAsia"/>
        </w:rPr>
        <w:t>。根据《广东省国民经济和社会发展第十五个五年规划纲要》《</w:t>
      </w:r>
      <w:r>
        <w:rPr>
          <w:rFonts w:hint="eastAsia"/>
          <w:lang w:val="en-US" w:eastAsia="zh-CN"/>
        </w:rPr>
        <w:t>中共开平市委关于制定国民经济和社会发展第十五个五年规划的建议</w:t>
      </w:r>
      <w:r>
        <w:rPr>
          <w:rFonts w:hint="eastAsia"/>
        </w:rPr>
        <w:t>》，</w:t>
      </w:r>
      <w:r>
        <w:rPr>
          <w:rFonts w:hint="eastAsia"/>
          <w:lang w:val="en-US" w:eastAsia="zh-CN"/>
        </w:rPr>
        <w:t>开平</w:t>
      </w:r>
      <w:r>
        <w:rPr>
          <w:rFonts w:hint="eastAsia"/>
        </w:rPr>
        <w:t>市政府组织编制了《开平市国民经济和社会发展第十五个五年规划纲要》（以下简称《规划纲要》），形成草案</w:t>
      </w:r>
      <w:r>
        <w:rPr>
          <w:rFonts w:hint="eastAsia" w:ascii="Times New Roman" w:hAnsi="Times New Roman" w:eastAsia="仿宋_GB2312"/>
          <w:sz w:val="32"/>
          <w:szCs w:val="32"/>
        </w:rPr>
        <w:t>已于</w:t>
      </w:r>
      <w:r>
        <w:rPr>
          <w:rFonts w:hint="eastAsia"/>
          <w:sz w:val="32"/>
          <w:szCs w:val="32"/>
          <w:lang w:val="en-US" w:eastAsia="zh-CN"/>
        </w:rPr>
        <w:t>今</w:t>
      </w:r>
      <w:r>
        <w:rPr>
          <w:rFonts w:hint="eastAsia" w:ascii="Times New Roman" w:hAnsi="Times New Roman" w:eastAsia="仿宋_GB2312"/>
          <w:sz w:val="32"/>
          <w:szCs w:val="32"/>
        </w:rPr>
        <w:t>年</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日经市第十</w:t>
      </w:r>
      <w:r>
        <w:rPr>
          <w:rFonts w:hint="eastAsia" w:ascii="Times New Roman" w:hAnsi="Times New Roman" w:eastAsia="仿宋_GB2312"/>
          <w:sz w:val="32"/>
          <w:szCs w:val="32"/>
          <w:lang w:val="en-US" w:eastAsia="zh-CN"/>
        </w:rPr>
        <w:t>七</w:t>
      </w:r>
      <w:r>
        <w:rPr>
          <w:rFonts w:hint="eastAsia" w:ascii="Times New Roman" w:hAnsi="Times New Roman" w:eastAsia="仿宋_GB2312"/>
          <w:sz w:val="32"/>
          <w:szCs w:val="32"/>
        </w:rPr>
        <w:t>届人大六次会议审查批准</w:t>
      </w:r>
      <w:r>
        <w:rPr>
          <w:rFonts w:hint="eastAsia"/>
        </w:rPr>
        <w:t>。</w:t>
      </w:r>
    </w:p>
    <w:p w14:paraId="7CBCFCEE">
      <w:pPr>
        <w:bidi w:val="0"/>
        <w:rPr>
          <w:rFonts w:hint="eastAsia"/>
        </w:rPr>
      </w:pPr>
      <w:r>
        <w:rPr>
          <w:rFonts w:hint="eastAsia"/>
        </w:rPr>
        <w:t>《规划纲要》</w:t>
      </w:r>
      <w:r>
        <w:rPr>
          <w:rFonts w:hint="eastAsia"/>
          <w:lang w:val="en-US" w:eastAsia="zh-CN"/>
        </w:rPr>
        <w:t>主要阐明“十五五”时期（2026—2030年）开平经济社会发展的指导思想、基本原则、发展目标、发展要求，谋划重大战略，部署重大任务，是战略性、宏观性、综合性规划，是政府履行经济调节、市场监管、社会管理、公共服务和生态环境保护职能的重要依据，是未来五年我市经济社会高质量发展的宏伟蓝图和全市人民共同的行动纲领</w:t>
      </w:r>
      <w:r>
        <w:rPr>
          <w:rFonts w:hint="eastAsia"/>
        </w:rPr>
        <w:t>。</w:t>
      </w:r>
    </w:p>
    <w:p w14:paraId="40401A67">
      <w:pPr>
        <w:pStyle w:val="2"/>
        <w:bidi w:val="0"/>
        <w:rPr>
          <w:rFonts w:hint="eastAsia"/>
        </w:rPr>
      </w:pPr>
      <w:r>
        <w:rPr>
          <w:rFonts w:hint="eastAsia"/>
        </w:rPr>
        <w:t>一、“十四五”取得重大成就</w:t>
      </w:r>
    </w:p>
    <w:p w14:paraId="530490EA">
      <w:pPr>
        <w:bidi w:val="0"/>
        <w:rPr>
          <w:rFonts w:hint="eastAsia"/>
        </w:rPr>
      </w:pPr>
      <w:r>
        <w:rPr>
          <w:rFonts w:hint="eastAsia"/>
        </w:rPr>
        <w:t>“十四五”时期发展我市经济社会各项事业稳中有进，高质量发展取得新成就，为“十五五”时期发展奠定坚实基础。</w:t>
      </w:r>
    </w:p>
    <w:p w14:paraId="36736751">
      <w:pPr>
        <w:bidi w:val="0"/>
        <w:rPr>
          <w:rFonts w:hint="eastAsia"/>
          <w:lang w:val="en-US" w:eastAsia="zh-CN"/>
        </w:rPr>
      </w:pPr>
      <w:r>
        <w:rPr>
          <w:rFonts w:hint="eastAsia"/>
          <w:b/>
          <w:bCs/>
          <w:lang w:val="en-US" w:eastAsia="zh-CN"/>
        </w:rPr>
        <w:t>经济运行稳中有进，</w:t>
      </w:r>
      <w:r>
        <w:rPr>
          <w:rFonts w:hint="eastAsia"/>
          <w:lang w:val="en-US" w:eastAsia="zh-CN"/>
        </w:rPr>
        <w:t>全市地区生产总值突破500亿元关口，2025年达515.87亿元，年均增长3.9%；新增规上工业企业177家、总量达506家，规上工业总产值达572.9亿元、增加值年均增长5.4%，工业支撑能力不断提升。</w:t>
      </w:r>
    </w:p>
    <w:p w14:paraId="57868ED5">
      <w:pPr>
        <w:bidi w:val="0"/>
        <w:rPr>
          <w:rFonts w:hint="eastAsia"/>
          <w:lang w:val="en-US" w:eastAsia="zh-CN"/>
        </w:rPr>
      </w:pPr>
      <w:bookmarkStart w:id="0" w:name="_Toc21983"/>
      <w:bookmarkStart w:id="1" w:name="_Toc9140"/>
      <w:r>
        <w:rPr>
          <w:rFonts w:hint="eastAsia"/>
          <w:b/>
          <w:bCs/>
          <w:lang w:val="en-US" w:eastAsia="zh-CN"/>
        </w:rPr>
        <w:t>产业体系提级扩能</w:t>
      </w:r>
      <w:bookmarkEnd w:id="0"/>
      <w:bookmarkEnd w:id="1"/>
      <w:r>
        <w:rPr>
          <w:rFonts w:hint="eastAsia"/>
          <w:b/>
          <w:bCs/>
          <w:lang w:val="en-US" w:eastAsia="zh-CN"/>
        </w:rPr>
        <w:t>，</w:t>
      </w:r>
      <w:r>
        <w:rPr>
          <w:rFonts w:hint="eastAsia"/>
          <w:lang w:val="en-US" w:eastAsia="zh-CN"/>
        </w:rPr>
        <w:t>入</w:t>
      </w:r>
      <w:r>
        <w:rPr>
          <w:rFonts w:hint="eastAsia"/>
        </w:rPr>
        <w:t>选省食品工业培育试点</w:t>
      </w:r>
      <w:r>
        <w:rPr>
          <w:rFonts w:hint="eastAsia"/>
          <w:lang w:eastAsia="zh-CN"/>
        </w:rPr>
        <w:t>、</w:t>
      </w:r>
      <w:r>
        <w:rPr>
          <w:rFonts w:hint="eastAsia"/>
          <w:lang w:val="en-US" w:eastAsia="zh-CN"/>
        </w:rPr>
        <w:t>省整县推进农文旅融合发展试点</w:t>
      </w:r>
      <w:r>
        <w:rPr>
          <w:rFonts w:hint="eastAsia"/>
          <w:lang w:eastAsia="zh-CN"/>
        </w:rPr>
        <w:t>，</w:t>
      </w:r>
      <w:r>
        <w:rPr>
          <w:rFonts w:hint="eastAsia"/>
        </w:rPr>
        <w:t>成功创建全国主要农作物生产全程机械化示范县，获评全国农产品数字化百强县、全国休闲农业重点县</w:t>
      </w:r>
      <w:r>
        <w:rPr>
          <w:rFonts w:hint="eastAsia"/>
          <w:lang w:val="en-US" w:eastAsia="zh-CN"/>
        </w:rPr>
        <w:t>，制造业增加值年均增长5.2%，</w:t>
      </w:r>
      <w:r>
        <w:rPr>
          <w:rFonts w:hint="eastAsia"/>
        </w:rPr>
        <w:t>水暖卫浴</w:t>
      </w:r>
      <w:r>
        <w:rPr>
          <w:rFonts w:hint="eastAsia"/>
          <w:lang w:eastAsia="zh-CN"/>
        </w:rPr>
        <w:t>、</w:t>
      </w:r>
      <w:r>
        <w:rPr>
          <w:rFonts w:hint="eastAsia"/>
          <w:lang w:val="en-US" w:eastAsia="zh-CN"/>
        </w:rPr>
        <w:t>大健康</w:t>
      </w:r>
      <w:r>
        <w:rPr>
          <w:rFonts w:hint="eastAsia"/>
        </w:rPr>
        <w:t>产业集群入选省中小企业特色产业集群</w:t>
      </w:r>
      <w:r>
        <w:rPr>
          <w:rFonts w:hint="eastAsia"/>
          <w:lang w:val="en-US" w:eastAsia="zh-CN"/>
        </w:rPr>
        <w:t>。</w:t>
      </w:r>
    </w:p>
    <w:p w14:paraId="5DFE7BF5">
      <w:pPr>
        <w:bidi w:val="0"/>
        <w:rPr>
          <w:rFonts w:hint="eastAsia"/>
        </w:rPr>
      </w:pPr>
      <w:bookmarkStart w:id="2" w:name="_Toc16756"/>
      <w:bookmarkStart w:id="3" w:name="_Toc14555"/>
      <w:r>
        <w:rPr>
          <w:rFonts w:hint="eastAsia"/>
          <w:b/>
          <w:bCs/>
          <w:lang w:val="en-US" w:eastAsia="zh-CN"/>
        </w:rPr>
        <w:t>创新动能蓄势引领</w:t>
      </w:r>
      <w:bookmarkEnd w:id="2"/>
      <w:bookmarkEnd w:id="3"/>
      <w:r>
        <w:rPr>
          <w:rFonts w:hint="eastAsia"/>
          <w:b/>
          <w:bCs/>
          <w:lang w:val="en-US" w:eastAsia="zh-CN"/>
        </w:rPr>
        <w:t>，</w:t>
      </w:r>
      <w:r>
        <w:rPr>
          <w:rFonts w:hint="eastAsia"/>
          <w:lang w:val="en-US" w:eastAsia="zh-CN"/>
        </w:rPr>
        <w:t>成功创建全国科普示范市，</w:t>
      </w:r>
      <w:r>
        <w:rPr>
          <w:rFonts w:hint="eastAsia"/>
        </w:rPr>
        <w:t>获批创建省科普创新试点县</w:t>
      </w:r>
      <w:r>
        <w:rPr>
          <w:rFonts w:hint="eastAsia"/>
          <w:lang w:eastAsia="zh-CN"/>
        </w:rPr>
        <w:t>、</w:t>
      </w:r>
      <w:r>
        <w:rPr>
          <w:rFonts w:hint="eastAsia"/>
        </w:rPr>
        <w:t>建设国家级</w:t>
      </w:r>
      <w:r>
        <w:rPr>
          <w:rFonts w:hint="eastAsia"/>
          <w:lang w:eastAsia="zh-CN"/>
        </w:rPr>
        <w:t>（</w:t>
      </w:r>
      <w:r>
        <w:rPr>
          <w:rFonts w:hint="eastAsia"/>
          <w:lang w:val="en-US" w:eastAsia="zh-CN"/>
        </w:rPr>
        <w:t>水暖卫浴</w:t>
      </w:r>
      <w:r>
        <w:rPr>
          <w:rFonts w:hint="eastAsia"/>
          <w:lang w:eastAsia="zh-CN"/>
        </w:rPr>
        <w:t>）</w:t>
      </w:r>
      <w:r>
        <w:rPr>
          <w:rFonts w:hint="eastAsia"/>
        </w:rPr>
        <w:t>知识产权快速维权中心</w:t>
      </w:r>
      <w:r>
        <w:rPr>
          <w:rFonts w:hint="eastAsia"/>
          <w:lang w:val="en-US" w:eastAsia="zh-CN"/>
        </w:rPr>
        <w:t>，</w:t>
      </w:r>
      <w:r>
        <w:rPr>
          <w:rFonts w:hint="eastAsia"/>
        </w:rPr>
        <w:t>江门中微子实验建成世界最大单体探测器主体，</w:t>
      </w:r>
      <w:r>
        <w:rPr>
          <w:rFonts w:hint="eastAsia"/>
          <w:lang w:val="en-US" w:eastAsia="zh-CN"/>
        </w:rPr>
        <w:t>并正式运行；新增省级工程技术研究中心7家、国家高新技术企业10家，新增中国专利优秀奖1项、集体商标9件。</w:t>
      </w:r>
    </w:p>
    <w:p w14:paraId="01786CC5">
      <w:pPr>
        <w:bidi w:val="0"/>
        <w:rPr>
          <w:rFonts w:hint="eastAsia"/>
        </w:rPr>
      </w:pPr>
      <w:bookmarkStart w:id="4" w:name="_Toc6058"/>
      <w:bookmarkStart w:id="5" w:name="_Toc22627"/>
      <w:bookmarkStart w:id="6" w:name="_Toc29398"/>
      <w:r>
        <w:rPr>
          <w:rFonts w:hint="eastAsia"/>
          <w:b/>
          <w:bCs/>
          <w:lang w:val="en-US" w:eastAsia="zh-CN"/>
        </w:rPr>
        <w:t>深化改革取得突破</w:t>
      </w:r>
      <w:bookmarkEnd w:id="4"/>
      <w:bookmarkEnd w:id="5"/>
      <w:bookmarkEnd w:id="6"/>
      <w:r>
        <w:rPr>
          <w:rFonts w:hint="eastAsia"/>
          <w:b/>
          <w:bCs/>
          <w:lang w:val="en-US" w:eastAsia="zh-CN"/>
        </w:rPr>
        <w:t>，</w:t>
      </w:r>
      <w:r>
        <w:rPr>
          <w:rFonts w:hint="eastAsia"/>
          <w:lang w:val="en-US" w:eastAsia="zh-CN"/>
        </w:rPr>
        <w:t>新设立市场主体1.9万户、存量达6.87万户，</w:t>
      </w:r>
      <w:r>
        <w:rPr>
          <w:rFonts w:hint="eastAsia"/>
          <w:lang w:eastAsia="zh-CN"/>
        </w:rPr>
        <w:t>组建</w:t>
      </w:r>
      <w:r>
        <w:rPr>
          <w:rFonts w:hint="eastAsia"/>
          <w:lang w:val="en-US" w:eastAsia="zh-CN"/>
        </w:rPr>
        <w:t>十大板块国企体系</w:t>
      </w:r>
      <w:r>
        <w:rPr>
          <w:rFonts w:hint="eastAsia"/>
          <w:lang w:eastAsia="zh-CN"/>
        </w:rPr>
        <w:t>，成功打造</w:t>
      </w:r>
      <w:r>
        <w:rPr>
          <w:rFonts w:hint="eastAsia"/>
          <w:lang w:val="en-US" w:eastAsia="zh-CN"/>
        </w:rPr>
        <w:t>5家</w:t>
      </w:r>
      <w:r>
        <w:rPr>
          <w:rFonts w:hint="eastAsia"/>
          <w:lang w:eastAsia="zh-CN"/>
        </w:rPr>
        <w:t>市属</w:t>
      </w:r>
      <w:r>
        <w:rPr>
          <w:rFonts w:hint="default"/>
        </w:rPr>
        <w:t>AA</w:t>
      </w:r>
      <w:r>
        <w:rPr>
          <w:rFonts w:hint="eastAsia"/>
          <w:lang w:val="en-US" w:eastAsia="zh-CN"/>
        </w:rPr>
        <w:t>以上</w:t>
      </w:r>
      <w:r>
        <w:rPr>
          <w:rFonts w:hint="eastAsia"/>
          <w:lang w:eastAsia="zh-CN"/>
        </w:rPr>
        <w:t>信用等级国资</w:t>
      </w:r>
      <w:r>
        <w:rPr>
          <w:rFonts w:hint="eastAsia"/>
          <w:lang w:val="en-US" w:eastAsia="zh-CN"/>
        </w:rPr>
        <w:t>公司，“县域国资国企改革”入选省基层改革典型案例，</w:t>
      </w:r>
      <w:r>
        <w:rPr>
          <w:rFonts w:hint="eastAsia"/>
        </w:rPr>
        <w:t>入选省城市全域数字化转型县级试点、省深化农业水价综合改革试点和省农业社会化服务创新试点。</w:t>
      </w:r>
    </w:p>
    <w:p w14:paraId="00629A4A">
      <w:pPr>
        <w:bidi w:val="0"/>
        <w:rPr>
          <w:rFonts w:hint="eastAsia"/>
          <w:lang w:val="en-US" w:eastAsia="zh-CN"/>
        </w:rPr>
      </w:pPr>
      <w:bookmarkStart w:id="7" w:name="_Toc23447"/>
      <w:r>
        <w:rPr>
          <w:rFonts w:hint="eastAsia"/>
          <w:b/>
          <w:bCs/>
          <w:lang w:val="en-US" w:eastAsia="zh-CN"/>
        </w:rPr>
        <w:t>开放合作走深走实</w:t>
      </w:r>
      <w:bookmarkEnd w:id="7"/>
      <w:r>
        <w:rPr>
          <w:rFonts w:hint="eastAsia"/>
          <w:b/>
          <w:bCs/>
          <w:lang w:val="en-US" w:eastAsia="zh-CN"/>
        </w:rPr>
        <w:t>，</w:t>
      </w:r>
      <w:r>
        <w:rPr>
          <w:rFonts w:hint="eastAsia"/>
          <w:lang w:val="en-US" w:eastAsia="zh-CN"/>
        </w:rPr>
        <w:t>深度融入粤港澳大湾区建设，</w:t>
      </w:r>
      <w:r>
        <w:rPr>
          <w:rFonts w:hint="eastAsia"/>
        </w:rPr>
        <w:t>中开高速赤坎出入口</w:t>
      </w:r>
      <w:r>
        <w:rPr>
          <w:rFonts w:hint="eastAsia"/>
          <w:lang w:val="en-US" w:eastAsia="zh-CN"/>
        </w:rPr>
        <w:t>连接线—县道X825赤坎大道一期工程开通，</w:t>
      </w:r>
      <w:r>
        <w:rPr>
          <w:rFonts w:hint="eastAsia"/>
        </w:rPr>
        <w:t>台开快速路建成通车</w:t>
      </w:r>
      <w:r>
        <w:rPr>
          <w:rFonts w:hint="eastAsia"/>
          <w:lang w:val="en-US" w:eastAsia="zh-CN"/>
        </w:rPr>
        <w:t>，“开平三埠—深圳蛇口”组合港航线开通运营；参与制定首份“湾区标准”，粤港澳大湾区“菜篮子”生产基地增至16个。</w:t>
      </w:r>
    </w:p>
    <w:p w14:paraId="6E6E58F4">
      <w:pPr>
        <w:bidi w:val="0"/>
        <w:rPr>
          <w:rFonts w:hint="eastAsia"/>
          <w:lang w:val="en-US" w:eastAsia="zh-CN"/>
        </w:rPr>
      </w:pPr>
      <w:bookmarkStart w:id="8" w:name="_Toc18387"/>
      <w:r>
        <w:rPr>
          <w:rFonts w:hint="eastAsia"/>
          <w:b/>
          <w:bCs/>
          <w:lang w:val="en-US" w:eastAsia="zh-CN"/>
        </w:rPr>
        <w:t>城乡融合纵深推进</w:t>
      </w:r>
      <w:bookmarkEnd w:id="8"/>
      <w:r>
        <w:rPr>
          <w:rFonts w:hint="eastAsia"/>
          <w:b/>
          <w:bCs/>
          <w:lang w:val="en-US" w:eastAsia="zh-CN"/>
        </w:rPr>
        <w:t>，</w:t>
      </w:r>
      <w:r>
        <w:rPr>
          <w:rFonts w:hint="eastAsia"/>
          <w:lang w:val="en-US" w:eastAsia="zh-CN"/>
        </w:rPr>
        <w:t>2025年县域经济</w:t>
      </w:r>
      <w:r>
        <w:rPr>
          <w:rFonts w:hint="eastAsia"/>
        </w:rPr>
        <w:t>综合发展力</w:t>
      </w:r>
      <w:r>
        <w:rPr>
          <w:rFonts w:hint="eastAsia"/>
          <w:lang w:val="en-US" w:eastAsia="zh-CN"/>
        </w:rPr>
        <w:t>位居全省第6位、较2020年上升4位，</w:t>
      </w:r>
      <w:r>
        <w:rPr>
          <w:rFonts w:hint="eastAsia"/>
          <w:lang w:eastAsia="zh-CN"/>
        </w:rPr>
        <w:t>被确定为省“百千万工程”创先类县（市），获批创建国家乡村振兴示范县</w:t>
      </w:r>
      <w:r>
        <w:rPr>
          <w:rFonts w:hint="eastAsia"/>
          <w:lang w:val="en-US" w:eastAsia="zh-CN"/>
        </w:rPr>
        <w:t>，入选国家以人为本的新型城镇化试点和省级以县城为重要载体的新型城镇化建设试点，常住人口城镇化率由57.43%提高至59.02%。</w:t>
      </w:r>
    </w:p>
    <w:p w14:paraId="13CC5206">
      <w:pPr>
        <w:bidi w:val="0"/>
        <w:rPr>
          <w:rFonts w:hint="eastAsia"/>
          <w:lang w:val="en-US" w:eastAsia="zh-CN"/>
        </w:rPr>
      </w:pPr>
      <w:bookmarkStart w:id="9" w:name="_Toc9692"/>
      <w:bookmarkStart w:id="10" w:name="_Toc15327"/>
      <w:bookmarkStart w:id="11" w:name="_Toc30727"/>
      <w:r>
        <w:rPr>
          <w:rFonts w:hint="eastAsia"/>
          <w:b/>
          <w:bCs/>
          <w:lang w:val="en-US" w:eastAsia="zh-CN"/>
        </w:rPr>
        <w:t>绿美生态</w:t>
      </w:r>
      <w:bookmarkEnd w:id="9"/>
      <w:bookmarkEnd w:id="10"/>
      <w:r>
        <w:rPr>
          <w:rFonts w:hint="eastAsia"/>
          <w:b/>
          <w:bCs/>
          <w:lang w:val="en-US" w:eastAsia="zh-CN"/>
        </w:rPr>
        <w:t>底色更靓</w:t>
      </w:r>
      <w:bookmarkEnd w:id="11"/>
      <w:r>
        <w:rPr>
          <w:rFonts w:hint="eastAsia"/>
          <w:b/>
          <w:bCs/>
          <w:lang w:val="en-US" w:eastAsia="zh-CN"/>
        </w:rPr>
        <w:t>，</w:t>
      </w:r>
      <w:r>
        <w:rPr>
          <w:rFonts w:hint="eastAsia"/>
          <w:lang w:val="en-US" w:eastAsia="zh-CN"/>
        </w:rPr>
        <w:t>累计完成森林质量精准提升7.2万亩，森林覆盖率由45.63%提高至46.08%，自然保护地整合优化为10个，成功创建广东开平孔雀湖国家湿地公园</w:t>
      </w:r>
      <w:r>
        <w:rPr>
          <w:rFonts w:hint="eastAsia"/>
          <w:lang w:eastAsia="zh-CN"/>
        </w:rPr>
        <w:t>，</w:t>
      </w:r>
      <w:r>
        <w:rPr>
          <w:rFonts w:hint="eastAsia"/>
          <w:lang w:val="en-US" w:eastAsia="zh-CN"/>
        </w:rPr>
        <w:t>获评全国“两山”实践优秀城市</w:t>
      </w:r>
      <w:r>
        <w:rPr>
          <w:rFonts w:hint="eastAsia"/>
        </w:rPr>
        <w:t>，入选省</w:t>
      </w:r>
      <w:r>
        <w:rPr>
          <w:rFonts w:hint="eastAsia"/>
          <w:lang w:val="en-US" w:eastAsia="zh-CN"/>
        </w:rPr>
        <w:t>首</w:t>
      </w:r>
      <w:r>
        <w:rPr>
          <w:rFonts w:hint="eastAsia"/>
        </w:rPr>
        <w:t>批碳达峰碳中和试点城市</w:t>
      </w:r>
      <w:r>
        <w:rPr>
          <w:rFonts w:hint="eastAsia"/>
          <w:lang w:eastAsia="zh-CN"/>
        </w:rPr>
        <w:t>。</w:t>
      </w:r>
    </w:p>
    <w:p w14:paraId="52890025">
      <w:pPr>
        <w:bidi w:val="0"/>
        <w:rPr>
          <w:rFonts w:hint="eastAsia"/>
        </w:rPr>
      </w:pPr>
      <w:bookmarkStart w:id="12" w:name="_Toc29153"/>
      <w:bookmarkStart w:id="13" w:name="_Toc9790"/>
      <w:bookmarkStart w:id="14" w:name="_Toc6605"/>
      <w:r>
        <w:rPr>
          <w:rFonts w:hint="eastAsia"/>
          <w:b/>
          <w:bCs/>
          <w:lang w:val="en-US" w:eastAsia="zh-CN"/>
        </w:rPr>
        <w:t>民生福祉持续改善</w:t>
      </w:r>
      <w:bookmarkEnd w:id="12"/>
      <w:bookmarkEnd w:id="13"/>
      <w:bookmarkEnd w:id="14"/>
      <w:r>
        <w:rPr>
          <w:rFonts w:hint="eastAsia"/>
          <w:b/>
          <w:bCs/>
          <w:lang w:val="en-US" w:eastAsia="zh-CN"/>
        </w:rPr>
        <w:t>，</w:t>
      </w:r>
      <w:r>
        <w:rPr>
          <w:rFonts w:hint="eastAsia"/>
          <w:lang w:val="en-US" w:eastAsia="zh-CN"/>
        </w:rPr>
        <w:t>每年超八成财政支出用于民生领域</w:t>
      </w:r>
      <w:r>
        <w:rPr>
          <w:rFonts w:hint="eastAsia"/>
          <w:lang w:eastAsia="zh-CN"/>
        </w:rPr>
        <w:t>，</w:t>
      </w:r>
      <w:r>
        <w:rPr>
          <w:rFonts w:hint="eastAsia"/>
          <w:lang w:val="en-US" w:eastAsia="zh-CN"/>
        </w:rPr>
        <w:t>累计新增城镇就业3.63万人，</w:t>
      </w:r>
      <w:r>
        <w:rPr>
          <w:rFonts w:hint="default"/>
          <w:lang w:val="en-US" w:eastAsia="zh-CN"/>
        </w:rPr>
        <w:t>每千人拥有3岁以下婴幼儿托育位数</w:t>
      </w:r>
      <w:r>
        <w:rPr>
          <w:rFonts w:hint="eastAsia"/>
          <w:lang w:val="en-US" w:eastAsia="zh-CN"/>
        </w:rPr>
        <w:t>由1个提高至5.5个</w:t>
      </w:r>
      <w:r>
        <w:rPr>
          <w:rFonts w:hint="eastAsia"/>
          <w:lang w:eastAsia="zh-CN"/>
        </w:rPr>
        <w:t>，</w:t>
      </w:r>
      <w:r>
        <w:rPr>
          <w:rFonts w:hint="eastAsia"/>
          <w:lang w:val="en-US" w:eastAsia="zh-CN"/>
        </w:rPr>
        <w:t>新增义务教育公办学位7000余个，</w:t>
      </w:r>
      <w:r>
        <w:rPr>
          <w:rFonts w:hint="eastAsia"/>
          <w:b w:val="0"/>
          <w:bCs w:val="0"/>
          <w:color w:val="000000" w:themeColor="text1"/>
          <w:highlight w:val="none"/>
          <w:lang w:val="en-US" w:eastAsia="zh-CN"/>
          <w14:textFill>
            <w14:solidFill>
              <w14:schemeClr w14:val="tx1"/>
            </w14:solidFill>
          </w14:textFill>
        </w:rPr>
        <w:t>居民人均预期寿命提高至81.1岁</w:t>
      </w:r>
      <w:r>
        <w:rPr>
          <w:rFonts w:hint="eastAsia"/>
          <w:lang w:val="en-US" w:eastAsia="zh-CN"/>
        </w:rPr>
        <w:t>，获评广东省卫生城市、广东省健康县（市、区）。</w:t>
      </w:r>
    </w:p>
    <w:p w14:paraId="30AE9306">
      <w:pPr>
        <w:bidi w:val="0"/>
        <w:rPr>
          <w:rFonts w:hint="eastAsia"/>
          <w:lang w:val="en-US" w:eastAsia="zh-CN"/>
        </w:rPr>
      </w:pPr>
      <w:bookmarkStart w:id="15" w:name="_Toc8720"/>
      <w:bookmarkStart w:id="16" w:name="_Toc26976"/>
      <w:bookmarkStart w:id="17" w:name="_Toc27066"/>
      <w:r>
        <w:rPr>
          <w:rFonts w:hint="eastAsia"/>
          <w:b/>
          <w:bCs/>
          <w:lang w:val="en-US" w:eastAsia="zh-CN"/>
        </w:rPr>
        <w:t>安全保障水平提升</w:t>
      </w:r>
      <w:bookmarkEnd w:id="15"/>
      <w:bookmarkEnd w:id="16"/>
      <w:bookmarkEnd w:id="17"/>
      <w:r>
        <w:rPr>
          <w:rFonts w:hint="eastAsia"/>
          <w:b/>
          <w:bCs/>
          <w:lang w:val="en-US" w:eastAsia="zh-CN"/>
        </w:rPr>
        <w:t>，</w:t>
      </w:r>
      <w:r>
        <w:rPr>
          <w:rFonts w:hint="eastAsia"/>
        </w:rPr>
        <w:t>累计建成高标准农田45.52万亩</w:t>
      </w:r>
      <w:r>
        <w:rPr>
          <w:rFonts w:hint="eastAsia"/>
          <w:lang w:eastAsia="zh-CN"/>
        </w:rPr>
        <w:t>，</w:t>
      </w:r>
      <w:r>
        <w:rPr>
          <w:rFonts w:hint="eastAsia"/>
        </w:rPr>
        <w:t>粮食</w:t>
      </w:r>
      <w:r>
        <w:rPr>
          <w:rFonts w:hint="eastAsia"/>
          <w:lang w:val="en-US" w:eastAsia="zh-CN"/>
        </w:rPr>
        <w:t>总</w:t>
      </w:r>
      <w:r>
        <w:rPr>
          <w:rFonts w:hint="eastAsia"/>
        </w:rPr>
        <w:t>产量</w:t>
      </w:r>
      <w:r>
        <w:rPr>
          <w:rFonts w:hint="eastAsia"/>
          <w:lang w:val="en-US" w:eastAsia="zh-CN"/>
        </w:rPr>
        <w:t>达24万吨，</w:t>
      </w:r>
      <w:r>
        <w:rPr>
          <w:rFonts w:hint="eastAsia"/>
          <w:lang w:eastAsia="zh-CN"/>
        </w:rPr>
        <w:t>电源装机容量</w:t>
      </w:r>
      <w:r>
        <w:rPr>
          <w:rFonts w:hint="eastAsia"/>
          <w:lang w:val="en-US" w:eastAsia="zh-CN"/>
        </w:rPr>
        <w:t>达</w:t>
      </w:r>
      <w:r>
        <w:rPr>
          <w:rFonts w:hint="eastAsia"/>
          <w:b w:val="0"/>
          <w:bCs w:val="0"/>
          <w:color w:val="000000" w:themeColor="text1"/>
          <w:highlight w:val="none"/>
          <w:lang w:val="en-US" w:eastAsia="zh-CN"/>
          <w14:textFill>
            <w14:solidFill>
              <w14:schemeClr w14:val="tx1"/>
            </w14:solidFill>
          </w14:textFill>
        </w:rPr>
        <w:t>107.1</w:t>
      </w:r>
      <w:r>
        <w:rPr>
          <w:rFonts w:hint="eastAsia"/>
          <w:lang w:eastAsia="zh-CN"/>
        </w:rPr>
        <w:t>万千瓦；</w:t>
      </w:r>
      <w:r>
        <w:rPr>
          <w:rFonts w:hint="eastAsia" w:ascii="Times New Roman" w:hAnsi="Times New Roman"/>
          <w:b w:val="0"/>
          <w:bCs w:val="0"/>
          <w:color w:val="000000" w:themeColor="text1"/>
          <w:highlight w:val="none"/>
          <w:lang w:eastAsia="zh-CN"/>
          <w14:textFill>
            <w14:solidFill>
              <w14:schemeClr w14:val="tx1"/>
            </w14:solidFill>
          </w14:textFill>
        </w:rPr>
        <w:t>重点领域风险有效化解</w:t>
      </w:r>
      <w:r>
        <w:rPr>
          <w:rFonts w:hint="eastAsia"/>
          <w:b w:val="0"/>
          <w:bCs w:val="0"/>
          <w:color w:val="000000" w:themeColor="text1"/>
          <w:highlight w:val="none"/>
          <w:lang w:eastAsia="zh-CN"/>
          <w14:textFill>
            <w14:solidFill>
              <w14:schemeClr w14:val="tx1"/>
            </w14:solidFill>
          </w14:textFill>
        </w:rPr>
        <w:t>，</w:t>
      </w:r>
      <w:r>
        <w:rPr>
          <w:rFonts w:hint="eastAsia"/>
          <w:b w:val="0"/>
          <w:bCs w:val="0"/>
          <w:color w:val="000000" w:themeColor="text1"/>
          <w:highlight w:val="none"/>
          <w:lang w:val="en-US" w:eastAsia="zh-CN"/>
          <w14:textFill>
            <w14:solidFill>
              <w14:schemeClr w14:val="tx1"/>
            </w14:solidFill>
          </w14:textFill>
        </w:rPr>
        <w:t>有效处置</w:t>
      </w:r>
      <w:r>
        <w:rPr>
          <w:rFonts w:hint="eastAsia" w:ascii="Times New Roman" w:hAnsi="Times New Roman"/>
          <w:b w:val="0"/>
          <w:bCs w:val="0"/>
          <w:color w:val="000000" w:themeColor="text1"/>
          <w:highlight w:val="none"/>
          <w:lang w:val="en-US" w:eastAsia="zh-CN"/>
          <w14:textFill>
            <w14:solidFill>
              <w14:schemeClr w14:val="tx1"/>
            </w14:solidFill>
          </w14:textFill>
        </w:rPr>
        <w:t>新冠、基孔肯雅热疫情</w:t>
      </w:r>
      <w:r>
        <w:rPr>
          <w:rFonts w:hint="eastAsia"/>
          <w:b w:val="0"/>
          <w:bCs w:val="0"/>
          <w:color w:val="000000" w:themeColor="text1"/>
          <w:highlight w:val="none"/>
          <w:lang w:val="en-US" w:eastAsia="zh-CN"/>
          <w14:textFill>
            <w14:solidFill>
              <w14:schemeClr w14:val="tx1"/>
            </w14:solidFill>
          </w14:textFill>
        </w:rPr>
        <w:t>等突发公共卫生事件</w:t>
      </w:r>
      <w:r>
        <w:rPr>
          <w:rFonts w:hint="eastAsia"/>
        </w:rPr>
        <w:t>，</w:t>
      </w:r>
      <w:r>
        <w:rPr>
          <w:rFonts w:hint="eastAsia" w:ascii="Times New Roman" w:hAnsi="Times New Roman" w:eastAsia="仿宋_GB2312"/>
          <w:b w:val="0"/>
          <w:bCs w:val="0"/>
          <w:color w:val="000000" w:themeColor="text1"/>
          <w:highlight w:val="none"/>
          <w:lang w:val="en-US" w:eastAsia="zh-CN"/>
          <w14:textFill>
            <w14:solidFill>
              <w14:schemeClr w14:val="tx1"/>
            </w14:solidFill>
          </w14:textFill>
        </w:rPr>
        <w:t>平安</w:t>
      </w:r>
      <w:r>
        <w:rPr>
          <w:rFonts w:hint="eastAsia" w:ascii="Times New Roman" w:hAnsi="Times New Roman"/>
          <w:b w:val="0"/>
          <w:bCs w:val="0"/>
          <w:color w:val="000000" w:themeColor="text1"/>
          <w:highlight w:val="none"/>
          <w:lang w:val="en-US" w:eastAsia="zh-CN"/>
          <w14:textFill>
            <w14:solidFill>
              <w14:schemeClr w14:val="tx1"/>
            </w14:solidFill>
          </w14:textFill>
        </w:rPr>
        <w:t>开平</w:t>
      </w:r>
      <w:r>
        <w:rPr>
          <w:rFonts w:hint="eastAsia" w:ascii="Times New Roman" w:hAnsi="Times New Roman" w:eastAsia="仿宋_GB2312"/>
          <w:b w:val="0"/>
          <w:bCs w:val="0"/>
          <w:color w:val="000000" w:themeColor="text1"/>
          <w:highlight w:val="none"/>
          <w:lang w:val="en-US" w:eastAsia="zh-CN"/>
          <w14:textFill>
            <w14:solidFill>
              <w14:schemeClr w14:val="tx1"/>
            </w14:solidFill>
          </w14:textFill>
        </w:rPr>
        <w:t>建设有力</w:t>
      </w:r>
      <w:r>
        <w:rPr>
          <w:rFonts w:hint="eastAsia" w:ascii="Times New Roman" w:hAnsi="Times New Roman"/>
          <w:b w:val="0"/>
          <w:bCs w:val="0"/>
          <w:color w:val="000000" w:themeColor="text1"/>
          <w:highlight w:val="none"/>
          <w:lang w:val="en-US" w:eastAsia="zh-CN"/>
          <w14:textFill>
            <w14:solidFill>
              <w14:schemeClr w14:val="tx1"/>
            </w14:solidFill>
          </w14:textFill>
        </w:rPr>
        <w:t>，</w:t>
      </w:r>
      <w:r>
        <w:rPr>
          <w:rFonts w:hint="eastAsia"/>
        </w:rPr>
        <w:t>社会大局平安稳定</w:t>
      </w:r>
      <w:r>
        <w:rPr>
          <w:rFonts w:hint="eastAsia"/>
          <w:lang w:eastAsia="zh-CN"/>
        </w:rPr>
        <w:t>；</w:t>
      </w:r>
      <w:r>
        <w:rPr>
          <w:rFonts w:hint="eastAsia"/>
          <w:lang w:val="en-US" w:eastAsia="zh-CN"/>
        </w:rPr>
        <w:t>获评广东省</w:t>
      </w:r>
      <w:r>
        <w:rPr>
          <w:rFonts w:hint="eastAsia"/>
          <w:lang w:eastAsia="zh-CN"/>
        </w:rPr>
        <w:t>食品安全示范城市。</w:t>
      </w:r>
    </w:p>
    <w:p w14:paraId="4C5D77FE">
      <w:pPr>
        <w:pStyle w:val="2"/>
        <w:bidi w:val="0"/>
        <w:rPr>
          <w:rFonts w:hint="eastAsia"/>
        </w:rPr>
      </w:pPr>
      <w:r>
        <w:rPr>
          <w:rFonts w:hint="eastAsia"/>
        </w:rPr>
        <w:t>二、“十五五”发展指导</w:t>
      </w:r>
      <w:r>
        <w:rPr>
          <w:rFonts w:hint="eastAsia"/>
          <w:lang w:val="en-US" w:eastAsia="zh-CN"/>
        </w:rPr>
        <w:t>方针</w:t>
      </w:r>
      <w:r>
        <w:rPr>
          <w:rFonts w:hint="eastAsia"/>
        </w:rPr>
        <w:t>和主要目标指标</w:t>
      </w:r>
    </w:p>
    <w:p w14:paraId="29C09998">
      <w:pPr>
        <w:pStyle w:val="3"/>
        <w:bidi w:val="0"/>
        <w:rPr>
          <w:rFonts w:hint="eastAsia"/>
          <w:lang w:eastAsia="zh-CN"/>
        </w:rPr>
      </w:pPr>
      <w:r>
        <w:rPr>
          <w:rFonts w:hint="eastAsia"/>
        </w:rPr>
        <w:t>（一）指导</w:t>
      </w:r>
      <w:r>
        <w:rPr>
          <w:rFonts w:hint="eastAsia"/>
          <w:lang w:val="en-US" w:eastAsia="zh-CN"/>
        </w:rPr>
        <w:t>方针</w:t>
      </w:r>
    </w:p>
    <w:p w14:paraId="4380FC65">
      <w:pPr>
        <w:bidi w:val="0"/>
        <w:rPr>
          <w:rFonts w:hint="eastAsia"/>
        </w:rPr>
      </w:pPr>
      <w:r>
        <w:rPr>
          <w:rFonts w:hint="eastAsia"/>
          <w:b/>
          <w:bCs/>
        </w:rPr>
        <w:t>指导思想。</w:t>
      </w:r>
      <w:r>
        <w:rPr>
          <w:rFonts w:hint="eastAsia" w:ascii="Times New Roman" w:hAnsi="Times New Roman"/>
          <w:color w:val="000000" w:themeColor="text1"/>
          <w:highlight w:val="none"/>
          <w:lang w:val="en-US" w:eastAsia="zh-CN"/>
          <w14:textFill>
            <w14:solidFill>
              <w14:schemeClr w14:val="tx1"/>
            </w14:solidFill>
          </w14:textFill>
        </w:rPr>
        <w:t>坚持以经济建设为中心，以推动高质量发展为主题，以进一步全面深化改革、发展新质生产力为主线，以改革开放创新为根本动力，以增进人民福祉和促进人的全面发展为根本目的</w:t>
      </w:r>
      <w:r>
        <w:rPr>
          <w:rFonts w:hint="eastAsia"/>
        </w:rPr>
        <w:t>，以全面从严治党为根本保障</w:t>
      </w:r>
      <w:r>
        <w:rPr>
          <w:rFonts w:hint="eastAsia" w:ascii="Times New Roman" w:hAnsi="Times New Roman"/>
          <w:color w:val="000000" w:themeColor="text1"/>
          <w:highlight w:val="none"/>
          <w:lang w:val="en-US" w:eastAsia="zh-CN"/>
          <w14:textFill>
            <w14:solidFill>
              <w14:schemeClr w14:val="tx1"/>
            </w14:solidFill>
          </w14:textFill>
        </w:rPr>
        <w:t>，坚持工业立市、制造兴市、创新强市、惠民富市，深化实施市委“六大行动”，以“再造一个现代化新开平”的奋进姿态，着力稳增长、调结构、防风险、惠民生，奋力打造科创引领制造强市、农文旅融合示范区、宜居宜业美丽侨乡，不断塑造高质量发展新动能新优势，推动经济实现质的有效提升和量的合理增长，推动人的全面发展、全体人民共同富裕迈出坚实步伐，确保基本实现社会主义现代化取得决定性进展。</w:t>
      </w:r>
    </w:p>
    <w:p w14:paraId="26391225">
      <w:pPr>
        <w:bidi w:val="0"/>
        <w:rPr>
          <w:rFonts w:hint="eastAsia"/>
        </w:rPr>
      </w:pPr>
      <w:r>
        <w:rPr>
          <w:rFonts w:hint="eastAsia"/>
          <w:b/>
          <w:bCs/>
        </w:rPr>
        <w:t>基本</w:t>
      </w:r>
      <w:r>
        <w:rPr>
          <w:rFonts w:hint="eastAsia"/>
          <w:b/>
          <w:bCs/>
          <w:lang w:val="en-US" w:eastAsia="zh-CN"/>
        </w:rPr>
        <w:t>原则</w:t>
      </w:r>
      <w:r>
        <w:rPr>
          <w:rFonts w:hint="eastAsia"/>
          <w:b/>
          <w:bCs/>
        </w:rPr>
        <w:t>。</w:t>
      </w:r>
      <w:r>
        <w:rPr>
          <w:rFonts w:hint="eastAsia"/>
        </w:rPr>
        <w:t>严格遵循坚持党的全面领导、坚持人民至上、坚持高质量发展、坚持全面深化改革、坚持有效市场和有为政府相结合、坚持统筹发展和安全等重大原则。</w:t>
      </w:r>
    </w:p>
    <w:p w14:paraId="27D15D47">
      <w:pPr>
        <w:pStyle w:val="3"/>
        <w:bidi w:val="0"/>
        <w:rPr>
          <w:rFonts w:hint="eastAsia"/>
        </w:rPr>
      </w:pPr>
      <w:r>
        <w:rPr>
          <w:rFonts w:hint="eastAsia"/>
        </w:rPr>
        <w:t>（二）主要目标</w:t>
      </w:r>
    </w:p>
    <w:p w14:paraId="3B0E719E">
      <w:pPr>
        <w:bidi w:val="0"/>
        <w:rPr>
          <w:rFonts w:hint="eastAsia"/>
          <w:lang w:val="en-US" w:eastAsia="zh-CN"/>
        </w:rPr>
      </w:pPr>
      <w:r>
        <w:rPr>
          <w:rFonts w:hint="eastAsia"/>
          <w:lang w:val="en-US" w:eastAsia="zh-CN"/>
        </w:rPr>
        <w:t>锚定基本实现社会主义现代化目标要求和“再造一个现代化新开平”总目标，“十五五”时期重点推动实现</w:t>
      </w:r>
      <w:bookmarkStart w:id="18" w:name="_Toc32587"/>
      <w:r>
        <w:rPr>
          <w:rFonts w:hint="eastAsia"/>
          <w:lang w:val="en-US" w:eastAsia="zh-CN"/>
        </w:rPr>
        <w:t>八个方面主要目标：高质量发展迈上新台阶</w:t>
      </w:r>
      <w:bookmarkEnd w:id="18"/>
      <w:r>
        <w:rPr>
          <w:rFonts w:hint="eastAsia"/>
          <w:lang w:val="en-US" w:eastAsia="zh-CN"/>
        </w:rPr>
        <w:t>，</w:t>
      </w:r>
      <w:bookmarkStart w:id="19" w:name="_Toc19784"/>
      <w:r>
        <w:rPr>
          <w:rFonts w:hint="eastAsia"/>
          <w:lang w:val="en-US" w:eastAsia="zh-CN"/>
        </w:rPr>
        <w:t>现代化产业体系建设取得新进展</w:t>
      </w:r>
      <w:bookmarkEnd w:id="19"/>
      <w:r>
        <w:rPr>
          <w:rFonts w:hint="eastAsia"/>
          <w:lang w:val="en-US" w:eastAsia="zh-CN"/>
        </w:rPr>
        <w:t>，</w:t>
      </w:r>
      <w:bookmarkStart w:id="20" w:name="_Toc11333"/>
      <w:r>
        <w:rPr>
          <w:rFonts w:hint="eastAsia"/>
          <w:lang w:val="en-US" w:eastAsia="zh-CN"/>
        </w:rPr>
        <w:t>城乡区域协调发展取得新成效</w:t>
      </w:r>
      <w:bookmarkEnd w:id="20"/>
      <w:r>
        <w:rPr>
          <w:rFonts w:hint="eastAsia"/>
          <w:lang w:val="en-US" w:eastAsia="zh-CN"/>
        </w:rPr>
        <w:t>，</w:t>
      </w:r>
      <w:bookmarkStart w:id="21" w:name="_Toc12018"/>
      <w:r>
        <w:rPr>
          <w:rFonts w:hint="eastAsia"/>
          <w:lang w:val="en-US" w:eastAsia="zh-CN"/>
        </w:rPr>
        <w:t>进一步全面深化改革实现新突破</w:t>
      </w:r>
      <w:bookmarkEnd w:id="21"/>
      <w:r>
        <w:rPr>
          <w:rFonts w:hint="eastAsia"/>
          <w:lang w:val="en-US" w:eastAsia="zh-CN"/>
        </w:rPr>
        <w:t>，社会文明程度明显提升，人民生活品质实现新发展，</w:t>
      </w:r>
      <w:bookmarkStart w:id="22" w:name="_Toc23416"/>
      <w:r>
        <w:rPr>
          <w:rFonts w:hint="eastAsia"/>
          <w:lang w:val="en-US" w:eastAsia="zh-CN"/>
        </w:rPr>
        <w:t>绿美开平建设取得新成果</w:t>
      </w:r>
      <w:bookmarkEnd w:id="22"/>
      <w:r>
        <w:rPr>
          <w:rFonts w:hint="eastAsia"/>
          <w:lang w:val="en-US" w:eastAsia="zh-CN"/>
        </w:rPr>
        <w:t>，</w:t>
      </w:r>
      <w:bookmarkStart w:id="23" w:name="_Toc32679"/>
      <w:r>
        <w:rPr>
          <w:rFonts w:hint="eastAsia"/>
          <w:lang w:val="en-US" w:eastAsia="zh-CN"/>
        </w:rPr>
        <w:t>安全保障能力得到新提升</w:t>
      </w:r>
      <w:bookmarkEnd w:id="23"/>
      <w:r>
        <w:rPr>
          <w:rFonts w:hint="eastAsia"/>
          <w:lang w:val="en-US" w:eastAsia="zh-CN"/>
        </w:rPr>
        <w:t>。</w:t>
      </w:r>
    </w:p>
    <w:p w14:paraId="48D37B4E">
      <w:pPr>
        <w:bidi w:val="0"/>
        <w:rPr>
          <w:rFonts w:hint="eastAsia"/>
          <w:lang w:val="en-US" w:eastAsia="zh-CN"/>
        </w:rPr>
      </w:pPr>
      <w:r>
        <w:rPr>
          <w:rFonts w:hint="eastAsia"/>
          <w:lang w:val="en-US" w:eastAsia="zh-CN"/>
        </w:rPr>
        <w:t>展望到2035年，基本实现社会主义现代化、建成一个现代化的新开平，经济实力、科技实力、综合实力迈上新台阶，经济总量冲刺千亿元级，人均地区生产总值达到全国平均水平，人民群众生活更加幸福美好。</w:t>
      </w:r>
    </w:p>
    <w:p w14:paraId="09DE8E69">
      <w:pPr>
        <w:pStyle w:val="3"/>
        <w:bidi w:val="0"/>
        <w:rPr>
          <w:rFonts w:hint="eastAsia"/>
        </w:rPr>
      </w:pPr>
      <w:r>
        <w:rPr>
          <w:rFonts w:hint="eastAsia"/>
        </w:rPr>
        <w:t>（三）主要指标</w:t>
      </w:r>
    </w:p>
    <w:p w14:paraId="064946FB">
      <w:pPr>
        <w:bidi w:val="0"/>
        <w:rPr>
          <w:rFonts w:hint="eastAsia"/>
          <w:color w:val="auto"/>
        </w:rPr>
      </w:pPr>
      <w:r>
        <w:rPr>
          <w:rFonts w:hint="eastAsia"/>
          <w:color w:val="auto"/>
        </w:rPr>
        <w:t>《规划纲要》设置了经济发展、创新</w:t>
      </w:r>
      <w:r>
        <w:rPr>
          <w:rFonts w:hint="eastAsia"/>
          <w:color w:val="auto"/>
          <w:lang w:val="en-US" w:eastAsia="zh-CN"/>
        </w:rPr>
        <w:t>驱动</w:t>
      </w:r>
      <w:r>
        <w:rPr>
          <w:rFonts w:hint="eastAsia"/>
          <w:color w:val="auto"/>
        </w:rPr>
        <w:t>、民生福祉、</w:t>
      </w:r>
      <w:r>
        <w:rPr>
          <w:rFonts w:hint="eastAsia"/>
          <w:color w:val="auto"/>
          <w:lang w:val="en-US" w:eastAsia="zh-CN"/>
        </w:rPr>
        <w:t>城乡区域</w:t>
      </w:r>
      <w:r>
        <w:rPr>
          <w:rFonts w:hint="eastAsia"/>
          <w:color w:val="auto"/>
        </w:rPr>
        <w:t>、绿色低碳、安全保障6方面2</w:t>
      </w:r>
      <w:r>
        <w:rPr>
          <w:rFonts w:hint="eastAsia"/>
          <w:color w:val="auto"/>
          <w:lang w:val="en-US" w:eastAsia="zh-CN"/>
        </w:rPr>
        <w:t>5</w:t>
      </w:r>
      <w:r>
        <w:rPr>
          <w:rFonts w:hint="eastAsia"/>
          <w:color w:val="auto"/>
        </w:rPr>
        <w:t>项主要指标，其中：地区生产总值年均增长</w:t>
      </w:r>
      <w:r>
        <w:rPr>
          <w:rFonts w:hint="eastAsia"/>
          <w:color w:val="auto"/>
          <w:lang w:val="en-US" w:eastAsia="zh-CN"/>
        </w:rPr>
        <w:t>6</w:t>
      </w:r>
      <w:r>
        <w:rPr>
          <w:rFonts w:hint="eastAsia"/>
          <w:color w:val="auto"/>
        </w:rPr>
        <w:t>%、全员劳动生产率年均</w:t>
      </w:r>
      <w:r>
        <w:rPr>
          <w:rFonts w:hint="eastAsia"/>
          <w:color w:val="auto"/>
          <w:lang w:val="en-US" w:eastAsia="zh-CN"/>
        </w:rPr>
        <w:t>增长4.6%、规模以上工业总产值达到800亿元、建筑业总产值达到350亿元、年旅游总收入达到120亿元</w:t>
      </w:r>
      <w:r>
        <w:rPr>
          <w:rFonts w:hint="eastAsia"/>
          <w:color w:val="auto"/>
        </w:rPr>
        <w:t>；</w:t>
      </w:r>
      <w:r>
        <w:rPr>
          <w:rFonts w:hint="default"/>
          <w:color w:val="auto"/>
        </w:rPr>
        <w:t>全社会研发经费投入</w:t>
      </w:r>
      <w:r>
        <w:rPr>
          <w:rFonts w:hint="eastAsia"/>
          <w:color w:val="auto"/>
          <w:lang w:val="en-US" w:eastAsia="zh-CN"/>
        </w:rPr>
        <w:t>年均增长5%左右</w:t>
      </w:r>
      <w:r>
        <w:rPr>
          <w:rFonts w:hint="eastAsia"/>
          <w:color w:val="auto"/>
          <w:lang w:eastAsia="zh-CN"/>
        </w:rPr>
        <w:t>、</w:t>
      </w:r>
      <w:r>
        <w:rPr>
          <w:rFonts w:hint="eastAsia"/>
          <w:color w:val="auto"/>
        </w:rPr>
        <w:t>每万人口高价值发明专利拥有量提升至</w:t>
      </w:r>
      <w:r>
        <w:rPr>
          <w:rFonts w:hint="eastAsia"/>
          <w:color w:val="auto"/>
          <w:lang w:val="en-US" w:eastAsia="zh-CN"/>
        </w:rPr>
        <w:t>4</w:t>
      </w:r>
      <w:r>
        <w:rPr>
          <w:rFonts w:hint="eastAsia"/>
          <w:color w:val="auto"/>
        </w:rPr>
        <w:t>件</w:t>
      </w:r>
      <w:r>
        <w:rPr>
          <w:rFonts w:hint="eastAsia"/>
          <w:color w:val="auto"/>
          <w:lang w:eastAsia="zh-CN"/>
        </w:rPr>
        <w:t>、</w:t>
      </w:r>
      <w:r>
        <w:rPr>
          <w:rFonts w:hint="default"/>
          <w:color w:val="auto"/>
        </w:rPr>
        <w:t>高新技术企业数量</w:t>
      </w:r>
      <w:r>
        <w:rPr>
          <w:rFonts w:hint="eastAsia"/>
          <w:color w:val="auto"/>
          <w:lang w:val="en-US" w:eastAsia="zh-CN"/>
        </w:rPr>
        <w:t>突破200</w:t>
      </w:r>
      <w:r>
        <w:rPr>
          <w:rFonts w:hint="default"/>
          <w:color w:val="auto"/>
        </w:rPr>
        <w:t>家</w:t>
      </w:r>
      <w:r>
        <w:rPr>
          <w:rFonts w:hint="eastAsia"/>
          <w:color w:val="auto"/>
        </w:rPr>
        <w:t>；</w:t>
      </w:r>
      <w:r>
        <w:rPr>
          <w:rFonts w:hint="default"/>
          <w:color w:val="auto"/>
        </w:rPr>
        <w:t>居民人均可支配收入增长</w:t>
      </w:r>
      <w:r>
        <w:rPr>
          <w:rFonts w:hint="eastAsia"/>
          <w:color w:val="auto"/>
          <w:lang w:val="en-US" w:eastAsia="zh-CN"/>
        </w:rPr>
        <w:t>与经济增长同步，城镇新增就业人数累计3万人，</w:t>
      </w:r>
      <w:r>
        <w:rPr>
          <w:rFonts w:hint="default"/>
          <w:color w:val="auto"/>
        </w:rPr>
        <w:t>劳动年龄人口平均受教育年限</w:t>
      </w:r>
      <w:r>
        <w:rPr>
          <w:rFonts w:hint="eastAsia"/>
          <w:color w:val="auto"/>
          <w:lang w:val="en-US" w:eastAsia="zh-CN"/>
        </w:rPr>
        <w:t>提升至11.7年，每千人口拥有执业医师数增加到2.6人、注册护士增加到3.6人</w:t>
      </w:r>
      <w:r>
        <w:rPr>
          <w:rFonts w:hint="eastAsia"/>
          <w:color w:val="auto"/>
          <w:lang w:eastAsia="zh-CN"/>
        </w:rPr>
        <w:t>，</w:t>
      </w:r>
      <w:r>
        <w:rPr>
          <w:rFonts w:hint="eastAsia"/>
          <w:color w:val="auto"/>
          <w:lang w:val="en-US" w:eastAsia="zh-CN"/>
        </w:rPr>
        <w:t>养老机构</w:t>
      </w:r>
      <w:r>
        <w:rPr>
          <w:rFonts w:hint="default"/>
          <w:color w:val="auto"/>
        </w:rPr>
        <w:t>护理型床位</w:t>
      </w:r>
      <w:r>
        <w:rPr>
          <w:rFonts w:hint="eastAsia"/>
          <w:color w:val="auto"/>
          <w:lang w:val="en-US" w:eastAsia="zh-CN"/>
        </w:rPr>
        <w:t>占比不低于85%，村（社区）养老服务设施覆盖率不低于85%以上</w:t>
      </w:r>
      <w:r>
        <w:rPr>
          <w:rFonts w:hint="eastAsia"/>
          <w:color w:val="auto"/>
        </w:rPr>
        <w:t>，3岁以下婴幼儿入托率提升至</w:t>
      </w:r>
      <w:r>
        <w:rPr>
          <w:rFonts w:hint="eastAsia"/>
          <w:color w:val="auto"/>
          <w:lang w:val="en-US" w:eastAsia="zh-CN"/>
        </w:rPr>
        <w:t>6.5</w:t>
      </w:r>
      <w:r>
        <w:rPr>
          <w:rFonts w:hint="eastAsia"/>
          <w:color w:val="auto"/>
        </w:rPr>
        <w:t>%，人均预期寿命达8</w:t>
      </w:r>
      <w:r>
        <w:rPr>
          <w:rFonts w:hint="eastAsia"/>
          <w:color w:val="auto"/>
          <w:lang w:val="en-US" w:eastAsia="zh-CN"/>
        </w:rPr>
        <w:t>1.</w:t>
      </w:r>
      <w:r>
        <w:rPr>
          <w:rFonts w:hint="eastAsia"/>
          <w:color w:val="auto"/>
        </w:rPr>
        <w:t>5岁以上</w:t>
      </w:r>
      <w:r>
        <w:rPr>
          <w:rFonts w:hint="eastAsia"/>
          <w:color w:val="auto"/>
          <w:lang w:val="en-US" w:eastAsia="zh-CN"/>
        </w:rPr>
        <w:t>；</w:t>
      </w:r>
      <w:r>
        <w:rPr>
          <w:rFonts w:hint="default"/>
          <w:color w:val="auto"/>
        </w:rPr>
        <w:t>常住人口城镇化率</w:t>
      </w:r>
      <w:r>
        <w:rPr>
          <w:rFonts w:hint="eastAsia"/>
          <w:color w:val="auto"/>
          <w:lang w:val="en-US" w:eastAsia="zh-CN"/>
        </w:rPr>
        <w:t>提高至63%左右、</w:t>
      </w:r>
      <w:r>
        <w:rPr>
          <w:rFonts w:hint="eastAsia"/>
          <w:color w:val="auto"/>
        </w:rPr>
        <w:t>城乡居民人均可支配收入比</w:t>
      </w:r>
      <w:r>
        <w:rPr>
          <w:rFonts w:hint="eastAsia"/>
          <w:color w:val="auto"/>
          <w:lang w:val="en-US" w:eastAsia="zh-CN"/>
        </w:rPr>
        <w:t>缩小</w:t>
      </w:r>
      <w:r>
        <w:rPr>
          <w:rFonts w:hint="eastAsia"/>
          <w:color w:val="auto"/>
        </w:rPr>
        <w:t>至1.</w:t>
      </w:r>
      <w:r>
        <w:rPr>
          <w:rFonts w:hint="eastAsia"/>
          <w:color w:val="auto"/>
          <w:lang w:val="en-US" w:eastAsia="zh-CN"/>
        </w:rPr>
        <w:t>4左右</w:t>
      </w:r>
      <w:r>
        <w:rPr>
          <w:rFonts w:hint="eastAsia"/>
          <w:color w:val="auto"/>
        </w:rPr>
        <w:t>；单位地区生产总值二氧化碳排放降低</w:t>
      </w:r>
      <w:r>
        <w:rPr>
          <w:rFonts w:hint="eastAsia"/>
          <w:color w:val="auto"/>
          <w:lang w:eastAsia="zh-CN"/>
        </w:rPr>
        <w:t>、</w:t>
      </w:r>
      <w:r>
        <w:rPr>
          <w:rFonts w:hint="eastAsia"/>
          <w:color w:val="auto"/>
        </w:rPr>
        <w:t>非化石能源占能源消费总量比重</w:t>
      </w:r>
      <w:r>
        <w:rPr>
          <w:rFonts w:hint="eastAsia"/>
          <w:color w:val="auto"/>
          <w:lang w:eastAsia="zh-CN"/>
        </w:rPr>
        <w:t>、</w:t>
      </w:r>
      <w:r>
        <w:rPr>
          <w:rFonts w:hint="eastAsia"/>
          <w:color w:val="auto"/>
        </w:rPr>
        <w:t>细颗粒物（PM</w:t>
      </w:r>
      <w:r>
        <w:rPr>
          <w:rFonts w:hint="eastAsia"/>
          <w:color w:val="auto"/>
          <w:vertAlign w:val="subscript"/>
        </w:rPr>
        <w:t>2.5</w:t>
      </w:r>
      <w:r>
        <w:rPr>
          <w:rFonts w:hint="eastAsia"/>
          <w:color w:val="auto"/>
        </w:rPr>
        <w:t>）浓度</w:t>
      </w:r>
      <w:r>
        <w:rPr>
          <w:rFonts w:hint="eastAsia"/>
          <w:color w:val="auto"/>
          <w:lang w:eastAsia="zh-CN"/>
        </w:rPr>
        <w:t>、</w:t>
      </w:r>
      <w:r>
        <w:rPr>
          <w:rFonts w:hint="eastAsia"/>
          <w:color w:val="auto"/>
        </w:rPr>
        <w:t>优良水体比例</w:t>
      </w:r>
      <w:r>
        <w:rPr>
          <w:rFonts w:hint="eastAsia"/>
          <w:color w:val="auto"/>
          <w:lang w:eastAsia="zh-CN"/>
        </w:rPr>
        <w:t>、</w:t>
      </w:r>
      <w:r>
        <w:rPr>
          <w:rFonts w:hint="default"/>
          <w:color w:val="auto"/>
        </w:rPr>
        <w:t>森林覆盖率</w:t>
      </w:r>
      <w:r>
        <w:rPr>
          <w:rFonts w:hint="eastAsia"/>
          <w:color w:val="auto"/>
          <w:lang w:val="en-US" w:eastAsia="zh-CN"/>
        </w:rPr>
        <w:t>等指标顺利完成上级下达任务</w:t>
      </w:r>
      <w:r>
        <w:rPr>
          <w:rFonts w:hint="eastAsia"/>
          <w:color w:val="auto"/>
        </w:rPr>
        <w:t>；</w:t>
      </w:r>
      <w:r>
        <w:rPr>
          <w:rFonts w:hint="default"/>
          <w:color w:val="auto"/>
        </w:rPr>
        <w:t>粮食综合生产能力</w:t>
      </w:r>
      <w:r>
        <w:rPr>
          <w:rFonts w:hint="eastAsia"/>
          <w:color w:val="auto"/>
          <w:lang w:val="en-US" w:eastAsia="zh-CN"/>
        </w:rPr>
        <w:t>保持在24万吨以上、</w:t>
      </w:r>
      <w:r>
        <w:rPr>
          <w:rFonts w:hint="default"/>
          <w:color w:val="auto"/>
        </w:rPr>
        <w:t>能源综合生产能力</w:t>
      </w:r>
      <w:r>
        <w:rPr>
          <w:rFonts w:hint="eastAsia"/>
          <w:color w:val="auto"/>
        </w:rPr>
        <w:t>提升至</w:t>
      </w:r>
      <w:r>
        <w:rPr>
          <w:rFonts w:hint="eastAsia"/>
          <w:color w:val="auto"/>
          <w:lang w:val="en-US" w:eastAsia="zh-CN"/>
        </w:rPr>
        <w:t>30万</w:t>
      </w:r>
      <w:r>
        <w:rPr>
          <w:rFonts w:hint="default"/>
          <w:color w:val="auto"/>
        </w:rPr>
        <w:t>吨标准煤</w:t>
      </w:r>
      <w:r>
        <w:rPr>
          <w:rFonts w:hint="eastAsia"/>
          <w:color w:val="auto"/>
        </w:rPr>
        <w:t>。</w:t>
      </w:r>
    </w:p>
    <w:p w14:paraId="51D03622">
      <w:pPr>
        <w:pStyle w:val="2"/>
        <w:bidi w:val="0"/>
        <w:rPr>
          <w:rFonts w:hint="eastAsia"/>
        </w:rPr>
      </w:pPr>
      <w:r>
        <w:rPr>
          <w:rFonts w:hint="eastAsia"/>
        </w:rPr>
        <w:t>三、“十五五”发展主要任务举措</w:t>
      </w:r>
    </w:p>
    <w:p w14:paraId="156B6F8A">
      <w:pPr>
        <w:bidi w:val="0"/>
        <w:rPr>
          <w:rFonts w:hint="eastAsia"/>
        </w:rPr>
      </w:pPr>
      <w:r>
        <w:rPr>
          <w:rFonts w:hint="eastAsia"/>
        </w:rPr>
        <w:t>《规划纲要》系统部署了</w:t>
      </w:r>
      <w:r>
        <w:rPr>
          <w:rFonts w:hint="eastAsia"/>
          <w:lang w:val="en-US" w:eastAsia="zh-CN"/>
        </w:rPr>
        <w:t>十六</w:t>
      </w:r>
      <w:r>
        <w:rPr>
          <w:rFonts w:hint="eastAsia"/>
        </w:rPr>
        <w:t>个方面任务，全面覆盖经济社会发展重点领域和关键环节。</w:t>
      </w:r>
    </w:p>
    <w:p w14:paraId="02D631E3">
      <w:pPr>
        <w:bidi w:val="0"/>
        <w:rPr>
          <w:rFonts w:hint="eastAsia"/>
          <w:color w:val="auto"/>
          <w:highlight w:val="none"/>
          <w:lang w:val="en-US" w:eastAsia="zh-CN"/>
        </w:rPr>
      </w:pPr>
      <w:r>
        <w:rPr>
          <w:rFonts w:hint="eastAsia"/>
          <w:b/>
          <w:bCs/>
          <w:color w:val="auto"/>
          <w:highlight w:val="none"/>
          <w:lang w:val="en-US" w:eastAsia="zh-CN"/>
        </w:rPr>
        <w:t>一是融入湾区建设，</w:t>
      </w:r>
      <w:r>
        <w:rPr>
          <w:rFonts w:hint="eastAsia"/>
          <w:b w:val="0"/>
          <w:bCs w:val="0"/>
          <w:color w:val="auto"/>
          <w:highlight w:val="none"/>
          <w:lang w:val="en-US" w:eastAsia="zh-CN"/>
        </w:rPr>
        <w:t>通过</w:t>
      </w:r>
      <w:r>
        <w:rPr>
          <w:rFonts w:hint="eastAsia"/>
          <w:color w:val="auto"/>
          <w:highlight w:val="none"/>
          <w:lang w:val="en-US" w:eastAsia="zh-CN"/>
        </w:rPr>
        <w:t>强化基础设施“硬联通”、深化规则机制“软联通”、促进民生合作“心联通”、推进产业创新“深融通”，纵深推进新阶段粤港澳大湾区建设；通过广泛凝聚侨心侨力侨智，做好新时代“侨”文章；通过促进贸易投资转型，扩大高水平对外开放。</w:t>
      </w:r>
    </w:p>
    <w:p w14:paraId="04B6D35C">
      <w:pPr>
        <w:bidi w:val="0"/>
        <w:rPr>
          <w:rFonts w:hint="eastAsia"/>
          <w:b w:val="0"/>
          <w:bCs w:val="0"/>
          <w:color w:val="auto"/>
          <w:highlight w:val="none"/>
          <w:lang w:val="en-US" w:eastAsia="zh-CN"/>
        </w:rPr>
      </w:pPr>
      <w:r>
        <w:rPr>
          <w:rFonts w:hint="eastAsia"/>
          <w:b/>
          <w:bCs/>
          <w:color w:val="auto"/>
          <w:highlight w:val="none"/>
          <w:lang w:val="en-US" w:eastAsia="zh-CN"/>
        </w:rPr>
        <w:t>二是做强实体经济，</w:t>
      </w:r>
      <w:bookmarkStart w:id="24" w:name="_Toc31756"/>
      <w:r>
        <w:rPr>
          <w:rFonts w:hint="eastAsia"/>
          <w:b w:val="0"/>
          <w:bCs w:val="0"/>
          <w:color w:val="auto"/>
          <w:highlight w:val="none"/>
          <w:lang w:val="en-US" w:eastAsia="zh-CN"/>
        </w:rPr>
        <w:t>通过夯实制造业发展根基（三大传统产业、四大新兴产业、三大未来产业）、提升建筑业发展质效、</w:t>
      </w:r>
      <w:r>
        <w:rPr>
          <w:rFonts w:hint="eastAsia"/>
          <w:b w:val="0"/>
          <w:bCs w:val="0"/>
          <w:color w:val="auto"/>
          <w:highlight w:val="none"/>
        </w:rPr>
        <w:t>打造高能级产业平台</w:t>
      </w:r>
      <w:r>
        <w:rPr>
          <w:rFonts w:hint="eastAsia"/>
          <w:b w:val="0"/>
          <w:bCs w:val="0"/>
          <w:color w:val="auto"/>
          <w:highlight w:val="none"/>
          <w:lang w:eastAsia="zh-CN"/>
        </w:rPr>
        <w:t>、</w:t>
      </w:r>
      <w:r>
        <w:rPr>
          <w:rFonts w:hint="eastAsia"/>
          <w:b w:val="0"/>
          <w:bCs w:val="0"/>
          <w:color w:val="auto"/>
          <w:highlight w:val="none"/>
          <w:lang w:val="en-US" w:eastAsia="zh-CN"/>
        </w:rPr>
        <w:t>提升产业链现代化水平，构建具有开平特色的现代化产业体系。</w:t>
      </w:r>
      <w:bookmarkEnd w:id="24"/>
    </w:p>
    <w:p w14:paraId="62047A37">
      <w:pPr>
        <w:bidi w:val="0"/>
        <w:rPr>
          <w:rFonts w:hint="eastAsia" w:cs="Times New Roman Regular"/>
          <w:color w:val="auto"/>
          <w:highlight w:val="none"/>
          <w:lang w:val="en-US" w:eastAsia="zh-CN"/>
        </w:rPr>
      </w:pPr>
      <w:r>
        <w:rPr>
          <w:rFonts w:hint="eastAsia"/>
          <w:b/>
          <w:bCs/>
          <w:color w:val="auto"/>
          <w:highlight w:val="none"/>
          <w:lang w:val="en-US" w:eastAsia="zh-CN"/>
        </w:rPr>
        <w:t>三是优质高效发展服务业，</w:t>
      </w:r>
      <w:r>
        <w:rPr>
          <w:rFonts w:hint="eastAsia" w:cs="Times New Roman Regular"/>
          <w:color w:val="auto"/>
          <w:highlight w:val="none"/>
          <w:lang w:val="en-US" w:eastAsia="zh-CN"/>
        </w:rPr>
        <w:t>实施服务业扩能提质行动，大力发展五大生产性服务业，提质发展三大生活性服务业</w:t>
      </w:r>
      <w:r>
        <w:rPr>
          <w:rFonts w:hint="default" w:ascii="Times New Roman" w:hAnsi="Times New Roman" w:cs="Times New Roman Regular"/>
          <w:color w:val="auto"/>
          <w:highlight w:val="none"/>
          <w:lang w:val="en-US" w:eastAsia="zh-CN"/>
        </w:rPr>
        <w:t>，</w:t>
      </w:r>
      <w:r>
        <w:rPr>
          <w:rFonts w:hint="eastAsia" w:cs="Times New Roman Regular"/>
          <w:color w:val="auto"/>
          <w:highlight w:val="none"/>
          <w:lang w:val="en-US" w:eastAsia="zh-CN"/>
        </w:rPr>
        <w:t>推动现代服务业与先进制造业、现代农业深度融合，深挖服务业增长潜力。</w:t>
      </w:r>
    </w:p>
    <w:p w14:paraId="5BB90361">
      <w:pPr>
        <w:bidi w:val="0"/>
        <w:rPr>
          <w:rFonts w:hint="eastAsia"/>
          <w:color w:val="auto"/>
          <w:highlight w:val="none"/>
          <w:lang w:val="en-US" w:eastAsia="zh-CN"/>
        </w:rPr>
      </w:pPr>
      <w:r>
        <w:rPr>
          <w:rFonts w:hint="eastAsia"/>
          <w:b/>
          <w:bCs/>
          <w:color w:val="auto"/>
          <w:highlight w:val="none"/>
          <w:lang w:val="en-US" w:eastAsia="zh-CN"/>
        </w:rPr>
        <w:t>四是建设更高水平科技创新强市，</w:t>
      </w:r>
      <w:r>
        <w:rPr>
          <w:rFonts w:hint="eastAsia"/>
          <w:color w:val="auto"/>
          <w:highlight w:val="none"/>
          <w:lang w:val="en-US" w:eastAsia="zh-CN"/>
        </w:rPr>
        <w:t>重点建强科技创新载体、育强创新企业集群、促进科技成果转化、实施人才强市战略，打造新质生产力发展重要实践地。</w:t>
      </w:r>
    </w:p>
    <w:p w14:paraId="022D541D">
      <w:pPr>
        <w:bidi w:val="0"/>
        <w:rPr>
          <w:rFonts w:hint="eastAsia"/>
          <w:color w:val="auto"/>
          <w:highlight w:val="none"/>
          <w:lang w:val="en-US" w:eastAsia="zh-CN"/>
        </w:rPr>
      </w:pPr>
      <w:r>
        <w:rPr>
          <w:rFonts w:hint="eastAsia"/>
          <w:b/>
          <w:bCs/>
          <w:color w:val="auto"/>
          <w:highlight w:val="none"/>
          <w:lang w:val="en-US" w:eastAsia="zh-CN"/>
        </w:rPr>
        <w:t>五是全力扩大内需，</w:t>
      </w:r>
      <w:r>
        <w:rPr>
          <w:rFonts w:hint="eastAsia"/>
          <w:color w:val="auto"/>
          <w:highlight w:val="none"/>
          <w:lang w:val="en-US" w:eastAsia="zh-CN"/>
        </w:rPr>
        <w:t>通过大力提振消费、精准扩大</w:t>
      </w:r>
      <w:r>
        <w:rPr>
          <w:rFonts w:hint="eastAsia"/>
          <w:color w:val="auto"/>
          <w:highlight w:val="none"/>
        </w:rPr>
        <w:t>有效投资</w:t>
      </w:r>
      <w:r>
        <w:rPr>
          <w:rFonts w:hint="eastAsia"/>
          <w:color w:val="auto"/>
          <w:highlight w:val="none"/>
          <w:lang w:eastAsia="zh-CN"/>
        </w:rPr>
        <w:t>、</w:t>
      </w:r>
      <w:r>
        <w:rPr>
          <w:rFonts w:hint="eastAsia"/>
          <w:color w:val="auto"/>
          <w:highlight w:val="none"/>
          <w:lang w:val="en-US" w:eastAsia="zh-CN"/>
        </w:rPr>
        <w:t>全力推进招商引资、全面融入全国统一大市场，畅通经济循环，为经济增长提供持续动力，更好服务和融入新发展格局。</w:t>
      </w:r>
    </w:p>
    <w:p w14:paraId="2C8128D1">
      <w:pPr>
        <w:bidi w:val="0"/>
        <w:rPr>
          <w:rFonts w:hint="eastAsia"/>
          <w:color w:val="auto"/>
          <w:highlight w:val="none"/>
          <w:lang w:val="en-US" w:eastAsia="zh-CN"/>
        </w:rPr>
      </w:pPr>
      <w:r>
        <w:rPr>
          <w:rFonts w:hint="eastAsia"/>
          <w:b/>
          <w:bCs/>
          <w:color w:val="auto"/>
          <w:highlight w:val="none"/>
          <w:lang w:val="en-US" w:eastAsia="zh-CN"/>
        </w:rPr>
        <w:t>六是深化重点领域改革，</w:t>
      </w:r>
      <w:r>
        <w:rPr>
          <w:rFonts w:hint="eastAsia"/>
          <w:color w:val="auto"/>
          <w:highlight w:val="none"/>
          <w:lang w:val="en-US" w:eastAsia="zh-CN"/>
        </w:rPr>
        <w:t>通过充分激发各类经营主体活力、打造市场化法治化国际化一流营商环境、深化要素市场化配置改革、提升地方经济治理能力，激发经济高质量发展新活力。</w:t>
      </w:r>
    </w:p>
    <w:p w14:paraId="694EC683">
      <w:pPr>
        <w:bidi w:val="0"/>
        <w:rPr>
          <w:rFonts w:hint="eastAsia"/>
          <w:color w:val="auto"/>
          <w:highlight w:val="none"/>
          <w:lang w:val="en-US" w:eastAsia="zh-CN"/>
        </w:rPr>
      </w:pPr>
      <w:r>
        <w:rPr>
          <w:rFonts w:hint="eastAsia"/>
          <w:b/>
          <w:bCs/>
          <w:color w:val="auto"/>
          <w:highlight w:val="none"/>
          <w:lang w:val="en-US" w:eastAsia="zh-CN"/>
        </w:rPr>
        <w:t>七是推动全域数字化转型，</w:t>
      </w:r>
      <w:r>
        <w:rPr>
          <w:rFonts w:hint="eastAsia"/>
          <w:b w:val="0"/>
          <w:bCs w:val="0"/>
          <w:color w:val="auto"/>
          <w:highlight w:val="none"/>
          <w:lang w:val="en-US" w:eastAsia="zh-CN"/>
        </w:rPr>
        <w:t>以省级试点建设为抓手，</w:t>
      </w:r>
      <w:r>
        <w:rPr>
          <w:rFonts w:hint="eastAsia"/>
          <w:color w:val="auto"/>
          <w:highlight w:val="none"/>
          <w:lang w:val="en-US" w:eastAsia="zh-CN"/>
        </w:rPr>
        <w:t>通过夯实数字基础支撑、加速产业数智化转型、推进数字社会、数字政府建设，赋能城市高质量发展，打造数智开平。</w:t>
      </w:r>
    </w:p>
    <w:p w14:paraId="1A2BBE66">
      <w:pPr>
        <w:bidi w:val="0"/>
        <w:rPr>
          <w:rFonts w:hint="eastAsia"/>
          <w:color w:val="auto"/>
          <w:highlight w:val="none"/>
          <w:lang w:val="en-US" w:eastAsia="zh-CN"/>
        </w:rPr>
      </w:pPr>
      <w:r>
        <w:rPr>
          <w:rFonts w:hint="eastAsia"/>
          <w:b/>
          <w:bCs/>
          <w:color w:val="auto"/>
          <w:highlight w:val="none"/>
          <w:lang w:val="en-US" w:eastAsia="zh-CN"/>
        </w:rPr>
        <w:t>八是纵深推进“百千万工程”，</w:t>
      </w:r>
      <w:r>
        <w:rPr>
          <w:rFonts w:hint="eastAsia"/>
          <w:color w:val="auto"/>
          <w:highlight w:val="none"/>
          <w:lang w:val="en-US" w:eastAsia="zh-CN"/>
        </w:rPr>
        <w:t>通过优化县域“一核两翼”发展格局、全力提升县城能级量级、因地制宜推动镇域提能升级、加快推进新型城镇化建设、促进城乡区域协调发展，争当全省县域高质量发展生力军。</w:t>
      </w:r>
    </w:p>
    <w:p w14:paraId="41B61A3F">
      <w:pPr>
        <w:bidi w:val="0"/>
        <w:rPr>
          <w:rFonts w:hint="eastAsia"/>
          <w:color w:val="auto"/>
          <w:highlight w:val="none"/>
          <w:lang w:val="en-US" w:eastAsia="zh-CN"/>
        </w:rPr>
      </w:pPr>
      <w:r>
        <w:rPr>
          <w:rFonts w:hint="eastAsia"/>
          <w:b/>
          <w:bCs/>
          <w:color w:val="auto"/>
          <w:highlight w:val="none"/>
          <w:lang w:val="en-US" w:eastAsia="zh-CN"/>
        </w:rPr>
        <w:t>九是扎实推进乡村全面振兴，</w:t>
      </w:r>
      <w:r>
        <w:rPr>
          <w:rFonts w:hint="eastAsia"/>
          <w:color w:val="auto"/>
          <w:highlight w:val="none"/>
          <w:lang w:val="en-US" w:eastAsia="zh-CN"/>
        </w:rPr>
        <w:t>通过持续发展壮大现代农业、建设</w:t>
      </w:r>
      <w:r>
        <w:rPr>
          <w:rFonts w:ascii="Times New Roman" w:hAnsi="Times New Roman" w:eastAsia="仿宋_GB2312" w:cs="仿宋_GB2312"/>
          <w:b w:val="0"/>
          <w:bCs/>
          <w:snapToGrid w:val="0"/>
          <w:color w:val="auto"/>
          <w:sz w:val="32"/>
          <w:szCs w:val="32"/>
          <w:highlight w:val="none"/>
          <w:u w:val="none"/>
        </w:rPr>
        <w:t>侨乡</w:t>
      </w:r>
      <w:r>
        <w:rPr>
          <w:rFonts w:hint="eastAsia"/>
          <w:color w:val="auto"/>
          <w:highlight w:val="none"/>
          <w:lang w:val="en-US" w:eastAsia="zh-CN"/>
        </w:rPr>
        <w:t>和美乡村、深化农村领域改革，千方百计推动农业增效益、农村增活力、农民增收入，加快农业农村现代化，创建国家乡村振兴示范县。</w:t>
      </w:r>
    </w:p>
    <w:p w14:paraId="1D336EFE">
      <w:pPr>
        <w:bidi w:val="0"/>
        <w:rPr>
          <w:rFonts w:hint="eastAsia"/>
          <w:color w:val="auto"/>
          <w:highlight w:val="none"/>
          <w:lang w:val="en-US" w:eastAsia="zh-CN"/>
        </w:rPr>
      </w:pPr>
      <w:r>
        <w:rPr>
          <w:rFonts w:hint="eastAsia"/>
          <w:b/>
          <w:bCs/>
          <w:color w:val="auto"/>
          <w:highlight w:val="none"/>
          <w:lang w:val="en-US" w:eastAsia="zh-CN"/>
        </w:rPr>
        <w:t>十是打造独具侨韵的文化旅游名城，</w:t>
      </w:r>
      <w:r>
        <w:rPr>
          <w:rFonts w:hint="eastAsia"/>
          <w:highlight w:val="none"/>
          <w:lang w:val="en-US" w:eastAsia="zh-CN"/>
        </w:rPr>
        <w:t>以</w:t>
      </w:r>
      <w:r>
        <w:rPr>
          <w:rFonts w:hint="eastAsia"/>
          <w:highlight w:val="none"/>
        </w:rPr>
        <w:t>开平碉楼与村落世界文化遗产</w:t>
      </w:r>
      <w:r>
        <w:rPr>
          <w:rFonts w:hint="eastAsia"/>
          <w:highlight w:val="none"/>
          <w:lang w:val="en-US" w:eastAsia="zh-CN"/>
        </w:rPr>
        <w:t>为核心，</w:t>
      </w:r>
      <w:r>
        <w:rPr>
          <w:rFonts w:hint="eastAsia" w:ascii="Times New Roman" w:hAnsi="Times New Roman"/>
          <w:color w:val="000000" w:themeColor="text1"/>
          <w:highlight w:val="none"/>
          <w:lang w:val="en-US" w:eastAsia="zh-CN"/>
          <w14:textFill>
            <w14:solidFill>
              <w14:schemeClr w14:val="tx1"/>
            </w14:solidFill>
          </w14:textFill>
        </w:rPr>
        <w:t>以农为基、以文为魂、以旅为脉，整县推进农文旅融合发展试点建设，</w:t>
      </w:r>
      <w:r>
        <w:rPr>
          <w:rFonts w:hint="eastAsia"/>
          <w:color w:val="000000" w:themeColor="text1"/>
          <w:highlight w:val="none"/>
          <w:lang w:val="en-US" w:eastAsia="zh-CN"/>
          <w14:textFill>
            <w14:solidFill>
              <w14:schemeClr w14:val="tx1"/>
            </w14:solidFill>
          </w14:textFill>
        </w:rPr>
        <w:t>优化全域</w:t>
      </w:r>
      <w:r>
        <w:rPr>
          <w:rFonts w:hint="eastAsia" w:ascii="Times New Roman" w:hAnsi="Times New Roman"/>
          <w:color w:val="000000" w:themeColor="text1"/>
          <w:highlight w:val="none"/>
          <w:lang w:val="en-US" w:eastAsia="zh-CN"/>
          <w14:textFill>
            <w14:solidFill>
              <w14:schemeClr w14:val="tx1"/>
            </w14:solidFill>
          </w14:textFill>
        </w:rPr>
        <w:t>发展空间布局，创新发展农文旅融合业态，打造农文旅融合</w:t>
      </w:r>
      <w:r>
        <w:rPr>
          <w:rFonts w:hint="eastAsia"/>
          <w:color w:val="000000" w:themeColor="text1"/>
          <w:highlight w:val="none"/>
          <w:lang w:val="en-US" w:eastAsia="zh-CN"/>
          <w14:textFill>
            <w14:solidFill>
              <w14:schemeClr w14:val="tx1"/>
            </w14:solidFill>
          </w14:textFill>
        </w:rPr>
        <w:t>示范区</w:t>
      </w:r>
      <w:r>
        <w:rPr>
          <w:rFonts w:hint="eastAsia"/>
          <w:color w:val="auto"/>
          <w:highlight w:val="none"/>
          <w:lang w:val="en-US" w:eastAsia="zh-CN"/>
        </w:rPr>
        <w:t>。</w:t>
      </w:r>
    </w:p>
    <w:p w14:paraId="21F59DE3">
      <w:pPr>
        <w:bidi w:val="0"/>
        <w:rPr>
          <w:rFonts w:hint="eastAsia"/>
          <w:color w:val="auto"/>
          <w:highlight w:val="none"/>
          <w:lang w:val="en-US" w:eastAsia="zh-CN"/>
        </w:rPr>
      </w:pPr>
      <w:r>
        <w:rPr>
          <w:rFonts w:hint="eastAsia"/>
          <w:b/>
          <w:bCs/>
          <w:color w:val="auto"/>
          <w:highlight w:val="none"/>
          <w:lang w:val="en-US" w:eastAsia="zh-CN"/>
        </w:rPr>
        <w:t>十一是构建现代化基础设施网络体系，</w:t>
      </w:r>
      <w:r>
        <w:rPr>
          <w:rFonts w:hint="eastAsia"/>
          <w:color w:val="auto"/>
          <w:highlight w:val="none"/>
          <w:lang w:val="en-US" w:eastAsia="zh-CN"/>
        </w:rPr>
        <w:t>通过构建现代化综合交通运输体系、构建安全高效生态水网、建设新型能源体系、发展新型基础设施，为高质量发展提供强有力支撑。</w:t>
      </w:r>
    </w:p>
    <w:p w14:paraId="00A5AE24">
      <w:pPr>
        <w:bidi w:val="0"/>
        <w:rPr>
          <w:rFonts w:hint="eastAsia"/>
          <w:color w:val="auto"/>
          <w:highlight w:val="none"/>
          <w:lang w:eastAsia="zh-CN"/>
        </w:rPr>
      </w:pPr>
      <w:r>
        <w:rPr>
          <w:rFonts w:hint="eastAsia"/>
          <w:b/>
          <w:bCs/>
          <w:color w:val="auto"/>
          <w:highlight w:val="none"/>
          <w:lang w:val="en-US" w:eastAsia="zh-CN"/>
        </w:rPr>
        <w:t>十二是推进</w:t>
      </w:r>
      <w:r>
        <w:rPr>
          <w:rFonts w:hint="eastAsia"/>
          <w:b/>
          <w:bCs/>
          <w:color w:val="auto"/>
          <w:highlight w:val="none"/>
          <w:lang w:eastAsia="zh-CN"/>
        </w:rPr>
        <w:t>绿色低碳发展，</w:t>
      </w:r>
      <w:r>
        <w:rPr>
          <w:rFonts w:hint="eastAsia"/>
          <w:color w:val="auto"/>
          <w:highlight w:val="none"/>
          <w:lang w:val="en-US" w:eastAsia="zh-CN"/>
        </w:rPr>
        <w:t>通过</w:t>
      </w:r>
      <w:r>
        <w:rPr>
          <w:rFonts w:hint="eastAsia"/>
          <w:color w:val="auto"/>
          <w:highlight w:val="none"/>
          <w:lang w:eastAsia="zh-CN"/>
        </w:rPr>
        <w:t>积极稳妥推进碳达峰碳中和、</w:t>
      </w:r>
      <w:r>
        <w:rPr>
          <w:rFonts w:hint="eastAsia"/>
          <w:color w:val="auto"/>
          <w:highlight w:val="none"/>
          <w:lang w:val="en-US" w:eastAsia="zh-CN"/>
        </w:rPr>
        <w:t>维育</w:t>
      </w:r>
      <w:r>
        <w:rPr>
          <w:rFonts w:hint="eastAsia"/>
          <w:color w:val="auto"/>
          <w:highlight w:val="none"/>
        </w:rPr>
        <w:t>绿美</w:t>
      </w:r>
      <w:r>
        <w:rPr>
          <w:rFonts w:hint="eastAsia"/>
          <w:color w:val="auto"/>
          <w:highlight w:val="none"/>
          <w:lang w:val="en-US" w:eastAsia="zh-CN"/>
        </w:rPr>
        <w:t>开平生态系统、</w:t>
      </w:r>
      <w:r>
        <w:rPr>
          <w:rFonts w:hint="eastAsia"/>
          <w:color w:val="auto"/>
          <w:highlight w:val="none"/>
          <w:lang w:eastAsia="zh-CN"/>
        </w:rPr>
        <w:t>全面提升生态环境品质、</w:t>
      </w:r>
      <w:bookmarkStart w:id="25" w:name="_Toc5358"/>
      <w:r>
        <w:rPr>
          <w:rFonts w:hint="eastAsia"/>
          <w:color w:val="auto"/>
          <w:highlight w:val="none"/>
          <w:lang w:val="en-US" w:eastAsia="zh-CN"/>
        </w:rPr>
        <w:t>推动</w:t>
      </w:r>
      <w:bookmarkEnd w:id="25"/>
      <w:r>
        <w:rPr>
          <w:rFonts w:hint="eastAsia"/>
          <w:color w:val="auto"/>
          <w:highlight w:val="none"/>
          <w:lang w:val="en-US" w:eastAsia="zh-CN"/>
        </w:rPr>
        <w:t>经济社会发展全面绿色转型，打造</w:t>
      </w:r>
      <w:r>
        <w:rPr>
          <w:rFonts w:hint="eastAsia"/>
          <w:color w:val="auto"/>
          <w:highlight w:val="none"/>
          <w:lang w:eastAsia="zh-CN"/>
        </w:rPr>
        <w:t>和美宜居生态家园、美丽开平。</w:t>
      </w:r>
    </w:p>
    <w:p w14:paraId="44480E5D">
      <w:pPr>
        <w:bidi w:val="0"/>
        <w:rPr>
          <w:rFonts w:hint="eastAsia"/>
          <w:color w:val="auto"/>
          <w:highlight w:val="none"/>
          <w:lang w:val="en-US" w:eastAsia="zh-CN"/>
        </w:rPr>
      </w:pPr>
      <w:r>
        <w:rPr>
          <w:rFonts w:hint="eastAsia"/>
          <w:b/>
          <w:bCs/>
          <w:color w:val="auto"/>
          <w:highlight w:val="none"/>
          <w:lang w:val="en-US" w:eastAsia="zh-CN"/>
        </w:rPr>
        <w:t>十三是建成高水平文化强市，</w:t>
      </w:r>
      <w:r>
        <w:rPr>
          <w:rFonts w:hint="eastAsia"/>
          <w:color w:val="auto"/>
          <w:highlight w:val="none"/>
          <w:lang w:val="en-US" w:eastAsia="zh-CN"/>
        </w:rPr>
        <w:t>以文化人、以文惠民、以文兴业，通过提升社会文明程度、繁荣发展文化事业、大力发展文化产业，激发文化创新创造活力，更好推动物质文明和精神文明协调发展。</w:t>
      </w:r>
    </w:p>
    <w:p w14:paraId="2F802EE6">
      <w:pPr>
        <w:bidi w:val="0"/>
        <w:rPr>
          <w:rFonts w:hint="eastAsia"/>
          <w:color w:val="auto"/>
          <w:highlight w:val="none"/>
          <w:lang w:val="en-US" w:eastAsia="zh-CN"/>
        </w:rPr>
      </w:pPr>
      <w:r>
        <w:rPr>
          <w:rFonts w:hint="eastAsia"/>
          <w:b/>
          <w:bCs/>
          <w:color w:val="auto"/>
          <w:highlight w:val="none"/>
          <w:lang w:val="en-US" w:eastAsia="zh-CN"/>
        </w:rPr>
        <w:t>十四是全面提升人口综合素质，</w:t>
      </w:r>
      <w:r>
        <w:rPr>
          <w:rFonts w:hint="eastAsia"/>
          <w:color w:val="auto"/>
          <w:highlight w:val="none"/>
          <w:lang w:val="en-US" w:eastAsia="zh-CN"/>
        </w:rPr>
        <w:t>适应人口变化趋势，通过加快</w:t>
      </w:r>
      <w:r>
        <w:rPr>
          <w:rFonts w:hint="default"/>
          <w:color w:val="auto"/>
          <w:highlight w:val="none"/>
          <w:lang w:val="en-US" w:eastAsia="zh-CN"/>
        </w:rPr>
        <w:t>健全</w:t>
      </w:r>
      <w:r>
        <w:rPr>
          <w:rFonts w:hint="eastAsia"/>
          <w:color w:val="auto"/>
          <w:highlight w:val="none"/>
          <w:lang w:val="en-US" w:eastAsia="zh-CN"/>
        </w:rPr>
        <w:t>“</w:t>
      </w:r>
      <w:r>
        <w:rPr>
          <w:rFonts w:hint="default"/>
          <w:color w:val="auto"/>
          <w:highlight w:val="none"/>
          <w:lang w:val="en-US" w:eastAsia="zh-CN"/>
        </w:rPr>
        <w:t>一老一小</w:t>
      </w:r>
      <w:r>
        <w:rPr>
          <w:rFonts w:hint="eastAsia"/>
          <w:color w:val="auto"/>
          <w:highlight w:val="none"/>
          <w:lang w:val="en-US" w:eastAsia="zh-CN"/>
        </w:rPr>
        <w:t>”</w:t>
      </w:r>
      <w:r>
        <w:rPr>
          <w:rFonts w:hint="default"/>
          <w:color w:val="auto"/>
          <w:highlight w:val="none"/>
          <w:lang w:val="en-US" w:eastAsia="zh-CN"/>
        </w:rPr>
        <w:t>服务体系</w:t>
      </w:r>
      <w:r>
        <w:rPr>
          <w:rFonts w:hint="eastAsia"/>
          <w:color w:val="auto"/>
          <w:highlight w:val="none"/>
          <w:lang w:val="en-US" w:eastAsia="zh-CN"/>
        </w:rPr>
        <w:t>，促进人口高质量发展；通过建设现代化教育强市、建设高水平健康开平，不断</w:t>
      </w:r>
      <w:r>
        <w:rPr>
          <w:rFonts w:hint="default"/>
          <w:color w:val="auto"/>
          <w:highlight w:val="none"/>
          <w:lang w:val="en-US" w:eastAsia="zh-CN"/>
        </w:rPr>
        <w:t>提升人口的科学文化和身心健康素质</w:t>
      </w:r>
      <w:r>
        <w:rPr>
          <w:rFonts w:hint="eastAsia"/>
          <w:color w:val="auto"/>
          <w:highlight w:val="none"/>
          <w:lang w:val="en-US" w:eastAsia="zh-CN"/>
        </w:rPr>
        <w:t>。</w:t>
      </w:r>
    </w:p>
    <w:p w14:paraId="05013BB4">
      <w:pPr>
        <w:bidi w:val="0"/>
        <w:rPr>
          <w:rFonts w:hint="eastAsia"/>
          <w:b w:val="0"/>
          <w:bCs w:val="0"/>
          <w:color w:val="auto"/>
          <w:highlight w:val="none"/>
          <w:lang w:val="en-US" w:eastAsia="zh-CN"/>
        </w:rPr>
      </w:pPr>
      <w:r>
        <w:rPr>
          <w:rFonts w:hint="eastAsia"/>
          <w:b/>
          <w:bCs/>
          <w:color w:val="auto"/>
          <w:highlight w:val="none"/>
          <w:lang w:val="en-US" w:eastAsia="zh-CN"/>
        </w:rPr>
        <w:t>十五是持续增进民生福祉</w:t>
      </w:r>
      <w:r>
        <w:rPr>
          <w:rFonts w:hint="eastAsia"/>
          <w:b/>
          <w:bCs/>
          <w:color w:val="auto"/>
          <w:highlight w:val="none"/>
          <w:lang w:eastAsia="zh-CN"/>
        </w:rPr>
        <w:t>，</w:t>
      </w:r>
      <w:r>
        <w:rPr>
          <w:rFonts w:hint="eastAsia"/>
          <w:color w:val="auto"/>
          <w:highlight w:val="none"/>
          <w:lang w:val="en-US" w:eastAsia="zh-CN"/>
        </w:rPr>
        <w:t>通过</w:t>
      </w:r>
      <w:r>
        <w:rPr>
          <w:rFonts w:hint="eastAsia"/>
          <w:b w:val="0"/>
          <w:bCs w:val="0"/>
          <w:color w:val="auto"/>
          <w:highlight w:val="none"/>
          <w:lang w:val="en-US" w:eastAsia="zh-CN"/>
        </w:rPr>
        <w:t>全力稳就业促增收、完善多层次社会保障体系、促进重点群体共享发展，</w:t>
      </w:r>
      <w:r>
        <w:rPr>
          <w:rFonts w:hint="eastAsia"/>
          <w:b w:val="0"/>
          <w:bCs w:val="0"/>
          <w:color w:val="auto"/>
          <w:highlight w:val="none"/>
          <w:lang w:eastAsia="zh-CN"/>
        </w:rPr>
        <w:t>保障和改善民生</w:t>
      </w:r>
      <w:r>
        <w:rPr>
          <w:rFonts w:hint="eastAsia" w:ascii="Times New Roman" w:hAnsi="Times New Roman" w:cs="楷体_GB2312"/>
          <w:color w:val="000000" w:themeColor="text1"/>
          <w:sz w:val="32"/>
          <w:szCs w:val="32"/>
          <w:highlight w:val="none"/>
          <w:u w:val="none"/>
          <w:lang w:val="en-US" w:eastAsia="zh-CN"/>
          <w14:textFill>
            <w14:solidFill>
              <w14:schemeClr w14:val="tx1"/>
            </w14:solidFill>
          </w14:textFill>
        </w:rPr>
        <w:t>促进</w:t>
      </w:r>
      <w:r>
        <w:rPr>
          <w:rFonts w:hint="eastAsia" w:ascii="Times New Roman" w:hAnsi="Times New Roman" w:eastAsia="仿宋_GB2312" w:cs="楷体_GB2312"/>
          <w:color w:val="000000" w:themeColor="text1"/>
          <w:sz w:val="32"/>
          <w:szCs w:val="32"/>
          <w:highlight w:val="none"/>
          <w:u w:val="none"/>
          <w14:textFill>
            <w14:solidFill>
              <w14:schemeClr w14:val="tx1"/>
            </w14:solidFill>
          </w14:textFill>
        </w:rPr>
        <w:t>社会公平和共同富裕</w:t>
      </w:r>
      <w:r>
        <w:rPr>
          <w:rFonts w:hint="eastAsia"/>
          <w:b w:val="0"/>
          <w:bCs w:val="0"/>
          <w:color w:val="auto"/>
          <w:highlight w:val="none"/>
          <w:lang w:val="en-US" w:eastAsia="zh-CN"/>
        </w:rPr>
        <w:t>，建设人民满意的幸福开平。</w:t>
      </w:r>
    </w:p>
    <w:p w14:paraId="06CE4E09">
      <w:pPr>
        <w:bidi w:val="0"/>
        <w:rPr>
          <w:rFonts w:hint="eastAsia"/>
          <w:lang w:eastAsia="zh-CN"/>
        </w:rPr>
      </w:pPr>
      <w:r>
        <w:rPr>
          <w:rFonts w:hint="eastAsia"/>
          <w:b/>
          <w:bCs/>
          <w:color w:val="auto"/>
          <w:highlight w:val="none"/>
          <w:lang w:val="en-US" w:eastAsia="zh-CN"/>
        </w:rPr>
        <w:t>十六是统筹发展和安全，</w:t>
      </w:r>
      <w:r>
        <w:rPr>
          <w:rFonts w:hint="eastAsia"/>
          <w:color w:val="auto"/>
          <w:highlight w:val="none"/>
          <w:lang w:val="en-US" w:eastAsia="zh-CN"/>
        </w:rPr>
        <w:t>通过建设更高水平法治开平、平安开平，加快推进社会治理能力现代化，实现高质量发展和高水平安全实现良性互动。</w:t>
      </w:r>
    </w:p>
    <w:p w14:paraId="4720E6B6">
      <w:pPr>
        <w:pStyle w:val="2"/>
        <w:bidi w:val="0"/>
        <w:rPr>
          <w:rFonts w:hint="eastAsia"/>
          <w:lang w:eastAsia="zh-CN"/>
        </w:rPr>
      </w:pPr>
      <w:r>
        <w:rPr>
          <w:rFonts w:hint="eastAsia"/>
          <w:lang w:eastAsia="zh-CN"/>
        </w:rPr>
        <w:t>四、</w:t>
      </w:r>
      <w:r>
        <w:rPr>
          <w:rFonts w:hint="eastAsia"/>
          <w:lang w:val="en-US" w:eastAsia="zh-CN"/>
        </w:rPr>
        <w:t>《规划纲要》实施</w:t>
      </w:r>
      <w:r>
        <w:rPr>
          <w:rFonts w:hint="eastAsia"/>
          <w:lang w:eastAsia="zh-CN"/>
        </w:rPr>
        <w:t>保障</w:t>
      </w:r>
    </w:p>
    <w:p w14:paraId="531D0372">
      <w:pPr>
        <w:bidi w:val="0"/>
        <w:rPr>
          <w:rFonts w:hint="eastAsia"/>
          <w:lang w:eastAsia="zh-CN"/>
        </w:rPr>
      </w:pPr>
      <w:r>
        <w:rPr>
          <w:rFonts w:hint="eastAsia"/>
          <w:lang w:eastAsia="zh-CN"/>
        </w:rPr>
        <w:t>包括加强党的全面领导、</w:t>
      </w:r>
      <w:r>
        <w:rPr>
          <w:rFonts w:hint="eastAsia"/>
          <w:lang w:val="en-US" w:eastAsia="zh-CN"/>
        </w:rPr>
        <w:t>加强规划衔接统筹</w:t>
      </w:r>
      <w:r>
        <w:rPr>
          <w:rFonts w:hint="eastAsia"/>
          <w:lang w:eastAsia="zh-CN"/>
        </w:rPr>
        <w:t>、</w:t>
      </w:r>
      <w:r>
        <w:rPr>
          <w:rFonts w:hint="eastAsia"/>
          <w:lang w:val="en-US" w:eastAsia="zh-CN"/>
        </w:rPr>
        <w:t>做好规划细化实施、强化项目支撑保障</w:t>
      </w:r>
      <w:r>
        <w:rPr>
          <w:rFonts w:hint="eastAsia"/>
          <w:lang w:eastAsia="zh-CN"/>
        </w:rPr>
        <w:t>和</w:t>
      </w:r>
      <w:r>
        <w:rPr>
          <w:rFonts w:hint="eastAsia"/>
          <w:lang w:val="en-US" w:eastAsia="zh-CN"/>
        </w:rPr>
        <w:t>凝心聚力全民参与</w:t>
      </w:r>
      <w:r>
        <w:rPr>
          <w:rFonts w:hint="eastAsia"/>
          <w:lang w:eastAsia="zh-CN"/>
        </w:rPr>
        <w:t>。</w:t>
      </w:r>
    </w:p>
    <w:sectPr>
      <w:footerReference r:id="rId5" w:type="default"/>
      <w:pgSz w:w="11906" w:h="16838"/>
      <w:pgMar w:top="2098" w:right="1531" w:bottom="1984" w:left="1531" w:header="851" w:footer="1417"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2CA9D">
    <w:pPr>
      <w:pStyle w:val="5"/>
      <w:keepNext w:val="0"/>
      <w:keepLines w:val="0"/>
      <w:pageBreakBefore w:val="0"/>
      <w:widowControl w:val="0"/>
      <w:kinsoku/>
      <w:wordWrap/>
      <w:overflowPunct/>
      <w:topLinePunct w:val="0"/>
      <w:autoSpaceDE/>
      <w:autoSpaceDN/>
      <w:bidi w:val="0"/>
      <w:adjustRightInd/>
      <w:snapToGrid w:val="0"/>
      <w:spacing w:line="440" w:lineRule="exact"/>
      <w:ind w:left="0" w:leftChars="0" w:right="0" w:rightChars="0" w:firstLine="0" w:firstLineChars="0"/>
      <w:jc w:val="center"/>
      <w:textAlignment w:val="auto"/>
      <w:rPr>
        <w:sz w:val="28"/>
        <w:szCs w:val="44"/>
      </w:rPr>
    </w:pPr>
    <w:r>
      <w:rPr>
        <w:sz w:val="28"/>
        <w:szCs w:val="4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77B656">
                          <w:pPr>
                            <w:pStyle w:val="5"/>
                            <w:keepNext w:val="0"/>
                            <w:keepLines w:val="0"/>
                            <w:pageBreakBefore w:val="0"/>
                            <w:widowControl w:val="0"/>
                            <w:kinsoku/>
                            <w:wordWrap/>
                            <w:overflowPunct/>
                            <w:topLinePunct w:val="0"/>
                            <w:autoSpaceDE/>
                            <w:autoSpaceDN/>
                            <w:bidi w:val="0"/>
                            <w:adjustRightInd/>
                            <w:snapToGrid w:val="0"/>
                            <w:spacing w:line="440" w:lineRule="exact"/>
                            <w:ind w:left="0" w:leftChars="0" w:right="0" w:rightChars="0" w:firstLine="0" w:firstLineChars="0"/>
                            <w:jc w:val="center"/>
                            <w:textAlignment w:val="auto"/>
                            <w:rPr>
                              <w:rFonts w:hint="default" w:eastAsia="仿宋_GB2312"/>
                              <w:sz w:val="28"/>
                              <w:szCs w:val="44"/>
                              <w:lang w:val="en-US" w:eastAsia="zh-CN"/>
                            </w:rPr>
                          </w:pPr>
                          <w:r>
                            <w:rPr>
                              <w:rFonts w:hint="eastAsia"/>
                              <w:sz w:val="28"/>
                              <w:szCs w:val="44"/>
                              <w:lang w:eastAsia="zh-CN"/>
                            </w:rPr>
                            <w:t>—</w:t>
                          </w:r>
                          <w:r>
                            <w:rPr>
                              <w:rFonts w:hint="eastAsia"/>
                              <w:sz w:val="28"/>
                              <w:szCs w:val="44"/>
                              <w:lang w:val="en-US" w:eastAsia="zh-CN"/>
                            </w:rPr>
                            <w:t xml:space="preserve"> </w:t>
                          </w:r>
                          <w:r>
                            <w:rPr>
                              <w:rFonts w:hint="eastAsia"/>
                              <w:sz w:val="28"/>
                              <w:szCs w:val="44"/>
                              <w:lang w:eastAsia="zh-CN"/>
                            </w:rPr>
                            <w:fldChar w:fldCharType="begin"/>
                          </w:r>
                          <w:r>
                            <w:rPr>
                              <w:rFonts w:hint="eastAsia"/>
                              <w:sz w:val="28"/>
                              <w:szCs w:val="44"/>
                              <w:lang w:eastAsia="zh-CN"/>
                            </w:rPr>
                            <w:instrText xml:space="preserve"> PAGE  \* MERGEFORMAT </w:instrText>
                          </w:r>
                          <w:r>
                            <w:rPr>
                              <w:rFonts w:hint="eastAsia"/>
                              <w:sz w:val="28"/>
                              <w:szCs w:val="44"/>
                              <w:lang w:eastAsia="zh-CN"/>
                            </w:rPr>
                            <w:fldChar w:fldCharType="separate"/>
                          </w:r>
                          <w:r>
                            <w:rPr>
                              <w:rFonts w:hint="eastAsia"/>
                              <w:sz w:val="28"/>
                              <w:szCs w:val="44"/>
                              <w:lang w:eastAsia="zh-CN"/>
                            </w:rPr>
                            <w:t>1</w:t>
                          </w:r>
                          <w:r>
                            <w:rPr>
                              <w:rFonts w:hint="eastAsia"/>
                              <w:sz w:val="28"/>
                              <w:szCs w:val="44"/>
                              <w:lang w:eastAsia="zh-CN"/>
                            </w:rPr>
                            <w:fldChar w:fldCharType="end"/>
                          </w:r>
                          <w:r>
                            <w:rPr>
                              <w:rFonts w:hint="eastAsia"/>
                              <w:sz w:val="28"/>
                              <w:szCs w:val="44"/>
                              <w:lang w:val="en-US" w:eastAsia="zh-CN"/>
                            </w:rPr>
                            <w:t xml:space="preserve"> </w:t>
                          </w:r>
                          <w:r>
                            <w:rPr>
                              <w:rFonts w:hint="eastAsia"/>
                              <w:sz w:val="28"/>
                              <w:szCs w:val="4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777B656">
                    <w:pPr>
                      <w:pStyle w:val="5"/>
                      <w:keepNext w:val="0"/>
                      <w:keepLines w:val="0"/>
                      <w:pageBreakBefore w:val="0"/>
                      <w:widowControl w:val="0"/>
                      <w:kinsoku/>
                      <w:wordWrap/>
                      <w:overflowPunct/>
                      <w:topLinePunct w:val="0"/>
                      <w:autoSpaceDE/>
                      <w:autoSpaceDN/>
                      <w:bidi w:val="0"/>
                      <w:adjustRightInd/>
                      <w:snapToGrid w:val="0"/>
                      <w:spacing w:line="440" w:lineRule="exact"/>
                      <w:ind w:left="0" w:leftChars="0" w:right="0" w:rightChars="0" w:firstLine="0" w:firstLineChars="0"/>
                      <w:jc w:val="center"/>
                      <w:textAlignment w:val="auto"/>
                      <w:rPr>
                        <w:rFonts w:hint="default" w:eastAsia="仿宋_GB2312"/>
                        <w:sz w:val="28"/>
                        <w:szCs w:val="44"/>
                        <w:lang w:val="en-US" w:eastAsia="zh-CN"/>
                      </w:rPr>
                    </w:pPr>
                    <w:r>
                      <w:rPr>
                        <w:rFonts w:hint="eastAsia"/>
                        <w:sz w:val="28"/>
                        <w:szCs w:val="44"/>
                        <w:lang w:eastAsia="zh-CN"/>
                      </w:rPr>
                      <w:t>—</w:t>
                    </w:r>
                    <w:r>
                      <w:rPr>
                        <w:rFonts w:hint="eastAsia"/>
                        <w:sz w:val="28"/>
                        <w:szCs w:val="44"/>
                        <w:lang w:val="en-US" w:eastAsia="zh-CN"/>
                      </w:rPr>
                      <w:t xml:space="preserve"> </w:t>
                    </w:r>
                    <w:r>
                      <w:rPr>
                        <w:rFonts w:hint="eastAsia"/>
                        <w:sz w:val="28"/>
                        <w:szCs w:val="44"/>
                        <w:lang w:eastAsia="zh-CN"/>
                      </w:rPr>
                      <w:fldChar w:fldCharType="begin"/>
                    </w:r>
                    <w:r>
                      <w:rPr>
                        <w:rFonts w:hint="eastAsia"/>
                        <w:sz w:val="28"/>
                        <w:szCs w:val="44"/>
                        <w:lang w:eastAsia="zh-CN"/>
                      </w:rPr>
                      <w:instrText xml:space="preserve"> PAGE  \* MERGEFORMAT </w:instrText>
                    </w:r>
                    <w:r>
                      <w:rPr>
                        <w:rFonts w:hint="eastAsia"/>
                        <w:sz w:val="28"/>
                        <w:szCs w:val="44"/>
                        <w:lang w:eastAsia="zh-CN"/>
                      </w:rPr>
                      <w:fldChar w:fldCharType="separate"/>
                    </w:r>
                    <w:r>
                      <w:rPr>
                        <w:rFonts w:hint="eastAsia"/>
                        <w:sz w:val="28"/>
                        <w:szCs w:val="44"/>
                        <w:lang w:eastAsia="zh-CN"/>
                      </w:rPr>
                      <w:t>1</w:t>
                    </w:r>
                    <w:r>
                      <w:rPr>
                        <w:rFonts w:hint="eastAsia"/>
                        <w:sz w:val="28"/>
                        <w:szCs w:val="44"/>
                        <w:lang w:eastAsia="zh-CN"/>
                      </w:rPr>
                      <w:fldChar w:fldCharType="end"/>
                    </w:r>
                    <w:r>
                      <w:rPr>
                        <w:rFonts w:hint="eastAsia"/>
                        <w:sz w:val="28"/>
                        <w:szCs w:val="44"/>
                        <w:lang w:val="en-US" w:eastAsia="zh-CN"/>
                      </w:rPr>
                      <w:t xml:space="preserve"> </w:t>
                    </w:r>
                    <w:r>
                      <w:rPr>
                        <w:rFonts w:hint="eastAsia"/>
                        <w:sz w:val="28"/>
                        <w:szCs w:val="44"/>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hN2E2YTA3OTc0MWQzODliZGY3ZWZhMWVkZTJlYTIifQ=="/>
  </w:docVars>
  <w:rsids>
    <w:rsidRoot w:val="10172480"/>
    <w:rsid w:val="0012377F"/>
    <w:rsid w:val="004B3F80"/>
    <w:rsid w:val="004E7AF9"/>
    <w:rsid w:val="005F6238"/>
    <w:rsid w:val="0068396F"/>
    <w:rsid w:val="00BF4F23"/>
    <w:rsid w:val="00C052AA"/>
    <w:rsid w:val="00E2104D"/>
    <w:rsid w:val="01033504"/>
    <w:rsid w:val="01034D76"/>
    <w:rsid w:val="010425DE"/>
    <w:rsid w:val="010F4EA2"/>
    <w:rsid w:val="01332959"/>
    <w:rsid w:val="014F4C4D"/>
    <w:rsid w:val="01893161"/>
    <w:rsid w:val="01BE1CB2"/>
    <w:rsid w:val="01CC2730"/>
    <w:rsid w:val="01D82CCC"/>
    <w:rsid w:val="01FE7C9F"/>
    <w:rsid w:val="02294792"/>
    <w:rsid w:val="025C5CDA"/>
    <w:rsid w:val="02800172"/>
    <w:rsid w:val="029C4D12"/>
    <w:rsid w:val="02F2128E"/>
    <w:rsid w:val="034B0268"/>
    <w:rsid w:val="037E57CD"/>
    <w:rsid w:val="03965EE4"/>
    <w:rsid w:val="03A376D6"/>
    <w:rsid w:val="03EF6448"/>
    <w:rsid w:val="03F03367"/>
    <w:rsid w:val="04047EEA"/>
    <w:rsid w:val="04235559"/>
    <w:rsid w:val="04466C37"/>
    <w:rsid w:val="044A30DE"/>
    <w:rsid w:val="046456FC"/>
    <w:rsid w:val="0467145D"/>
    <w:rsid w:val="04DD48D6"/>
    <w:rsid w:val="04DE1058"/>
    <w:rsid w:val="04FA5D88"/>
    <w:rsid w:val="05072CFE"/>
    <w:rsid w:val="050E3AE2"/>
    <w:rsid w:val="056F40F9"/>
    <w:rsid w:val="057B5CB8"/>
    <w:rsid w:val="05B7174E"/>
    <w:rsid w:val="06165849"/>
    <w:rsid w:val="061E5CE4"/>
    <w:rsid w:val="065D40FC"/>
    <w:rsid w:val="06735B12"/>
    <w:rsid w:val="067C0EDA"/>
    <w:rsid w:val="069F0EF6"/>
    <w:rsid w:val="06C35858"/>
    <w:rsid w:val="06D743AE"/>
    <w:rsid w:val="070876B4"/>
    <w:rsid w:val="070F1BC8"/>
    <w:rsid w:val="071C0E47"/>
    <w:rsid w:val="07267E68"/>
    <w:rsid w:val="074538FC"/>
    <w:rsid w:val="075E5587"/>
    <w:rsid w:val="077C281D"/>
    <w:rsid w:val="078D6409"/>
    <w:rsid w:val="07C24E34"/>
    <w:rsid w:val="07CA7077"/>
    <w:rsid w:val="084C561E"/>
    <w:rsid w:val="087F708C"/>
    <w:rsid w:val="088574C7"/>
    <w:rsid w:val="08CA01DF"/>
    <w:rsid w:val="08CD6DD7"/>
    <w:rsid w:val="08DD5C51"/>
    <w:rsid w:val="091119C2"/>
    <w:rsid w:val="09364D8D"/>
    <w:rsid w:val="09595207"/>
    <w:rsid w:val="096B7486"/>
    <w:rsid w:val="09E77714"/>
    <w:rsid w:val="0A06000B"/>
    <w:rsid w:val="0ABD15D4"/>
    <w:rsid w:val="0AFD494B"/>
    <w:rsid w:val="0B657D0E"/>
    <w:rsid w:val="0BB0724B"/>
    <w:rsid w:val="0BF40E6E"/>
    <w:rsid w:val="0CAF1A1D"/>
    <w:rsid w:val="0CBF55A0"/>
    <w:rsid w:val="0CE351F2"/>
    <w:rsid w:val="0CEC1937"/>
    <w:rsid w:val="0D000768"/>
    <w:rsid w:val="0D2F5473"/>
    <w:rsid w:val="0D6C3E7D"/>
    <w:rsid w:val="0DAA6852"/>
    <w:rsid w:val="0DB25661"/>
    <w:rsid w:val="0DE12B1E"/>
    <w:rsid w:val="0E094FE4"/>
    <w:rsid w:val="0E152CE3"/>
    <w:rsid w:val="0E160797"/>
    <w:rsid w:val="0E224ACC"/>
    <w:rsid w:val="0E2E205B"/>
    <w:rsid w:val="0E5B5FA7"/>
    <w:rsid w:val="0E6B5FBC"/>
    <w:rsid w:val="0E733B61"/>
    <w:rsid w:val="0E7C4BCF"/>
    <w:rsid w:val="0EDC463D"/>
    <w:rsid w:val="0EE52393"/>
    <w:rsid w:val="0EF26A41"/>
    <w:rsid w:val="0F3F36A5"/>
    <w:rsid w:val="0F814AB2"/>
    <w:rsid w:val="0FEC71E8"/>
    <w:rsid w:val="0FEE45A0"/>
    <w:rsid w:val="0FF171DE"/>
    <w:rsid w:val="0FFE2C37"/>
    <w:rsid w:val="100E3368"/>
    <w:rsid w:val="10172480"/>
    <w:rsid w:val="10237D76"/>
    <w:rsid w:val="10776674"/>
    <w:rsid w:val="10825804"/>
    <w:rsid w:val="108C2F5D"/>
    <w:rsid w:val="10971AE6"/>
    <w:rsid w:val="10D25232"/>
    <w:rsid w:val="10DE2813"/>
    <w:rsid w:val="10DE6B16"/>
    <w:rsid w:val="10F16EC9"/>
    <w:rsid w:val="11185F2B"/>
    <w:rsid w:val="1120633F"/>
    <w:rsid w:val="11357002"/>
    <w:rsid w:val="1191079E"/>
    <w:rsid w:val="11965DF3"/>
    <w:rsid w:val="119A49FA"/>
    <w:rsid w:val="119E7CB0"/>
    <w:rsid w:val="11BC3D9F"/>
    <w:rsid w:val="11BE774B"/>
    <w:rsid w:val="11C07C4A"/>
    <w:rsid w:val="120137F1"/>
    <w:rsid w:val="121B0E84"/>
    <w:rsid w:val="121D4BF0"/>
    <w:rsid w:val="12606799"/>
    <w:rsid w:val="12824CE3"/>
    <w:rsid w:val="12AD6841"/>
    <w:rsid w:val="13723F8B"/>
    <w:rsid w:val="139A5AA9"/>
    <w:rsid w:val="139E1F67"/>
    <w:rsid w:val="139F1767"/>
    <w:rsid w:val="13C3491D"/>
    <w:rsid w:val="13F1664F"/>
    <w:rsid w:val="14640DA2"/>
    <w:rsid w:val="146436CF"/>
    <w:rsid w:val="14725358"/>
    <w:rsid w:val="14C44CFF"/>
    <w:rsid w:val="14DF5414"/>
    <w:rsid w:val="14FC7360"/>
    <w:rsid w:val="152A7E89"/>
    <w:rsid w:val="15526820"/>
    <w:rsid w:val="15973D41"/>
    <w:rsid w:val="159A2F53"/>
    <w:rsid w:val="15A16166"/>
    <w:rsid w:val="15AD3861"/>
    <w:rsid w:val="15B23AC5"/>
    <w:rsid w:val="15C86130"/>
    <w:rsid w:val="15DC054B"/>
    <w:rsid w:val="15E07242"/>
    <w:rsid w:val="16291694"/>
    <w:rsid w:val="16424C7A"/>
    <w:rsid w:val="168A3B1A"/>
    <w:rsid w:val="17386599"/>
    <w:rsid w:val="179039CF"/>
    <w:rsid w:val="179055EE"/>
    <w:rsid w:val="17A02E70"/>
    <w:rsid w:val="17A56617"/>
    <w:rsid w:val="17AA453C"/>
    <w:rsid w:val="17C54EE7"/>
    <w:rsid w:val="17C83E29"/>
    <w:rsid w:val="17F36529"/>
    <w:rsid w:val="18621F42"/>
    <w:rsid w:val="188928BD"/>
    <w:rsid w:val="188D4A7C"/>
    <w:rsid w:val="18B81832"/>
    <w:rsid w:val="18F22476"/>
    <w:rsid w:val="19000FAD"/>
    <w:rsid w:val="192C3DBF"/>
    <w:rsid w:val="19A74DDE"/>
    <w:rsid w:val="19CA5231"/>
    <w:rsid w:val="1A040DD5"/>
    <w:rsid w:val="1A0C3BDA"/>
    <w:rsid w:val="1A152389"/>
    <w:rsid w:val="1A4B39D6"/>
    <w:rsid w:val="1A952179"/>
    <w:rsid w:val="1AA90A78"/>
    <w:rsid w:val="1AE60FE4"/>
    <w:rsid w:val="1AF72AB6"/>
    <w:rsid w:val="1B24772E"/>
    <w:rsid w:val="1B3D024A"/>
    <w:rsid w:val="1B417D15"/>
    <w:rsid w:val="1BC82F15"/>
    <w:rsid w:val="1C312DCD"/>
    <w:rsid w:val="1C4025CB"/>
    <w:rsid w:val="1C423B4B"/>
    <w:rsid w:val="1C98124B"/>
    <w:rsid w:val="1CA8144B"/>
    <w:rsid w:val="1CA97C54"/>
    <w:rsid w:val="1CD8175B"/>
    <w:rsid w:val="1CEE4EF5"/>
    <w:rsid w:val="1D0F0817"/>
    <w:rsid w:val="1D2B6A4B"/>
    <w:rsid w:val="1D6C4CBB"/>
    <w:rsid w:val="1D6D583B"/>
    <w:rsid w:val="1DAE7CE4"/>
    <w:rsid w:val="1DE459FC"/>
    <w:rsid w:val="1DEE680D"/>
    <w:rsid w:val="1E07588E"/>
    <w:rsid w:val="1E425FCB"/>
    <w:rsid w:val="1E4F2818"/>
    <w:rsid w:val="1E5A3619"/>
    <w:rsid w:val="1E60433B"/>
    <w:rsid w:val="1EA50390"/>
    <w:rsid w:val="1EE45784"/>
    <w:rsid w:val="1F463D54"/>
    <w:rsid w:val="1F536AE0"/>
    <w:rsid w:val="1F7D27F8"/>
    <w:rsid w:val="200824AE"/>
    <w:rsid w:val="2009273A"/>
    <w:rsid w:val="203732FB"/>
    <w:rsid w:val="203C4BC9"/>
    <w:rsid w:val="20B603B8"/>
    <w:rsid w:val="211C79A2"/>
    <w:rsid w:val="2132798F"/>
    <w:rsid w:val="21484CE5"/>
    <w:rsid w:val="21504D2D"/>
    <w:rsid w:val="2159521B"/>
    <w:rsid w:val="21822DAB"/>
    <w:rsid w:val="21856782"/>
    <w:rsid w:val="21936E2E"/>
    <w:rsid w:val="21BA5EC8"/>
    <w:rsid w:val="221360D6"/>
    <w:rsid w:val="22151903"/>
    <w:rsid w:val="222F5A1C"/>
    <w:rsid w:val="22432EF4"/>
    <w:rsid w:val="225B706D"/>
    <w:rsid w:val="22726896"/>
    <w:rsid w:val="22BF45A3"/>
    <w:rsid w:val="22D01277"/>
    <w:rsid w:val="22D30D85"/>
    <w:rsid w:val="22E5619C"/>
    <w:rsid w:val="22FF663F"/>
    <w:rsid w:val="230C1616"/>
    <w:rsid w:val="230D2D5E"/>
    <w:rsid w:val="23156DF3"/>
    <w:rsid w:val="235D12E9"/>
    <w:rsid w:val="239D7FC8"/>
    <w:rsid w:val="23E61633"/>
    <w:rsid w:val="23E668B0"/>
    <w:rsid w:val="24201970"/>
    <w:rsid w:val="24556804"/>
    <w:rsid w:val="24631AE4"/>
    <w:rsid w:val="249218B1"/>
    <w:rsid w:val="24CB51F4"/>
    <w:rsid w:val="24DB2BFD"/>
    <w:rsid w:val="24FA3891"/>
    <w:rsid w:val="250D35DE"/>
    <w:rsid w:val="2515357C"/>
    <w:rsid w:val="251B69DF"/>
    <w:rsid w:val="25EC1BB0"/>
    <w:rsid w:val="25EE63F6"/>
    <w:rsid w:val="26176F74"/>
    <w:rsid w:val="26476E6A"/>
    <w:rsid w:val="2697365B"/>
    <w:rsid w:val="26A90A70"/>
    <w:rsid w:val="26D71AF0"/>
    <w:rsid w:val="26F1763A"/>
    <w:rsid w:val="274D36B1"/>
    <w:rsid w:val="276E578F"/>
    <w:rsid w:val="277A0BD7"/>
    <w:rsid w:val="27C07442"/>
    <w:rsid w:val="27CC34BC"/>
    <w:rsid w:val="27D740CC"/>
    <w:rsid w:val="27E077B1"/>
    <w:rsid w:val="28393D39"/>
    <w:rsid w:val="284F67A4"/>
    <w:rsid w:val="288F37C5"/>
    <w:rsid w:val="28952486"/>
    <w:rsid w:val="28D23876"/>
    <w:rsid w:val="291E3866"/>
    <w:rsid w:val="29317772"/>
    <w:rsid w:val="29655087"/>
    <w:rsid w:val="29B00180"/>
    <w:rsid w:val="29E6435F"/>
    <w:rsid w:val="29F611F6"/>
    <w:rsid w:val="29FB3FF4"/>
    <w:rsid w:val="2A26575A"/>
    <w:rsid w:val="2A2C074A"/>
    <w:rsid w:val="2A5568DE"/>
    <w:rsid w:val="2AA91221"/>
    <w:rsid w:val="2AC07A5A"/>
    <w:rsid w:val="2AEE4EB4"/>
    <w:rsid w:val="2B26256B"/>
    <w:rsid w:val="2BF50816"/>
    <w:rsid w:val="2C145721"/>
    <w:rsid w:val="2C285B4A"/>
    <w:rsid w:val="2C51116A"/>
    <w:rsid w:val="2CBC54F3"/>
    <w:rsid w:val="2CE445AC"/>
    <w:rsid w:val="2CF402CC"/>
    <w:rsid w:val="2D34282B"/>
    <w:rsid w:val="2D36025C"/>
    <w:rsid w:val="2D59292B"/>
    <w:rsid w:val="2D86467E"/>
    <w:rsid w:val="2DDA6098"/>
    <w:rsid w:val="2DFB5A6A"/>
    <w:rsid w:val="2E346961"/>
    <w:rsid w:val="2E766B49"/>
    <w:rsid w:val="2EC9012A"/>
    <w:rsid w:val="2F523BB5"/>
    <w:rsid w:val="2F69300B"/>
    <w:rsid w:val="2F720198"/>
    <w:rsid w:val="2F860554"/>
    <w:rsid w:val="2F8B2331"/>
    <w:rsid w:val="2F8D12CF"/>
    <w:rsid w:val="2FB41CA2"/>
    <w:rsid w:val="30075746"/>
    <w:rsid w:val="30104E69"/>
    <w:rsid w:val="30220C4D"/>
    <w:rsid w:val="302306F5"/>
    <w:rsid w:val="30696889"/>
    <w:rsid w:val="30A50681"/>
    <w:rsid w:val="30BE702D"/>
    <w:rsid w:val="30C7232B"/>
    <w:rsid w:val="30C75C95"/>
    <w:rsid w:val="31093476"/>
    <w:rsid w:val="312B0B08"/>
    <w:rsid w:val="31535FC3"/>
    <w:rsid w:val="316570EF"/>
    <w:rsid w:val="31C00EBF"/>
    <w:rsid w:val="31D03B2C"/>
    <w:rsid w:val="31D96B40"/>
    <w:rsid w:val="31DB3FF9"/>
    <w:rsid w:val="32327E89"/>
    <w:rsid w:val="32883D80"/>
    <w:rsid w:val="32A91631"/>
    <w:rsid w:val="32BC5EB5"/>
    <w:rsid w:val="32E77379"/>
    <w:rsid w:val="336429FC"/>
    <w:rsid w:val="33832228"/>
    <w:rsid w:val="3385087F"/>
    <w:rsid w:val="33CA4D67"/>
    <w:rsid w:val="33CE42C3"/>
    <w:rsid w:val="33F84FF4"/>
    <w:rsid w:val="340771B3"/>
    <w:rsid w:val="346C4EFE"/>
    <w:rsid w:val="34830E0A"/>
    <w:rsid w:val="348B6D54"/>
    <w:rsid w:val="34AE1526"/>
    <w:rsid w:val="34BA7105"/>
    <w:rsid w:val="34CD0365"/>
    <w:rsid w:val="34F94541"/>
    <w:rsid w:val="34FD20EA"/>
    <w:rsid w:val="350E3DDF"/>
    <w:rsid w:val="35666D09"/>
    <w:rsid w:val="356A4B4B"/>
    <w:rsid w:val="35A51AA2"/>
    <w:rsid w:val="35A62338"/>
    <w:rsid w:val="35D47BDA"/>
    <w:rsid w:val="35DA1843"/>
    <w:rsid w:val="35E20255"/>
    <w:rsid w:val="36180C4C"/>
    <w:rsid w:val="36236E9E"/>
    <w:rsid w:val="367177B5"/>
    <w:rsid w:val="36AA20AE"/>
    <w:rsid w:val="36BE0753"/>
    <w:rsid w:val="37291B39"/>
    <w:rsid w:val="374C5F3B"/>
    <w:rsid w:val="376766ED"/>
    <w:rsid w:val="376E7D5C"/>
    <w:rsid w:val="377E5F9A"/>
    <w:rsid w:val="378B5077"/>
    <w:rsid w:val="379A698C"/>
    <w:rsid w:val="37FA18B1"/>
    <w:rsid w:val="38411CBA"/>
    <w:rsid w:val="386940AA"/>
    <w:rsid w:val="38843A31"/>
    <w:rsid w:val="390723EA"/>
    <w:rsid w:val="39C3479D"/>
    <w:rsid w:val="3A100C5D"/>
    <w:rsid w:val="3A170210"/>
    <w:rsid w:val="3A397401"/>
    <w:rsid w:val="3A3C2A61"/>
    <w:rsid w:val="3A5D082A"/>
    <w:rsid w:val="3A7F66BE"/>
    <w:rsid w:val="3AA95409"/>
    <w:rsid w:val="3AC03ED4"/>
    <w:rsid w:val="3ACE5C20"/>
    <w:rsid w:val="3AD66A2F"/>
    <w:rsid w:val="3AE537F2"/>
    <w:rsid w:val="3AF76680"/>
    <w:rsid w:val="3AF85C23"/>
    <w:rsid w:val="3B084A14"/>
    <w:rsid w:val="3B2B1381"/>
    <w:rsid w:val="3B4B5D89"/>
    <w:rsid w:val="3B4C6224"/>
    <w:rsid w:val="3C7A1AA8"/>
    <w:rsid w:val="3CF00F95"/>
    <w:rsid w:val="3CF97F08"/>
    <w:rsid w:val="3D0C7B35"/>
    <w:rsid w:val="3D172E30"/>
    <w:rsid w:val="3D212402"/>
    <w:rsid w:val="3D3D412F"/>
    <w:rsid w:val="3D745EC1"/>
    <w:rsid w:val="3DAA36D3"/>
    <w:rsid w:val="3DC13D20"/>
    <w:rsid w:val="3DD50F18"/>
    <w:rsid w:val="3DDE5FA6"/>
    <w:rsid w:val="3DEE35FF"/>
    <w:rsid w:val="3DFD5D5F"/>
    <w:rsid w:val="3E185A6C"/>
    <w:rsid w:val="3E2B000E"/>
    <w:rsid w:val="3E451BD1"/>
    <w:rsid w:val="3E4B479C"/>
    <w:rsid w:val="3E4B512A"/>
    <w:rsid w:val="3E7E4379"/>
    <w:rsid w:val="3E864E6D"/>
    <w:rsid w:val="3EFE2D0B"/>
    <w:rsid w:val="3F1B669A"/>
    <w:rsid w:val="3F213F84"/>
    <w:rsid w:val="3F4B337B"/>
    <w:rsid w:val="3F6F7FBA"/>
    <w:rsid w:val="3FC307A1"/>
    <w:rsid w:val="3FCA76DD"/>
    <w:rsid w:val="3FD02E50"/>
    <w:rsid w:val="3FF94879"/>
    <w:rsid w:val="401951FC"/>
    <w:rsid w:val="40232263"/>
    <w:rsid w:val="40246F0E"/>
    <w:rsid w:val="40C82983"/>
    <w:rsid w:val="40E1267C"/>
    <w:rsid w:val="40E67159"/>
    <w:rsid w:val="40FD0A7B"/>
    <w:rsid w:val="411E2D9D"/>
    <w:rsid w:val="412D6673"/>
    <w:rsid w:val="412E3162"/>
    <w:rsid w:val="415314ED"/>
    <w:rsid w:val="41943730"/>
    <w:rsid w:val="41D949DE"/>
    <w:rsid w:val="41DF6879"/>
    <w:rsid w:val="41E154F7"/>
    <w:rsid w:val="41FC762C"/>
    <w:rsid w:val="42924BC0"/>
    <w:rsid w:val="42BC4575"/>
    <w:rsid w:val="42C7290C"/>
    <w:rsid w:val="42C80809"/>
    <w:rsid w:val="42DB38B0"/>
    <w:rsid w:val="42FB227F"/>
    <w:rsid w:val="43016785"/>
    <w:rsid w:val="43395E03"/>
    <w:rsid w:val="43642E5D"/>
    <w:rsid w:val="43A472C4"/>
    <w:rsid w:val="43D22F67"/>
    <w:rsid w:val="43DF14E1"/>
    <w:rsid w:val="44074D68"/>
    <w:rsid w:val="444C56E8"/>
    <w:rsid w:val="445715CE"/>
    <w:rsid w:val="44B80161"/>
    <w:rsid w:val="44D9423E"/>
    <w:rsid w:val="45035669"/>
    <w:rsid w:val="45292BB9"/>
    <w:rsid w:val="45463C45"/>
    <w:rsid w:val="457C23F3"/>
    <w:rsid w:val="457E6C0F"/>
    <w:rsid w:val="45BA21DC"/>
    <w:rsid w:val="45C71E11"/>
    <w:rsid w:val="45CC3A0B"/>
    <w:rsid w:val="464555EA"/>
    <w:rsid w:val="4656558B"/>
    <w:rsid w:val="465B0FB3"/>
    <w:rsid w:val="46776A57"/>
    <w:rsid w:val="469828BC"/>
    <w:rsid w:val="46C85213"/>
    <w:rsid w:val="475855BA"/>
    <w:rsid w:val="475B22EB"/>
    <w:rsid w:val="47732704"/>
    <w:rsid w:val="47FB701B"/>
    <w:rsid w:val="48122609"/>
    <w:rsid w:val="481640CD"/>
    <w:rsid w:val="48643C50"/>
    <w:rsid w:val="48686A8D"/>
    <w:rsid w:val="48A0615B"/>
    <w:rsid w:val="490A2ABD"/>
    <w:rsid w:val="492F2978"/>
    <w:rsid w:val="495346FC"/>
    <w:rsid w:val="495D70C3"/>
    <w:rsid w:val="496B0A61"/>
    <w:rsid w:val="49B513CD"/>
    <w:rsid w:val="49B61788"/>
    <w:rsid w:val="49DA0F47"/>
    <w:rsid w:val="49E17FB5"/>
    <w:rsid w:val="4A1D1342"/>
    <w:rsid w:val="4A304609"/>
    <w:rsid w:val="4A4A6CA2"/>
    <w:rsid w:val="4A9527C8"/>
    <w:rsid w:val="4AB255DA"/>
    <w:rsid w:val="4ADE2923"/>
    <w:rsid w:val="4AE341B3"/>
    <w:rsid w:val="4AE85FBA"/>
    <w:rsid w:val="4AF7545E"/>
    <w:rsid w:val="4B326ADB"/>
    <w:rsid w:val="4B784AB7"/>
    <w:rsid w:val="4B7C54C0"/>
    <w:rsid w:val="4B7F594A"/>
    <w:rsid w:val="4BA475B1"/>
    <w:rsid w:val="4C152225"/>
    <w:rsid w:val="4C2F6304"/>
    <w:rsid w:val="4C4E3E1B"/>
    <w:rsid w:val="4C6610A2"/>
    <w:rsid w:val="4CC473CF"/>
    <w:rsid w:val="4CE2715E"/>
    <w:rsid w:val="4CF43DE4"/>
    <w:rsid w:val="4D0E05A2"/>
    <w:rsid w:val="4D4C4A34"/>
    <w:rsid w:val="4D630BC6"/>
    <w:rsid w:val="4D937C4B"/>
    <w:rsid w:val="4DA95638"/>
    <w:rsid w:val="4E0C64E6"/>
    <w:rsid w:val="4E3A5450"/>
    <w:rsid w:val="4E4A3609"/>
    <w:rsid w:val="4E4D39C6"/>
    <w:rsid w:val="4E571B9F"/>
    <w:rsid w:val="4EB112F7"/>
    <w:rsid w:val="4EBF1C63"/>
    <w:rsid w:val="4ED664B1"/>
    <w:rsid w:val="4F09603C"/>
    <w:rsid w:val="4F53787D"/>
    <w:rsid w:val="4F580451"/>
    <w:rsid w:val="4F7B426D"/>
    <w:rsid w:val="4FD478DA"/>
    <w:rsid w:val="4FDD0087"/>
    <w:rsid w:val="50091D66"/>
    <w:rsid w:val="50663640"/>
    <w:rsid w:val="506B481F"/>
    <w:rsid w:val="5090598C"/>
    <w:rsid w:val="50DB0B35"/>
    <w:rsid w:val="50F47A03"/>
    <w:rsid w:val="50F5502D"/>
    <w:rsid w:val="50F70D2F"/>
    <w:rsid w:val="51544B03"/>
    <w:rsid w:val="5160366C"/>
    <w:rsid w:val="51C55D03"/>
    <w:rsid w:val="52334787"/>
    <w:rsid w:val="524741E8"/>
    <w:rsid w:val="52E32AF7"/>
    <w:rsid w:val="52E53612"/>
    <w:rsid w:val="53693348"/>
    <w:rsid w:val="536E20D3"/>
    <w:rsid w:val="539D6A33"/>
    <w:rsid w:val="53A00B3A"/>
    <w:rsid w:val="53E54399"/>
    <w:rsid w:val="53E976F2"/>
    <w:rsid w:val="53FE0CCD"/>
    <w:rsid w:val="542F7674"/>
    <w:rsid w:val="54942626"/>
    <w:rsid w:val="552664BC"/>
    <w:rsid w:val="552B0008"/>
    <w:rsid w:val="55A110AD"/>
    <w:rsid w:val="55BE18B1"/>
    <w:rsid w:val="55C07245"/>
    <w:rsid w:val="55E6502E"/>
    <w:rsid w:val="564B761A"/>
    <w:rsid w:val="56534173"/>
    <w:rsid w:val="56634841"/>
    <w:rsid w:val="569C40A5"/>
    <w:rsid w:val="56A82F93"/>
    <w:rsid w:val="56DC58E9"/>
    <w:rsid w:val="573E1A7B"/>
    <w:rsid w:val="57B0275F"/>
    <w:rsid w:val="57C112CD"/>
    <w:rsid w:val="57CB59DD"/>
    <w:rsid w:val="57ED5AB5"/>
    <w:rsid w:val="5806193A"/>
    <w:rsid w:val="5862198B"/>
    <w:rsid w:val="58816716"/>
    <w:rsid w:val="58A96A20"/>
    <w:rsid w:val="58AC2F75"/>
    <w:rsid w:val="58B80CF9"/>
    <w:rsid w:val="58D044D1"/>
    <w:rsid w:val="58EE226A"/>
    <w:rsid w:val="593756A2"/>
    <w:rsid w:val="594C35E5"/>
    <w:rsid w:val="59827DDB"/>
    <w:rsid w:val="59B54301"/>
    <w:rsid w:val="59DF60BF"/>
    <w:rsid w:val="5A0D3140"/>
    <w:rsid w:val="5A102605"/>
    <w:rsid w:val="5A36226A"/>
    <w:rsid w:val="5A6E28BA"/>
    <w:rsid w:val="5A796FF2"/>
    <w:rsid w:val="5A836C5B"/>
    <w:rsid w:val="5A855465"/>
    <w:rsid w:val="5A944D3F"/>
    <w:rsid w:val="5A9A151B"/>
    <w:rsid w:val="5AAB2187"/>
    <w:rsid w:val="5AAC7074"/>
    <w:rsid w:val="5ABE3586"/>
    <w:rsid w:val="5ACE7DCF"/>
    <w:rsid w:val="5AD667B2"/>
    <w:rsid w:val="5AF53B80"/>
    <w:rsid w:val="5B194C34"/>
    <w:rsid w:val="5B2C09FB"/>
    <w:rsid w:val="5B4E5C47"/>
    <w:rsid w:val="5B7C7800"/>
    <w:rsid w:val="5B7D0522"/>
    <w:rsid w:val="5BAF599D"/>
    <w:rsid w:val="5BC67C2B"/>
    <w:rsid w:val="5C1E5C92"/>
    <w:rsid w:val="5CAD3B14"/>
    <w:rsid w:val="5CAE5850"/>
    <w:rsid w:val="5CD34A0C"/>
    <w:rsid w:val="5CF370E3"/>
    <w:rsid w:val="5D725CBB"/>
    <w:rsid w:val="5DC03248"/>
    <w:rsid w:val="5DCC7D3C"/>
    <w:rsid w:val="5E180AC8"/>
    <w:rsid w:val="5E45142B"/>
    <w:rsid w:val="5E713D37"/>
    <w:rsid w:val="5E723BFD"/>
    <w:rsid w:val="5E7544FA"/>
    <w:rsid w:val="5E9658B7"/>
    <w:rsid w:val="5F685AD8"/>
    <w:rsid w:val="5F9305AF"/>
    <w:rsid w:val="5FA4362A"/>
    <w:rsid w:val="5FA67EDB"/>
    <w:rsid w:val="5FB87ACF"/>
    <w:rsid w:val="60250FDC"/>
    <w:rsid w:val="60386F43"/>
    <w:rsid w:val="604A6CAF"/>
    <w:rsid w:val="604C1902"/>
    <w:rsid w:val="605D0FAB"/>
    <w:rsid w:val="6063037A"/>
    <w:rsid w:val="607A7AD5"/>
    <w:rsid w:val="60887C29"/>
    <w:rsid w:val="608F0270"/>
    <w:rsid w:val="609B7140"/>
    <w:rsid w:val="60C12672"/>
    <w:rsid w:val="60C13B97"/>
    <w:rsid w:val="60E82834"/>
    <w:rsid w:val="60F01881"/>
    <w:rsid w:val="612E6667"/>
    <w:rsid w:val="61596E00"/>
    <w:rsid w:val="615A3674"/>
    <w:rsid w:val="617E1846"/>
    <w:rsid w:val="61A20F91"/>
    <w:rsid w:val="61E52C08"/>
    <w:rsid w:val="61FA0DF7"/>
    <w:rsid w:val="620A38B2"/>
    <w:rsid w:val="621A1304"/>
    <w:rsid w:val="622B4F39"/>
    <w:rsid w:val="622B5FEF"/>
    <w:rsid w:val="622C425F"/>
    <w:rsid w:val="623821E3"/>
    <w:rsid w:val="623A35E4"/>
    <w:rsid w:val="6260540C"/>
    <w:rsid w:val="62823102"/>
    <w:rsid w:val="62FD6C69"/>
    <w:rsid w:val="630C4804"/>
    <w:rsid w:val="633D3ACC"/>
    <w:rsid w:val="6357718F"/>
    <w:rsid w:val="6374229E"/>
    <w:rsid w:val="63DE3C8D"/>
    <w:rsid w:val="63DF1697"/>
    <w:rsid w:val="64034443"/>
    <w:rsid w:val="64341EC1"/>
    <w:rsid w:val="648D7B3D"/>
    <w:rsid w:val="64C67916"/>
    <w:rsid w:val="65361C9D"/>
    <w:rsid w:val="65BA5257"/>
    <w:rsid w:val="65D33590"/>
    <w:rsid w:val="65D84AB7"/>
    <w:rsid w:val="65DC33B6"/>
    <w:rsid w:val="661561E0"/>
    <w:rsid w:val="66B77F89"/>
    <w:rsid w:val="66EC0264"/>
    <w:rsid w:val="66FD318A"/>
    <w:rsid w:val="6712333A"/>
    <w:rsid w:val="671B678E"/>
    <w:rsid w:val="672D4A61"/>
    <w:rsid w:val="6740347E"/>
    <w:rsid w:val="67936195"/>
    <w:rsid w:val="67AA1912"/>
    <w:rsid w:val="67CC789B"/>
    <w:rsid w:val="67ED01F0"/>
    <w:rsid w:val="6802706F"/>
    <w:rsid w:val="68107943"/>
    <w:rsid w:val="68163F22"/>
    <w:rsid w:val="686873BA"/>
    <w:rsid w:val="686D5EE9"/>
    <w:rsid w:val="689D3564"/>
    <w:rsid w:val="68DA146D"/>
    <w:rsid w:val="68E03761"/>
    <w:rsid w:val="68E85B69"/>
    <w:rsid w:val="69322589"/>
    <w:rsid w:val="696776EB"/>
    <w:rsid w:val="69E95E41"/>
    <w:rsid w:val="6A0A676F"/>
    <w:rsid w:val="6A10536A"/>
    <w:rsid w:val="6A257E06"/>
    <w:rsid w:val="6A382FFB"/>
    <w:rsid w:val="6A680068"/>
    <w:rsid w:val="6AA168A0"/>
    <w:rsid w:val="6AD3001B"/>
    <w:rsid w:val="6B743E11"/>
    <w:rsid w:val="6B847970"/>
    <w:rsid w:val="6BB604DA"/>
    <w:rsid w:val="6BF871B1"/>
    <w:rsid w:val="6BFB3C20"/>
    <w:rsid w:val="6C3C148D"/>
    <w:rsid w:val="6C584036"/>
    <w:rsid w:val="6C815BA9"/>
    <w:rsid w:val="6C837AF2"/>
    <w:rsid w:val="6C8E069C"/>
    <w:rsid w:val="6CAE60AB"/>
    <w:rsid w:val="6CE639C9"/>
    <w:rsid w:val="6D4A76E5"/>
    <w:rsid w:val="6D58168E"/>
    <w:rsid w:val="6D5A185F"/>
    <w:rsid w:val="6D6912FE"/>
    <w:rsid w:val="6DAC63C6"/>
    <w:rsid w:val="6DF933CF"/>
    <w:rsid w:val="6E0F0967"/>
    <w:rsid w:val="6E586C72"/>
    <w:rsid w:val="6E5A37C8"/>
    <w:rsid w:val="6E6E32B8"/>
    <w:rsid w:val="6EA54105"/>
    <w:rsid w:val="6EB05558"/>
    <w:rsid w:val="6F2620BC"/>
    <w:rsid w:val="6F2B1648"/>
    <w:rsid w:val="6F8A4BA8"/>
    <w:rsid w:val="6F9A0E2A"/>
    <w:rsid w:val="700B0994"/>
    <w:rsid w:val="7018602C"/>
    <w:rsid w:val="70A64421"/>
    <w:rsid w:val="71D2439E"/>
    <w:rsid w:val="71ED781F"/>
    <w:rsid w:val="7208036E"/>
    <w:rsid w:val="723072D9"/>
    <w:rsid w:val="72333028"/>
    <w:rsid w:val="72415B33"/>
    <w:rsid w:val="726779EE"/>
    <w:rsid w:val="7281599D"/>
    <w:rsid w:val="72D64DE2"/>
    <w:rsid w:val="737D210E"/>
    <w:rsid w:val="739804D7"/>
    <w:rsid w:val="740C1477"/>
    <w:rsid w:val="741E5D8E"/>
    <w:rsid w:val="743C6A21"/>
    <w:rsid w:val="747148AD"/>
    <w:rsid w:val="748822A7"/>
    <w:rsid w:val="74BC3E39"/>
    <w:rsid w:val="74F41AAD"/>
    <w:rsid w:val="74F456D1"/>
    <w:rsid w:val="74F64D48"/>
    <w:rsid w:val="75281CEE"/>
    <w:rsid w:val="753F06EF"/>
    <w:rsid w:val="75832B4E"/>
    <w:rsid w:val="75897B25"/>
    <w:rsid w:val="759C45F7"/>
    <w:rsid w:val="75C34FA0"/>
    <w:rsid w:val="75C87FFA"/>
    <w:rsid w:val="75D04242"/>
    <w:rsid w:val="761D12BD"/>
    <w:rsid w:val="76215B94"/>
    <w:rsid w:val="76341C32"/>
    <w:rsid w:val="76A56C1E"/>
    <w:rsid w:val="76C1264F"/>
    <w:rsid w:val="76FD48DB"/>
    <w:rsid w:val="77113F65"/>
    <w:rsid w:val="77370C23"/>
    <w:rsid w:val="776D6420"/>
    <w:rsid w:val="77707C4E"/>
    <w:rsid w:val="779909C8"/>
    <w:rsid w:val="77AA28B6"/>
    <w:rsid w:val="77BB3B6B"/>
    <w:rsid w:val="781D26BF"/>
    <w:rsid w:val="784B13F8"/>
    <w:rsid w:val="78532CCC"/>
    <w:rsid w:val="78AC0452"/>
    <w:rsid w:val="78B638DF"/>
    <w:rsid w:val="78BE303F"/>
    <w:rsid w:val="78E80647"/>
    <w:rsid w:val="793B6180"/>
    <w:rsid w:val="79D13DAD"/>
    <w:rsid w:val="79ED6528"/>
    <w:rsid w:val="7A09656E"/>
    <w:rsid w:val="7A1C1234"/>
    <w:rsid w:val="7A2074AF"/>
    <w:rsid w:val="7A7D731C"/>
    <w:rsid w:val="7AC42003"/>
    <w:rsid w:val="7AFB046B"/>
    <w:rsid w:val="7B191944"/>
    <w:rsid w:val="7B2D439B"/>
    <w:rsid w:val="7B3C75C9"/>
    <w:rsid w:val="7B910622"/>
    <w:rsid w:val="7BAD54E1"/>
    <w:rsid w:val="7BD97F1F"/>
    <w:rsid w:val="7C0A3AF0"/>
    <w:rsid w:val="7C270EFF"/>
    <w:rsid w:val="7C4D249F"/>
    <w:rsid w:val="7C52396E"/>
    <w:rsid w:val="7C7A3851"/>
    <w:rsid w:val="7CB961DD"/>
    <w:rsid w:val="7CD520A8"/>
    <w:rsid w:val="7CF1438F"/>
    <w:rsid w:val="7D3F6F38"/>
    <w:rsid w:val="7D44744D"/>
    <w:rsid w:val="7DE64FA7"/>
    <w:rsid w:val="7E074CC5"/>
    <w:rsid w:val="7E0F0403"/>
    <w:rsid w:val="7E2834EB"/>
    <w:rsid w:val="7E303629"/>
    <w:rsid w:val="7E8B06D0"/>
    <w:rsid w:val="7E8E5320"/>
    <w:rsid w:val="7E995CC6"/>
    <w:rsid w:val="7EFA2D46"/>
    <w:rsid w:val="7F2E24C2"/>
    <w:rsid w:val="7F2F23BF"/>
    <w:rsid w:val="7F5B6D3B"/>
    <w:rsid w:val="7F5E3953"/>
    <w:rsid w:val="7F8210E9"/>
    <w:rsid w:val="7FFB26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3"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880" w:firstLineChars="200"/>
      <w:jc w:val="both"/>
      <w:outlineLvl w:val="0"/>
    </w:pPr>
    <w:rPr>
      <w:rFonts w:eastAsia="黑体"/>
      <w:kern w:val="44"/>
    </w:rPr>
  </w:style>
  <w:style w:type="paragraph" w:styleId="3">
    <w:name w:val="heading 2"/>
    <w:basedOn w:val="1"/>
    <w:next w:val="1"/>
    <w:unhideWhenUsed/>
    <w:qFormat/>
    <w:uiPriority w:val="0"/>
    <w:pPr>
      <w:keepNext/>
      <w:keepLines/>
      <w:spacing w:beforeLines="0" w:beforeAutospacing="0" w:afterLines="0" w:afterAutospacing="0" w:line="560" w:lineRule="exact"/>
      <w:ind w:firstLine="880" w:firstLineChars="200"/>
      <w:jc w:val="both"/>
      <w:outlineLvl w:val="1"/>
    </w:pPr>
    <w:rPr>
      <w:rFonts w:eastAsia="楷体_GB2312"/>
      <w:b/>
    </w:rPr>
  </w:style>
  <w:style w:type="paragraph" w:styleId="4">
    <w:name w:val="heading 3"/>
    <w:basedOn w:val="1"/>
    <w:next w:val="1"/>
    <w:unhideWhenUsed/>
    <w:qFormat/>
    <w:uiPriority w:val="0"/>
    <w:pPr>
      <w:keepNext/>
      <w:keepLines/>
      <w:spacing w:beforeLines="0" w:beforeAutospacing="0" w:afterLines="0" w:afterAutospacing="0" w:line="560" w:lineRule="exact"/>
      <w:outlineLvl w:val="2"/>
    </w:pPr>
    <w:rPr>
      <w:rFonts w:eastAsia="仿宋_GB2312"/>
      <w:b/>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spacing w:line="360" w:lineRule="exact"/>
      <w:jc w:val="left"/>
    </w:pPr>
    <w:rPr>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Lines="0" w:beforeAutospacing="0" w:afterLines="0" w:afterAutospacing="0" w:line="640" w:lineRule="exact"/>
      <w:ind w:firstLine="0" w:firstLineChars="0"/>
      <w:jc w:val="center"/>
      <w:outlineLvl w:val="0"/>
    </w:pPr>
    <w:rPr>
      <w:rFonts w:eastAsia="方正小标宋简体"/>
      <w:sz w:val="4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footnote reference"/>
    <w:basedOn w:val="12"/>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gj\AppData\Roaming\kingsoft\office6\templates\wps\zh_CN\&#27169;&#26495;3&#65288;&#20844;&#25991;&#65289;.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92427fd2-90a7-438f-aaeb-6e1585166d78</errorID>
      <errorWord>明</errorWord>
      <group>L1_Word</group>
      <groupName>字词问题</groupName>
      <ability>L2_Typo</ability>
      <abilityName>字词错误</abilityName>
      <candidateList>
        <item>明了</item>
      </candidateList>
      <explain/>
      <paraID>7CBCFCEE</paraID>
      <start>9</start>
      <end>10</end>
      <status>ignored</status>
      <modifiedWord/>
      <trackRevisions>false</trackRevisions>
    </reviewItem>
    <reviewItem>
      <errorID>2b014bf1-5e83-407d-8eaf-6a96959f1301</errorID>
      <errorWord>进一步全面深化改革实现新突破</errorWord>
      <group>L1_Political</group>
      <groupName>政治性问题</groupName>
      <ability>L2_Keyword</ability>
      <abilityName>固定表述</abilityName>
      <candidateList>
        <item>进一步全面深化改革取得新突破</item>
      </candidateList>
      <explain>词汇“进一步全面深化改革取得新突破”在特定场景下为固定表述形式，请确认此处的“进一步全面深化改革实现新突破”是否存在不当。</explain>
      <paraID>3B0E719E</paraID>
      <start>96</start>
      <end>110</end>
      <status>ignored</status>
      <modifiedWord/>
      <trackRevisions>false</trackRevisions>
    </reviewItem>
    <reviewItem>
      <errorID>9f561bef-5f99-4881-83bc-2e6f02fba005</errorID>
      <errorWord>经济实力、科技实力、综合实力</errorWord>
      <group>L1_Political</group>
      <groupName>政治性问题</groupName>
      <ability>L2_Keyword</ability>
      <abilityName>固定表述</abilityName>
      <candidateList>
        <item>经济实力、科技实力、综合国力</item>
      </candidateList>
      <explain>词汇“经济实力、科技实力、综合国力”在特定场景下为固定表述形式，请确认此处的“经济实力、科技实力、综合实力”是否存在不当。</explain>
      <paraID>48D37B4E</paraID>
      <start>33</start>
      <end>47</end>
      <status>ignored</status>
      <modifiedWord/>
      <trackRevisions>false</trackRevisions>
    </reviewItem>
    <reviewItem>
      <errorID>d08c69d5-2cf4-4116-be97-6e9b4d935811</errorID>
      <errorWord>更好服务</errorWord>
      <group>L1_Word</group>
      <groupName>字词问题</groupName>
      <ability>L2_Typo</ability>
      <abilityName>字词错误</abilityName>
      <candidateList>
        <item>更好地服务</item>
      </candidateList>
      <explain/>
      <paraID> 22D541D</paraID>
      <start>67</start>
      <end>71</end>
      <status>ignored</status>
      <modifiedWord/>
      <trackRevisions>false</trackRevisions>
    </reviewItem>
    <reviewItem>
      <errorID>0c41c3ba-fec4-418e-b65e-936166637235</errorID>
      <errorWord>市场化法治化国际化</errorWord>
      <group>L1_Political</group>
      <groupName>政治性问题</groupName>
      <ability>L2_Keyword</ability>
      <abilityName>固定表述</abilityName>
      <candidateList>
        <item>市场化、法治化、国际化</item>
      </candidateList>
      <explain>注意检查当前固定表述标点是否使用规范。</explain>
      <paraID>2C8128D1</paraID>
      <start>28</start>
      <end>37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af6fd2-8068-46f8-84a7-6f54b89a41b7}">
  <ds:schemaRefs/>
</ds:datastoreItem>
</file>

<file path=docProps/app.xml><?xml version="1.0" encoding="utf-8"?>
<Properties xmlns="http://schemas.openxmlformats.org/officeDocument/2006/extended-properties" xmlns:vt="http://schemas.openxmlformats.org/officeDocument/2006/docPropsVTypes">
  <Template>模板3（公文）.dotx</Template>
  <Pages>8</Pages>
  <Words>4010</Words>
  <Characters>4148</Characters>
  <Lines>0</Lines>
  <Paragraphs>0</Paragraphs>
  <TotalTime>1</TotalTime>
  <ScaleCrop>false</ScaleCrop>
  <LinksUpToDate>false</LinksUpToDate>
  <CharactersWithSpaces>4149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2026-06-29T11:46:00Z</dcterms:created>
  <dc:creator>胡观景</dc:creator>
  <cp:lastModifiedBy>王程</cp:lastModifiedBy>
  <dcterms:modified xsi:type="dcterms:W3CDTF">2026-07-31T01:11:31Z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B9176136730949B5B248E290366BDAAC_11</vt:lpwstr>
  </property>
  <property fmtid="{D5CDD505-2E9C-101B-9397-08002B2CF9AE}" pid="4" name="KSOTemplateDocerSaveRecord">
    <vt:lpwstr>eyJoZGlkIjoiY2FmZTg4NWRhMTE2ZDQ2NjI5NmI0NzE4Y2I1YTkyMGYiLCJ1c2VySWQiOiI0NTA4NjQ2MTYifQ==</vt:lpwstr>
  </property>
</Properties>
</file>