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D19560D">
      <w:pPr>
        <w:pStyle w:val="25"/>
        <w:rPr>
          <w:color w:val="auto"/>
          <w:highlight w:val="none"/>
        </w:rPr>
      </w:pPr>
      <w:r>
        <w:rPr>
          <w:color w:val="auto"/>
          <w:highlight w:val="none"/>
        </w:rPr>
        <w:t>关于《开平市农业农村现代化“十五五”规划》编制情况说明</w:t>
      </w:r>
    </w:p>
    <w:p w14:paraId="6007107B">
      <w:pPr>
        <w:ind w:firstLine="0" w:firstLineChars="0"/>
        <w:jc w:val="center"/>
        <w:rPr>
          <w:rFonts w:hint="eastAsia" w:ascii="方正楷体简体" w:hAnsi="方正楷体简体" w:eastAsia="方正楷体简体" w:cs="方正楷体简体"/>
          <w:color w:val="auto"/>
          <w:highlight w:val="none"/>
        </w:rPr>
      </w:pPr>
      <w:r>
        <w:rPr>
          <w:rFonts w:hint="eastAsia" w:ascii="方正楷体简体" w:hAnsi="方正楷体简体" w:eastAsia="方正楷体简体" w:cs="方正楷体简体"/>
          <w:color w:val="auto"/>
          <w:highlight w:val="none"/>
        </w:rPr>
        <w:t>开平市农业农村局</w:t>
      </w:r>
    </w:p>
    <w:p w14:paraId="0A101DC5">
      <w:pPr>
        <w:ind w:firstLine="0" w:firstLineChars="0"/>
        <w:jc w:val="center"/>
        <w:rPr>
          <w:color w:val="auto"/>
          <w:highlight w:val="none"/>
        </w:rPr>
      </w:pPr>
    </w:p>
    <w:p w14:paraId="2752D54D">
      <w:pPr>
        <w:pStyle w:val="2"/>
        <w:rPr>
          <w:highlight w:val="none"/>
        </w:rPr>
      </w:pPr>
      <w:r>
        <w:rPr>
          <w:rFonts w:hint="eastAsia"/>
          <w:highlight w:val="none"/>
        </w:rPr>
        <w:t>一、编制背景</w:t>
      </w:r>
    </w:p>
    <w:p w14:paraId="2FCDB06F">
      <w:pPr>
        <w:ind w:firstLine="640"/>
        <w:rPr>
          <w:highlight w:val="none"/>
        </w:rPr>
      </w:pPr>
      <w:r>
        <w:rPr>
          <w:rFonts w:hint="eastAsia"/>
          <w:highlight w:val="none"/>
        </w:rPr>
        <w:t>“十五五”时期（2026—2030年）是基本实现社会主义现代化夯实基础、全面发力的关键时期，也是开平市奋力谱写中国式现代化农业、</w:t>
      </w:r>
      <w:r>
        <w:rPr>
          <w:highlight w:val="none"/>
        </w:rPr>
        <w:t>打造彰显侨乡特色的乡村振兴样板的重要五年</w:t>
      </w:r>
      <w:r>
        <w:rPr>
          <w:rFonts w:hint="eastAsia"/>
          <w:highlight w:val="none"/>
        </w:rPr>
        <w:t>。为系统推动“十五五”时期农业农村高质量发展，加快农业农村现代化进程，在全面总结评估“十四五”乡村振兴发展成效、深入研判农业农村发展新形势与突出短板的基础上，对标国家乡村振兴战略、广东省农业农村现代化“十五五”规划、</w:t>
      </w:r>
      <w:r>
        <w:rPr>
          <w:highlight w:val="none"/>
        </w:rPr>
        <w:t>江门市农业农村现代化</w:t>
      </w:r>
      <w:r>
        <w:rPr>
          <w:rFonts w:hint="eastAsia"/>
          <w:highlight w:val="none"/>
        </w:rPr>
        <w:t>“十五五”</w:t>
      </w:r>
      <w:r>
        <w:rPr>
          <w:highlight w:val="none"/>
        </w:rPr>
        <w:t>规划</w:t>
      </w:r>
      <w:r>
        <w:rPr>
          <w:rFonts w:hint="eastAsia"/>
          <w:highlight w:val="none"/>
        </w:rPr>
        <w:t>以及市委</w:t>
      </w:r>
      <w:r>
        <w:rPr>
          <w:rFonts w:hint="eastAsia"/>
          <w:highlight w:val="none"/>
          <w:lang w:eastAsia="zh-CN"/>
        </w:rPr>
        <w:t>、</w:t>
      </w:r>
      <w:r>
        <w:rPr>
          <w:rFonts w:hint="eastAsia"/>
          <w:highlight w:val="none"/>
        </w:rPr>
        <w:t>市政府工作安排，开平市农业农村局组织编制《开平</w:t>
      </w:r>
      <w:bookmarkStart w:id="0" w:name="_GoBack"/>
      <w:bookmarkEnd w:id="0"/>
      <w:r>
        <w:rPr>
          <w:rFonts w:hint="eastAsia"/>
          <w:highlight w:val="none"/>
        </w:rPr>
        <w:t>市农业农村现代化“十五五”规划》（以下简称《规划》）。《规划》明确“十五五”时期推进农业农村现代化的指导思想、发展目标、重点任务与实施抓手，是指导今后五年全市“三农”工作、全面推进乡村振兴的重要纲领性文件。</w:t>
      </w:r>
    </w:p>
    <w:p w14:paraId="00F6546A">
      <w:pPr>
        <w:pStyle w:val="2"/>
        <w:rPr>
          <w:highlight w:val="none"/>
        </w:rPr>
      </w:pPr>
      <w:r>
        <w:rPr>
          <w:rFonts w:hint="eastAsia"/>
          <w:highlight w:val="none"/>
        </w:rPr>
        <w:t>二、编制过程</w:t>
      </w:r>
    </w:p>
    <w:p w14:paraId="051121EE">
      <w:pPr>
        <w:ind w:firstLine="640"/>
        <w:rPr>
          <w:color w:val="auto"/>
          <w:highlight w:val="none"/>
        </w:rPr>
      </w:pPr>
      <w:r>
        <w:rPr>
          <w:rFonts w:hint="eastAsia"/>
          <w:color w:val="auto"/>
          <w:highlight w:val="none"/>
        </w:rPr>
        <w:t>开平</w:t>
      </w:r>
      <w:r>
        <w:rPr>
          <w:color w:val="auto"/>
          <w:highlight w:val="none"/>
        </w:rPr>
        <w:t>市农业农村局</w:t>
      </w:r>
      <w:r>
        <w:rPr>
          <w:rFonts w:hint="eastAsia"/>
          <w:color w:val="auto"/>
          <w:highlight w:val="none"/>
        </w:rPr>
        <w:t>在全面总结“十四五”发展成效、把握新形势和短板的基础上，于2025年10月开始</w:t>
      </w:r>
      <w:r>
        <w:rPr>
          <w:color w:val="auto"/>
          <w:highlight w:val="none"/>
        </w:rPr>
        <w:t>《规划》编制</w:t>
      </w:r>
      <w:r>
        <w:rPr>
          <w:rFonts w:hint="eastAsia"/>
          <w:color w:val="auto"/>
          <w:highlight w:val="none"/>
        </w:rPr>
        <w:t>工作</w:t>
      </w:r>
      <w:r>
        <w:rPr>
          <w:color w:val="auto"/>
          <w:highlight w:val="none"/>
        </w:rPr>
        <w:t>，将其作为未来五年全市</w:t>
      </w:r>
      <w:r>
        <w:rPr>
          <w:rFonts w:hint="eastAsia"/>
          <w:color w:val="auto"/>
          <w:highlight w:val="none"/>
        </w:rPr>
        <w:t>“三农”</w:t>
      </w:r>
      <w:r>
        <w:rPr>
          <w:color w:val="auto"/>
          <w:highlight w:val="none"/>
        </w:rPr>
        <w:t>工作总依据。《规划》统筹衔接了国家、省、江门市、开平市</w:t>
      </w:r>
      <w:r>
        <w:rPr>
          <w:rFonts w:hint="eastAsia"/>
          <w:color w:val="auto"/>
          <w:highlight w:val="none"/>
        </w:rPr>
        <w:t>“十五五”</w:t>
      </w:r>
      <w:r>
        <w:rPr>
          <w:color w:val="auto"/>
          <w:highlight w:val="none"/>
        </w:rPr>
        <w:t>规划与专项规划关于农业农村现代化的总体要求，践行开门编规划理念</w:t>
      </w:r>
      <w:r>
        <w:rPr>
          <w:rFonts w:hint="eastAsia"/>
          <w:color w:val="auto"/>
          <w:highlight w:val="none"/>
        </w:rPr>
        <w:t>。</w:t>
      </w:r>
      <w:r>
        <w:rPr>
          <w:color w:val="auto"/>
          <w:highlight w:val="none"/>
        </w:rPr>
        <w:t>深入各镇（街）、农业龙头企业及农村基层开展实地调研，全面摸清行业现状、梳理痛点堵点，广泛征求各镇（街）及农业企业代表意见</w:t>
      </w:r>
      <w:r>
        <w:rPr>
          <w:rFonts w:hint="eastAsia"/>
          <w:color w:val="auto"/>
          <w:highlight w:val="none"/>
        </w:rPr>
        <w:t>。</w:t>
      </w:r>
    </w:p>
    <w:p w14:paraId="7D4F5C82">
      <w:pPr>
        <w:ind w:firstLine="640"/>
        <w:rPr>
          <w:color w:val="auto"/>
          <w:highlight w:val="none"/>
        </w:rPr>
      </w:pPr>
      <w:r>
        <w:rPr>
          <w:rFonts w:hint="eastAsia"/>
          <w:color w:val="auto"/>
          <w:highlight w:val="none"/>
        </w:rPr>
        <w:t>2026年1月-</w:t>
      </w:r>
      <w:r>
        <w:rPr>
          <w:rFonts w:hint="eastAsia"/>
          <w:color w:val="auto"/>
          <w:highlight w:val="none"/>
          <w:lang w:val="en-US" w:eastAsia="zh-CN"/>
        </w:rPr>
        <w:t>5</w:t>
      </w:r>
      <w:r>
        <w:rPr>
          <w:rFonts w:hint="eastAsia"/>
          <w:color w:val="auto"/>
          <w:highlight w:val="none"/>
        </w:rPr>
        <w:t>月期间，《规划》先后</w:t>
      </w:r>
      <w:r>
        <w:rPr>
          <w:rFonts w:hint="eastAsia"/>
          <w:color w:val="auto"/>
          <w:highlight w:val="none"/>
          <w:lang w:val="en-US" w:eastAsia="zh-CN"/>
        </w:rPr>
        <w:t>两</w:t>
      </w:r>
      <w:r>
        <w:rPr>
          <w:rFonts w:hint="eastAsia"/>
          <w:color w:val="auto"/>
          <w:highlight w:val="none"/>
        </w:rPr>
        <w:t>次征求职能部门及</w:t>
      </w:r>
      <w:r>
        <w:rPr>
          <w:color w:val="auto"/>
          <w:highlight w:val="none"/>
        </w:rPr>
        <w:t>各镇（街）</w:t>
      </w:r>
      <w:r>
        <w:rPr>
          <w:rFonts w:hint="eastAsia"/>
          <w:color w:val="auto"/>
          <w:highlight w:val="none"/>
        </w:rPr>
        <w:t>意见，共收集反馈意见</w:t>
      </w:r>
      <w:r>
        <w:rPr>
          <w:rFonts w:hint="eastAsia"/>
          <w:color w:val="auto"/>
          <w:highlight w:val="none"/>
          <w:lang w:val="en-US" w:eastAsia="zh-CN"/>
        </w:rPr>
        <w:t>9</w:t>
      </w:r>
      <w:r>
        <w:rPr>
          <w:rFonts w:hint="eastAsia"/>
          <w:color w:val="auto"/>
          <w:highlight w:val="none"/>
        </w:rPr>
        <w:t>条，</w:t>
      </w:r>
      <w:r>
        <w:rPr>
          <w:color w:val="auto"/>
          <w:highlight w:val="none"/>
        </w:rPr>
        <w:t>对合理意见均予以采纳并优化完善</w:t>
      </w:r>
      <w:r>
        <w:rPr>
          <w:rFonts w:hint="eastAsia"/>
          <w:color w:val="auto"/>
          <w:highlight w:val="none"/>
        </w:rPr>
        <w:t>。</w:t>
      </w:r>
      <w:r>
        <w:rPr>
          <w:color w:val="auto"/>
          <w:highlight w:val="none"/>
        </w:rPr>
        <w:t>编制期间，充分衔接上级规划要求，对规划目标指标、重点任务及专栏内容进行多轮优化完善，形成《规划</w:t>
      </w:r>
      <w:r>
        <w:rPr>
          <w:color w:val="auto"/>
          <w:highlight w:val="none"/>
        </w:rPr>
        <w:t>（</w:t>
      </w:r>
      <w:r>
        <w:rPr>
          <w:rFonts w:hint="eastAsia"/>
          <w:color w:val="auto"/>
          <w:highlight w:val="none"/>
          <w:lang w:val="en-US" w:eastAsia="zh-CN"/>
        </w:rPr>
        <w:t>征求意见稿</w:t>
      </w:r>
      <w:r>
        <w:rPr>
          <w:color w:val="auto"/>
          <w:highlight w:val="none"/>
        </w:rPr>
        <w:t>）</w:t>
      </w:r>
      <w:r>
        <w:rPr>
          <w:color w:val="auto"/>
          <w:highlight w:val="none"/>
        </w:rPr>
        <w:t>》。</w:t>
      </w:r>
    </w:p>
    <w:p w14:paraId="689CE3A3">
      <w:pPr>
        <w:pStyle w:val="2"/>
        <w:rPr>
          <w:color w:val="auto"/>
          <w:highlight w:val="none"/>
        </w:rPr>
      </w:pPr>
      <w:r>
        <w:rPr>
          <w:rFonts w:hint="eastAsia"/>
          <w:color w:val="auto"/>
          <w:highlight w:val="none"/>
        </w:rPr>
        <w:t>三、总体框架</w:t>
      </w:r>
    </w:p>
    <w:p w14:paraId="65D5E145">
      <w:pPr>
        <w:ind w:firstLine="640"/>
        <w:rPr>
          <w:color w:val="auto"/>
          <w:highlight w:val="none"/>
        </w:rPr>
      </w:pPr>
      <w:r>
        <w:rPr>
          <w:color w:val="auto"/>
          <w:highlight w:val="none"/>
        </w:rPr>
        <w:t>《规划》共分</w:t>
      </w:r>
      <w:r>
        <w:rPr>
          <w:rFonts w:hint="eastAsia"/>
          <w:color w:val="auto"/>
          <w:highlight w:val="none"/>
          <w:lang w:val="en-US" w:eastAsia="zh-CN"/>
        </w:rPr>
        <w:t>十</w:t>
      </w:r>
      <w:r>
        <w:rPr>
          <w:color w:val="auto"/>
          <w:highlight w:val="none"/>
        </w:rPr>
        <w:t>章，并配套编制三年行动计划与重点项目表。正文总体遵循</w:t>
      </w:r>
      <w:r>
        <w:rPr>
          <w:rFonts w:hint="eastAsia"/>
          <w:color w:val="auto"/>
          <w:highlight w:val="none"/>
        </w:rPr>
        <w:t>“固底板、强引擎、提质效、激活力”</w:t>
      </w:r>
      <w:r>
        <w:rPr>
          <w:color w:val="auto"/>
          <w:highlight w:val="none"/>
        </w:rPr>
        <w:t>的逻辑，构建了开平农业农村现代化的</w:t>
      </w:r>
      <w:r>
        <w:rPr>
          <w:rFonts w:hint="eastAsia"/>
          <w:color w:val="auto"/>
          <w:highlight w:val="none"/>
        </w:rPr>
        <w:t>“十五五”</w:t>
      </w:r>
      <w:r>
        <w:rPr>
          <w:color w:val="auto"/>
          <w:highlight w:val="none"/>
        </w:rPr>
        <w:t>框架。以耕地保护和粮食安全守牢发展底线，以科技创新和农机装备升级释放新质生产力，以全链条产业培育做强丝苗米、马冈鹅、禽蛋、茶叶等特色富民产业，以人居环境整治和公共服务提升绘就宜居宜业和美乡村，以土地制度改革和集体经济发展激发城乡融合内生动力，以党建引领和动态监测保障规划落地见效，系统回答了开平</w:t>
      </w:r>
      <w:r>
        <w:rPr>
          <w:rFonts w:hint="eastAsia"/>
          <w:color w:val="auto"/>
          <w:highlight w:val="none"/>
        </w:rPr>
        <w:t>“三农”</w:t>
      </w:r>
      <w:r>
        <w:rPr>
          <w:color w:val="auto"/>
          <w:highlight w:val="none"/>
        </w:rPr>
        <w:t>工作</w:t>
      </w:r>
      <w:r>
        <w:rPr>
          <w:rFonts w:hint="eastAsia"/>
          <w:color w:val="auto"/>
          <w:highlight w:val="none"/>
        </w:rPr>
        <w:t>“稳什么、强什么、建什么、改什么”</w:t>
      </w:r>
      <w:r>
        <w:rPr>
          <w:color w:val="auto"/>
          <w:highlight w:val="none"/>
        </w:rPr>
        <w:t>的核心问题。</w:t>
      </w:r>
    </w:p>
    <w:p w14:paraId="592FF3F9">
      <w:pPr>
        <w:pStyle w:val="2"/>
        <w:rPr>
          <w:color w:val="auto"/>
          <w:highlight w:val="none"/>
        </w:rPr>
      </w:pPr>
      <w:r>
        <w:rPr>
          <w:rFonts w:hint="eastAsia"/>
          <w:color w:val="auto"/>
          <w:highlight w:val="none"/>
        </w:rPr>
        <w:t>四、内容要点</w:t>
      </w:r>
    </w:p>
    <w:p w14:paraId="1FAF847B">
      <w:pPr>
        <w:pStyle w:val="3"/>
        <w:rPr>
          <w:color w:val="auto"/>
          <w:highlight w:val="none"/>
        </w:rPr>
      </w:pPr>
      <w:r>
        <w:rPr>
          <w:rFonts w:hint="eastAsia"/>
          <w:color w:val="auto"/>
          <w:highlight w:val="none"/>
        </w:rPr>
        <w:t>（一）规划目标</w:t>
      </w:r>
    </w:p>
    <w:p w14:paraId="2B7A212D">
      <w:pPr>
        <w:ind w:firstLine="640"/>
        <w:rPr>
          <w:color w:val="auto"/>
          <w:highlight w:val="none"/>
        </w:rPr>
      </w:pPr>
      <w:r>
        <w:rPr>
          <w:color w:val="auto"/>
          <w:highlight w:val="none"/>
        </w:rPr>
        <w:t>到2030年，开平市基本实现农业农村现代化，基本形成经济效益显著、辐射带动有力的现代农业产业体系，成功创建国家乡村振兴示范县，建设成为服务粤港澳大湾区的现代化农业强市和宜居宜业和美乡村示范区。</w:t>
      </w:r>
    </w:p>
    <w:p w14:paraId="0757818F">
      <w:pPr>
        <w:pStyle w:val="3"/>
        <w:rPr>
          <w:color w:val="auto"/>
          <w:highlight w:val="none"/>
        </w:rPr>
      </w:pPr>
      <w:r>
        <w:rPr>
          <w:rFonts w:hint="eastAsia"/>
          <w:color w:val="auto"/>
          <w:highlight w:val="none"/>
        </w:rPr>
        <w:t>（二）主要指标设置</w:t>
      </w:r>
    </w:p>
    <w:p w14:paraId="431205FE">
      <w:pPr>
        <w:ind w:firstLine="640"/>
        <w:rPr>
          <w:color w:val="auto"/>
          <w:highlight w:val="none"/>
        </w:rPr>
      </w:pPr>
      <w:r>
        <w:rPr>
          <w:color w:val="auto"/>
          <w:highlight w:val="none"/>
        </w:rPr>
        <w:t>设</w:t>
      </w:r>
      <w:r>
        <w:rPr>
          <w:rFonts w:hint="eastAsia"/>
          <w:color w:val="auto"/>
          <w:highlight w:val="none"/>
          <w:lang w:val="en-US" w:eastAsia="zh-CN"/>
        </w:rPr>
        <w:t>16</w:t>
      </w:r>
      <w:r>
        <w:rPr>
          <w:color w:val="auto"/>
          <w:highlight w:val="none"/>
        </w:rPr>
        <w:t>项指标，其中约束性指标1项、预期性指标</w:t>
      </w:r>
      <w:r>
        <w:rPr>
          <w:rFonts w:hint="eastAsia"/>
          <w:color w:val="auto"/>
          <w:highlight w:val="none"/>
          <w:lang w:val="en-US" w:eastAsia="zh-CN"/>
        </w:rPr>
        <w:t>15</w:t>
      </w:r>
      <w:r>
        <w:rPr>
          <w:color w:val="auto"/>
          <w:highlight w:val="none"/>
        </w:rPr>
        <w:t>项。约束性指标为粮食综合生产能力，须完成上级下达任务数。其余</w:t>
      </w:r>
      <w:r>
        <w:rPr>
          <w:rFonts w:hint="eastAsia"/>
          <w:color w:val="auto"/>
          <w:highlight w:val="none"/>
          <w:lang w:val="en-US" w:eastAsia="zh-CN"/>
        </w:rPr>
        <w:t>15</w:t>
      </w:r>
      <w:r>
        <w:rPr>
          <w:color w:val="auto"/>
          <w:highlight w:val="none"/>
        </w:rPr>
        <w:t>项预期性指标覆盖产值规模、产业效益、乡村建设、农民收入等方面</w:t>
      </w:r>
      <w:r>
        <w:rPr>
          <w:rFonts w:hint="eastAsia"/>
          <w:color w:val="auto"/>
          <w:highlight w:val="none"/>
        </w:rPr>
        <w:t>。</w:t>
      </w:r>
    </w:p>
    <w:p w14:paraId="257CC036">
      <w:pPr>
        <w:pStyle w:val="3"/>
        <w:rPr>
          <w:color w:val="auto"/>
          <w:highlight w:val="none"/>
        </w:rPr>
      </w:pPr>
      <w:r>
        <w:rPr>
          <w:rFonts w:hint="eastAsia"/>
          <w:color w:val="auto"/>
          <w:highlight w:val="none"/>
        </w:rPr>
        <w:t>（三）主要工作任务</w:t>
      </w:r>
    </w:p>
    <w:p w14:paraId="3DE6906A">
      <w:pPr>
        <w:ind w:firstLine="640"/>
        <w:rPr>
          <w:color w:val="auto"/>
          <w:highlight w:val="none"/>
        </w:rPr>
      </w:pPr>
      <w:r>
        <w:rPr>
          <w:color w:val="auto"/>
          <w:highlight w:val="none"/>
        </w:rPr>
        <w:t>聚焦当前省、市发展方向与开平发展基础、优势与短板，</w:t>
      </w:r>
      <w:r>
        <w:rPr>
          <w:rFonts w:hint="eastAsia"/>
          <w:color w:val="auto"/>
          <w:highlight w:val="none"/>
        </w:rPr>
        <w:t>“十五五”</w:t>
      </w:r>
      <w:r>
        <w:rPr>
          <w:color w:val="auto"/>
          <w:highlight w:val="none"/>
        </w:rPr>
        <w:t>规划提出</w:t>
      </w:r>
      <w:r>
        <w:rPr>
          <w:rFonts w:hint="eastAsia"/>
          <w:color w:val="auto"/>
          <w:highlight w:val="none"/>
        </w:rPr>
        <w:t>六</w:t>
      </w:r>
      <w:r>
        <w:rPr>
          <w:color w:val="auto"/>
          <w:highlight w:val="none"/>
        </w:rPr>
        <w:t>大重点工作任务。</w:t>
      </w:r>
    </w:p>
    <w:p w14:paraId="513F0035">
      <w:pPr>
        <w:ind w:firstLine="643"/>
        <w:rPr>
          <w:b/>
          <w:bCs/>
          <w:color w:val="auto"/>
          <w:highlight w:val="none"/>
        </w:rPr>
      </w:pPr>
      <w:r>
        <w:rPr>
          <w:rFonts w:hint="eastAsia"/>
          <w:b/>
          <w:bCs/>
          <w:color w:val="auto"/>
          <w:highlight w:val="none"/>
        </w:rPr>
        <w:t>任务一：</w:t>
      </w:r>
      <w:r>
        <w:rPr>
          <w:b/>
          <w:bCs/>
          <w:color w:val="auto"/>
          <w:highlight w:val="none"/>
        </w:rPr>
        <w:t>实施</w:t>
      </w:r>
      <w:r>
        <w:rPr>
          <w:rFonts w:hint="eastAsia"/>
          <w:b/>
          <w:bCs/>
          <w:color w:val="auto"/>
          <w:highlight w:val="none"/>
        </w:rPr>
        <w:t>“开平粮仓”</w:t>
      </w:r>
      <w:r>
        <w:rPr>
          <w:b/>
          <w:bCs/>
          <w:color w:val="auto"/>
          <w:highlight w:val="none"/>
        </w:rPr>
        <w:t>建设行动，夯实粮食安全基础。</w:t>
      </w:r>
      <w:r>
        <w:rPr>
          <w:color w:val="auto"/>
          <w:highlight w:val="none"/>
        </w:rPr>
        <w:t>共4项</w:t>
      </w:r>
      <w:r>
        <w:rPr>
          <w:rFonts w:hint="eastAsia"/>
          <w:color w:val="auto"/>
          <w:highlight w:val="none"/>
        </w:rPr>
        <w:t>内容，</w:t>
      </w:r>
      <w:r>
        <w:rPr>
          <w:color w:val="auto"/>
          <w:highlight w:val="none"/>
        </w:rPr>
        <w:t>一是耕地保护，全面落实粮食安全党政同责，持续推进高标准农田</w:t>
      </w:r>
      <w:r>
        <w:rPr>
          <w:rFonts w:hint="eastAsia"/>
          <w:color w:val="auto"/>
          <w:highlight w:val="none"/>
        </w:rPr>
        <w:t>建设，</w:t>
      </w:r>
      <w:r>
        <w:rPr>
          <w:color w:val="auto"/>
          <w:highlight w:val="none"/>
        </w:rPr>
        <w:t>新建及改造提升高标准农田</w:t>
      </w:r>
      <w:r>
        <w:rPr>
          <w:color w:val="auto"/>
          <w:highlight w:val="none"/>
        </w:rPr>
        <w:t>5万亩</w:t>
      </w:r>
      <w:r>
        <w:rPr>
          <w:rFonts w:hint="eastAsia"/>
          <w:color w:val="auto"/>
          <w:highlight w:val="none"/>
        </w:rPr>
        <w:t>。</w:t>
      </w:r>
      <w:r>
        <w:rPr>
          <w:color w:val="auto"/>
          <w:highlight w:val="none"/>
        </w:rPr>
        <w:t>二是单产提升，建设1—2个水稻单产提升核心示范区，打造百亩高产攻关田、千亩示范样板片，到2030年粮食综合生产能力稳定在24万吨以上</w:t>
      </w:r>
      <w:r>
        <w:rPr>
          <w:rFonts w:hint="eastAsia"/>
          <w:color w:val="auto"/>
          <w:highlight w:val="none"/>
        </w:rPr>
        <w:t>。</w:t>
      </w:r>
      <w:r>
        <w:rPr>
          <w:color w:val="auto"/>
          <w:highlight w:val="none"/>
        </w:rPr>
        <w:t>三是绿色发展，推广化肥农药减量增效技术，实施畜禽粪污资源化利用项目，开展养殖池塘改造提升与尾水治理，到2030年畜禽粪污综合利用率达85%以上，农作物秸秆综合利用率达88%以上。四是防灾减灾，加强动植物疫病防控和生物安全监管。</w:t>
      </w:r>
    </w:p>
    <w:p w14:paraId="78F7D8F4">
      <w:pPr>
        <w:ind w:firstLine="643"/>
        <w:rPr>
          <w:color w:val="auto"/>
          <w:highlight w:val="none"/>
        </w:rPr>
      </w:pPr>
      <w:r>
        <w:rPr>
          <w:rFonts w:hint="eastAsia"/>
          <w:b/>
          <w:bCs/>
          <w:color w:val="auto"/>
          <w:highlight w:val="none"/>
        </w:rPr>
        <w:t>任务二：</w:t>
      </w:r>
      <w:r>
        <w:rPr>
          <w:b/>
          <w:bCs/>
          <w:color w:val="auto"/>
          <w:highlight w:val="none"/>
        </w:rPr>
        <w:t>实施农业新质生产力培育行动，释放科技引擎。</w:t>
      </w:r>
      <w:r>
        <w:rPr>
          <w:color w:val="auto"/>
          <w:highlight w:val="none"/>
        </w:rPr>
        <w:t>共4项</w:t>
      </w:r>
      <w:r>
        <w:rPr>
          <w:rFonts w:hint="eastAsia"/>
          <w:color w:val="auto"/>
          <w:highlight w:val="none"/>
        </w:rPr>
        <w:t>内容</w:t>
      </w:r>
      <w:r>
        <w:rPr>
          <w:color w:val="auto"/>
          <w:highlight w:val="none"/>
        </w:rPr>
        <w:t>，一是科技兴农，推进世界银行贷款广东省农产品质量安全提升（示范）项目实验室提升子项目建设，农业主推技术到位率100%</w:t>
      </w:r>
      <w:r>
        <w:rPr>
          <w:rFonts w:hint="eastAsia"/>
          <w:color w:val="auto"/>
          <w:highlight w:val="none"/>
        </w:rPr>
        <w:t>。</w:t>
      </w:r>
      <w:r>
        <w:rPr>
          <w:color w:val="auto"/>
          <w:highlight w:val="none"/>
        </w:rPr>
        <w:t>二是种业振兴，开展农业种质资源普查，推进马冈鹅保种场</w:t>
      </w:r>
      <w:r>
        <w:rPr>
          <w:rFonts w:hint="eastAsia"/>
          <w:color w:val="auto"/>
          <w:highlight w:val="none"/>
        </w:rPr>
        <w:t>、</w:t>
      </w:r>
      <w:r>
        <w:rPr>
          <w:color w:val="auto"/>
          <w:highlight w:val="none"/>
        </w:rPr>
        <w:t>父母代种禽场、大刺鳅育繁推一体化示范等系列重点项目</w:t>
      </w:r>
      <w:r>
        <w:rPr>
          <w:rFonts w:hint="eastAsia"/>
          <w:color w:val="auto"/>
          <w:highlight w:val="none"/>
        </w:rPr>
        <w:t>建设</w:t>
      </w:r>
      <w:r>
        <w:rPr>
          <w:color w:val="auto"/>
          <w:highlight w:val="none"/>
        </w:rPr>
        <w:t>，培育3家具有产业主导能力的畜禽种业龙头企业。三是农机装备，推进温氏三合猪场升级改造</w:t>
      </w:r>
      <w:r>
        <w:rPr>
          <w:rFonts w:hint="eastAsia"/>
          <w:color w:val="auto"/>
          <w:highlight w:val="none"/>
          <w:lang w:val="en-US" w:eastAsia="zh-CN"/>
        </w:rPr>
        <w:t>等</w:t>
      </w:r>
      <w:r>
        <w:rPr>
          <w:color w:val="auto"/>
          <w:highlight w:val="none"/>
        </w:rPr>
        <w:t>项目，带动传统生猪养殖场现代化升级。四是智慧农业，推进农业感知、计算、数据全链路能力建设，推动AI赋能农业全产业链发展。</w:t>
      </w:r>
    </w:p>
    <w:p w14:paraId="574AF177">
      <w:pPr>
        <w:ind w:firstLine="643"/>
        <w:rPr>
          <w:color w:val="auto"/>
          <w:highlight w:val="none"/>
        </w:rPr>
      </w:pPr>
      <w:r>
        <w:rPr>
          <w:rFonts w:hint="eastAsia"/>
          <w:b/>
          <w:bCs/>
          <w:color w:val="auto"/>
          <w:highlight w:val="none"/>
        </w:rPr>
        <w:t>任务三：</w:t>
      </w:r>
      <w:r>
        <w:rPr>
          <w:b/>
          <w:bCs/>
          <w:color w:val="auto"/>
          <w:highlight w:val="none"/>
        </w:rPr>
        <w:t>实施特色产业集群培育行动，做强特色富民产业。</w:t>
      </w:r>
      <w:r>
        <w:rPr>
          <w:color w:val="auto"/>
          <w:highlight w:val="none"/>
        </w:rPr>
        <w:t>共3项</w:t>
      </w:r>
      <w:r>
        <w:rPr>
          <w:rFonts w:hint="eastAsia"/>
          <w:color w:val="auto"/>
          <w:highlight w:val="none"/>
        </w:rPr>
        <w:t>内容，</w:t>
      </w:r>
      <w:r>
        <w:rPr>
          <w:color w:val="auto"/>
          <w:highlight w:val="none"/>
        </w:rPr>
        <w:t>一是做强</w:t>
      </w:r>
      <w:r>
        <w:rPr>
          <w:rFonts w:hint="eastAsia"/>
          <w:color w:val="auto"/>
          <w:highlight w:val="none"/>
        </w:rPr>
        <w:t>四</w:t>
      </w:r>
      <w:r>
        <w:rPr>
          <w:color w:val="auto"/>
          <w:highlight w:val="none"/>
        </w:rPr>
        <w:t>大特色产业，聚焦</w:t>
      </w:r>
      <w:r>
        <w:rPr>
          <w:color w:val="auto"/>
          <w:highlight w:val="none"/>
        </w:rPr>
        <w:t>丝苗米、禽蛋、马冈鹅等特色产业，推动精深加工延链、绿色循环发</w:t>
      </w:r>
      <w:r>
        <w:rPr>
          <w:color w:val="auto"/>
          <w:highlight w:val="none"/>
        </w:rPr>
        <w:t>展及预制菜产业集群建设，推进茶叶省级现代农业产业园、禽蛋国家现代农业产业园、丝苗米优势特色产业集群、马冈鹅预制菜产业园等重点项目。二是引导传统产业提质升级，重点提升特色家禽、优质水产、优质果蔬三大传统产业，打造多元食物供给体系，提升产业规模化、标准化、智能化、高端化发展水平。三是做强休闲农业与乡村旅游，</w:t>
      </w:r>
      <w:r>
        <w:rPr>
          <w:rFonts w:hint="eastAsia"/>
          <w:color w:val="auto"/>
          <w:highlight w:val="none"/>
        </w:rPr>
        <w:t>积极</w:t>
      </w:r>
      <w:r>
        <w:rPr>
          <w:color w:val="auto"/>
          <w:highlight w:val="none"/>
        </w:rPr>
        <w:t>丰富</w:t>
      </w:r>
      <w:r>
        <w:rPr>
          <w:rFonts w:hint="eastAsia"/>
          <w:color w:val="auto"/>
          <w:highlight w:val="none"/>
        </w:rPr>
        <w:t>农文旅</w:t>
      </w:r>
      <w:r>
        <w:rPr>
          <w:color w:val="auto"/>
          <w:highlight w:val="none"/>
        </w:rPr>
        <w:t>融合业态</w:t>
      </w:r>
      <w:r>
        <w:rPr>
          <w:rFonts w:hint="eastAsia"/>
          <w:color w:val="auto"/>
          <w:highlight w:val="none"/>
        </w:rPr>
        <w:t>，</w:t>
      </w:r>
      <w:r>
        <w:rPr>
          <w:color w:val="auto"/>
          <w:highlight w:val="none"/>
        </w:rPr>
        <w:t>提升服务品质</w:t>
      </w:r>
      <w:r>
        <w:rPr>
          <w:rFonts w:hint="eastAsia"/>
          <w:color w:val="auto"/>
          <w:highlight w:val="none"/>
        </w:rPr>
        <w:t>，</w:t>
      </w:r>
      <w:r>
        <w:rPr>
          <w:color w:val="auto"/>
          <w:highlight w:val="none"/>
        </w:rPr>
        <w:t>强化品牌营销</w:t>
      </w:r>
      <w:r>
        <w:rPr>
          <w:rFonts w:hint="eastAsia"/>
          <w:color w:val="auto"/>
          <w:highlight w:val="none"/>
        </w:rPr>
        <w:t>，</w:t>
      </w:r>
      <w:r>
        <w:rPr>
          <w:color w:val="auto"/>
          <w:highlight w:val="none"/>
        </w:rPr>
        <w:t>全力打造世界级旅游目的地</w:t>
      </w:r>
      <w:r>
        <w:rPr>
          <w:rFonts w:hint="eastAsia"/>
          <w:color w:val="auto"/>
          <w:highlight w:val="none"/>
        </w:rPr>
        <w:t>和</w:t>
      </w:r>
      <w:r>
        <w:rPr>
          <w:rFonts w:hint="eastAsia" w:ascii="Times New Roman" w:hAnsi="Times New Roman" w:eastAsia="仿宋_GB2312" w:cs="Times New Roman"/>
          <w:color w:val="auto"/>
          <w:spacing w:val="0"/>
          <w:sz w:val="32"/>
          <w:szCs w:val="32"/>
          <w:highlight w:val="none"/>
        </w:rPr>
        <w:t>80亿级农文旅富民产业链</w:t>
      </w:r>
      <w:r>
        <w:rPr>
          <w:color w:val="auto"/>
          <w:highlight w:val="none"/>
        </w:rPr>
        <w:t>，建设成为粤港澳大湾区居民逃离喧嚣、寻觅乡愁的理想之地。</w:t>
      </w:r>
    </w:p>
    <w:p w14:paraId="711E4090">
      <w:pPr>
        <w:ind w:firstLine="643"/>
        <w:rPr>
          <w:color w:val="auto"/>
          <w:highlight w:val="none"/>
        </w:rPr>
      </w:pPr>
      <w:r>
        <w:rPr>
          <w:rFonts w:hint="eastAsia"/>
          <w:b/>
          <w:bCs/>
          <w:color w:val="auto"/>
          <w:highlight w:val="none"/>
        </w:rPr>
        <w:t>任务四：</w:t>
      </w:r>
      <w:r>
        <w:rPr>
          <w:b/>
          <w:bCs/>
          <w:color w:val="auto"/>
          <w:highlight w:val="none"/>
        </w:rPr>
        <w:t>实施现代农业产业经营和监管体系建设行动，畅通农业产业循环</w:t>
      </w:r>
      <w:r>
        <w:rPr>
          <w:rFonts w:hint="eastAsia"/>
          <w:b/>
          <w:bCs/>
          <w:color w:val="auto"/>
          <w:highlight w:val="none"/>
        </w:rPr>
        <w:t>。</w:t>
      </w:r>
      <w:r>
        <w:rPr>
          <w:rFonts w:hint="eastAsia"/>
          <w:color w:val="auto"/>
          <w:highlight w:val="none"/>
        </w:rPr>
        <w:t>共4项内容，一是提升新型农业经营主体质量。开展新型农业经营主体梯度培育与规范提升行动，抓好家庭农场和农民合作社规范化建设，实施龙头企业“强链扩群”计划。到2030年，新增省级以上农业龙头企业2家，市级农业龙头企业5家。二是强化“开平优品”品牌矩阵建设。</w:t>
      </w:r>
      <w:r>
        <w:rPr>
          <w:color w:val="auto"/>
          <w:highlight w:val="none"/>
        </w:rPr>
        <w:t>构建县镇两级品牌联动体系，建立重点企业品牌培育库，线上依托电商直播、线下依托节庆活动扩大</w:t>
      </w:r>
      <w:r>
        <w:rPr>
          <w:rFonts w:hint="eastAsia"/>
          <w:color w:val="auto"/>
          <w:highlight w:val="none"/>
        </w:rPr>
        <w:t>“开平优品”</w:t>
      </w:r>
      <w:r>
        <w:rPr>
          <w:color w:val="auto"/>
          <w:highlight w:val="none"/>
        </w:rPr>
        <w:t>知名度，全面提升品牌溢价与市场影响力</w:t>
      </w:r>
      <w:r>
        <w:rPr>
          <w:rFonts w:hint="eastAsia"/>
          <w:color w:val="auto"/>
          <w:highlight w:val="none"/>
        </w:rPr>
        <w:t>。三是筑牢质量安全与信任基石。全面推行食用农产品承诺达标合格证制度，加强农业绿色有机认证，</w:t>
      </w:r>
      <w:r>
        <w:rPr>
          <w:rFonts w:hint="eastAsia"/>
          <w:color w:val="auto"/>
          <w:highlight w:val="none"/>
        </w:rPr>
        <w:t>到2030年新增绿色食品、有机农产品认证10个以上</w:t>
      </w:r>
      <w:r>
        <w:rPr>
          <w:rFonts w:hint="eastAsia"/>
          <w:color w:val="auto"/>
          <w:highlight w:val="none"/>
        </w:rPr>
        <w:t>。四是优化现代流通与供应链体系。引进和培育引领型预制菜龙头企业，规划建设产地集配中心，完善冷链物流设施网络，到2030年力争建成1个现代化产地集配中心，新增冷链仓储能力0.3万吨以上。</w:t>
      </w:r>
    </w:p>
    <w:p w14:paraId="309FC874">
      <w:pPr>
        <w:ind w:firstLine="643"/>
        <w:rPr>
          <w:color w:val="auto"/>
          <w:highlight w:val="none"/>
        </w:rPr>
      </w:pPr>
      <w:r>
        <w:rPr>
          <w:rFonts w:hint="eastAsia"/>
          <w:b/>
          <w:bCs/>
          <w:color w:val="auto"/>
          <w:highlight w:val="none"/>
        </w:rPr>
        <w:t>任务五：</w:t>
      </w:r>
      <w:r>
        <w:rPr>
          <w:b/>
          <w:bCs/>
          <w:color w:val="auto"/>
          <w:highlight w:val="none"/>
        </w:rPr>
        <w:t>实施现代化岭南新乡村建设提升行动，绘就和美画卷</w:t>
      </w:r>
      <w:r>
        <w:rPr>
          <w:color w:val="auto"/>
          <w:highlight w:val="none"/>
        </w:rPr>
        <w:t>。共6项</w:t>
      </w:r>
      <w:r>
        <w:rPr>
          <w:rFonts w:hint="eastAsia"/>
          <w:color w:val="auto"/>
          <w:highlight w:val="none"/>
        </w:rPr>
        <w:t>内容</w:t>
      </w:r>
      <w:r>
        <w:rPr>
          <w:color w:val="auto"/>
          <w:highlight w:val="none"/>
        </w:rPr>
        <w:t>，一是基建提质，推行农村供水</w:t>
      </w:r>
      <w:r>
        <w:rPr>
          <w:rFonts w:hint="eastAsia"/>
          <w:color w:val="auto"/>
          <w:highlight w:val="none"/>
        </w:rPr>
        <w:t>“县域统管”</w:t>
      </w:r>
      <w:r>
        <w:rPr>
          <w:color w:val="auto"/>
          <w:highlight w:val="none"/>
        </w:rPr>
        <w:t>，行政村通双车道比例达100%。二是环境整治，2027年底完成全市226个行政村和5个涉农社区全部整治任务，农村自来水普及率稳定在</w:t>
      </w:r>
      <w:r>
        <w:rPr>
          <w:rFonts w:hint="eastAsia"/>
          <w:color w:val="auto"/>
          <w:highlight w:val="none"/>
          <w:lang w:val="en-US" w:eastAsia="zh-CN"/>
        </w:rPr>
        <w:t>100</w:t>
      </w:r>
      <w:r>
        <w:rPr>
          <w:color w:val="auto"/>
          <w:highlight w:val="none"/>
        </w:rPr>
        <w:t>%。三是公共服务，县域医共体与乡镇养老服务中心全覆盖</w:t>
      </w:r>
      <w:r>
        <w:rPr>
          <w:rFonts w:hint="eastAsia"/>
          <w:color w:val="auto"/>
          <w:highlight w:val="none"/>
        </w:rPr>
        <w:t>，</w:t>
      </w:r>
      <w:r>
        <w:rPr>
          <w:rFonts w:hint="eastAsia"/>
          <w:highlight w:val="none"/>
        </w:rPr>
        <w:t>全市乡镇中心小学、寄宿制初中标准化覆盖率100%</w:t>
      </w:r>
      <w:r>
        <w:rPr>
          <w:color w:val="auto"/>
          <w:highlight w:val="none"/>
        </w:rPr>
        <w:t>。四是建管机制，建立基础设施智慧管护平台，健全有制度、有标准、有队伍、有经费、有监督的长效管护机制。五是乡村治理，深化</w:t>
      </w:r>
      <w:r>
        <w:rPr>
          <w:rFonts w:hint="eastAsia"/>
          <w:color w:val="auto"/>
          <w:highlight w:val="none"/>
        </w:rPr>
        <w:t>“党建+网格”</w:t>
      </w:r>
      <w:r>
        <w:rPr>
          <w:color w:val="auto"/>
          <w:highlight w:val="none"/>
        </w:rPr>
        <w:t>治理模式</w:t>
      </w:r>
      <w:r>
        <w:rPr>
          <w:rFonts w:hint="eastAsia"/>
          <w:color w:val="auto"/>
          <w:highlight w:val="none"/>
        </w:rPr>
        <w:t>，</w:t>
      </w:r>
      <w:r>
        <w:rPr>
          <w:color w:val="auto"/>
          <w:highlight w:val="none"/>
        </w:rPr>
        <w:t>推广</w:t>
      </w:r>
      <w:r>
        <w:rPr>
          <w:rFonts w:hint="eastAsia"/>
          <w:color w:val="auto"/>
          <w:highlight w:val="none"/>
        </w:rPr>
        <w:t>“积分制”“清单制”</w:t>
      </w:r>
      <w:r>
        <w:rPr>
          <w:color w:val="auto"/>
          <w:highlight w:val="none"/>
        </w:rPr>
        <w:t>，深入推进平安乡村建设。六是乡风文明，</w:t>
      </w:r>
      <w:r>
        <w:rPr>
          <w:rFonts w:hint="eastAsia"/>
          <w:color w:val="auto"/>
          <w:highlight w:val="none"/>
        </w:rPr>
        <w:t>开展“戏曲进农村”“村BA”</w:t>
      </w:r>
      <w:r>
        <w:rPr>
          <w:color w:val="auto"/>
          <w:highlight w:val="none"/>
        </w:rPr>
        <w:t>等文化惠民活动，办好开平</w:t>
      </w:r>
      <w:r>
        <w:rPr>
          <w:rFonts w:hint="eastAsia"/>
          <w:color w:val="auto"/>
          <w:highlight w:val="none"/>
        </w:rPr>
        <w:t>“世界文化遗产嘉年华”“开平碉楼文化旅游节”</w:t>
      </w:r>
      <w:r>
        <w:rPr>
          <w:color w:val="auto"/>
          <w:highlight w:val="none"/>
        </w:rPr>
        <w:t>等节庆活动</w:t>
      </w:r>
      <w:r>
        <w:rPr>
          <w:rFonts w:hint="eastAsia"/>
          <w:color w:val="auto"/>
          <w:highlight w:val="none"/>
        </w:rPr>
        <w:t>。</w:t>
      </w:r>
    </w:p>
    <w:p w14:paraId="7CD9D298">
      <w:pPr>
        <w:ind w:firstLine="643"/>
        <w:rPr>
          <w:b/>
          <w:bCs/>
          <w:color w:val="auto"/>
          <w:highlight w:val="none"/>
        </w:rPr>
      </w:pPr>
      <w:r>
        <w:rPr>
          <w:rFonts w:hint="eastAsia"/>
          <w:b/>
          <w:bCs/>
          <w:color w:val="auto"/>
          <w:highlight w:val="none"/>
        </w:rPr>
        <w:t>任务六：</w:t>
      </w:r>
      <w:r>
        <w:rPr>
          <w:b/>
          <w:bCs/>
          <w:color w:val="auto"/>
          <w:highlight w:val="none"/>
        </w:rPr>
        <w:t>促进城乡融合共同繁荣发展，激发内生动力</w:t>
      </w:r>
      <w:r>
        <w:rPr>
          <w:rFonts w:hint="eastAsia"/>
          <w:b/>
          <w:bCs/>
          <w:color w:val="auto"/>
          <w:highlight w:val="none"/>
        </w:rPr>
        <w:t>重点工作任务</w:t>
      </w:r>
      <w:r>
        <w:rPr>
          <w:b/>
          <w:bCs/>
          <w:color w:val="auto"/>
          <w:highlight w:val="none"/>
        </w:rPr>
        <w:t>。</w:t>
      </w:r>
      <w:r>
        <w:rPr>
          <w:color w:val="auto"/>
          <w:highlight w:val="none"/>
        </w:rPr>
        <w:t>共</w:t>
      </w:r>
      <w:r>
        <w:rPr>
          <w:rFonts w:hint="eastAsia"/>
          <w:color w:val="auto"/>
          <w:highlight w:val="none"/>
          <w:lang w:val="en-US" w:eastAsia="zh-CN"/>
        </w:rPr>
        <w:t>3</w:t>
      </w:r>
      <w:r>
        <w:rPr>
          <w:color w:val="auto"/>
          <w:highlight w:val="none"/>
        </w:rPr>
        <w:t>项</w:t>
      </w:r>
      <w:r>
        <w:rPr>
          <w:rFonts w:hint="eastAsia"/>
          <w:color w:val="auto"/>
          <w:highlight w:val="none"/>
        </w:rPr>
        <w:t>内容</w:t>
      </w:r>
      <w:r>
        <w:rPr>
          <w:color w:val="auto"/>
          <w:highlight w:val="none"/>
        </w:rPr>
        <w:t>，</w:t>
      </w:r>
      <w:r>
        <w:rPr>
          <w:rFonts w:hint="eastAsia"/>
          <w:color w:val="auto"/>
          <w:highlight w:val="none"/>
          <w:lang w:val="en-US" w:eastAsia="zh-CN"/>
        </w:rPr>
        <w:t>一</w:t>
      </w:r>
      <w:r>
        <w:rPr>
          <w:color w:val="auto"/>
          <w:highlight w:val="none"/>
        </w:rPr>
        <w:t>是土地改革，推进第二轮土地承包到期后再延长30年，</w:t>
      </w:r>
      <w:r>
        <w:rPr>
          <w:color w:val="auto"/>
          <w:highlight w:val="none"/>
        </w:rPr>
        <w:t>强化农村宅基地和农村村民建房审批管理</w:t>
      </w:r>
      <w:r>
        <w:rPr>
          <w:rFonts w:hint="eastAsia"/>
          <w:color w:val="auto"/>
          <w:highlight w:val="none"/>
        </w:rPr>
        <w:t>，</w:t>
      </w:r>
      <w:r>
        <w:rPr>
          <w:color w:val="auto"/>
          <w:highlight w:val="none"/>
        </w:rPr>
        <w:t>有序</w:t>
      </w:r>
      <w:r>
        <w:rPr>
          <w:color w:val="auto"/>
          <w:highlight w:val="none"/>
        </w:rPr>
        <w:t>推进农村集体经营性建设用地入市。</w:t>
      </w:r>
      <w:r>
        <w:rPr>
          <w:rFonts w:hint="eastAsia"/>
          <w:color w:val="auto"/>
          <w:highlight w:val="none"/>
          <w:lang w:val="en-US" w:eastAsia="zh-CN"/>
        </w:rPr>
        <w:t>二</w:t>
      </w:r>
      <w:r>
        <w:rPr>
          <w:color w:val="auto"/>
          <w:highlight w:val="none"/>
        </w:rPr>
        <w:t>是集体经济，鼓励组建</w:t>
      </w:r>
      <w:r>
        <w:rPr>
          <w:rFonts w:hint="eastAsia"/>
          <w:color w:val="auto"/>
          <w:highlight w:val="none"/>
        </w:rPr>
        <w:t>“强村公司”，</w:t>
      </w:r>
      <w:r>
        <w:rPr>
          <w:color w:val="auto"/>
          <w:highlight w:val="none"/>
        </w:rPr>
        <w:t>探索新型农村集体经济多元实现路径。</w:t>
      </w:r>
      <w:r>
        <w:rPr>
          <w:rFonts w:hint="eastAsia"/>
          <w:color w:val="auto"/>
          <w:highlight w:val="none"/>
          <w:lang w:val="en-US" w:eastAsia="zh-CN"/>
        </w:rPr>
        <w:t>三</w:t>
      </w:r>
      <w:r>
        <w:rPr>
          <w:color w:val="auto"/>
          <w:highlight w:val="none"/>
        </w:rPr>
        <w:t>是农民增收，到2030年农村居民可支配收入达到3.4万元，城乡居民收入比收窄至1.4。</w:t>
      </w:r>
    </w:p>
    <w:p w14:paraId="4B7103DC">
      <w:pPr>
        <w:pStyle w:val="2"/>
        <w:rPr>
          <w:color w:val="auto"/>
          <w:highlight w:val="none"/>
        </w:rPr>
      </w:pPr>
      <w:r>
        <w:rPr>
          <w:rFonts w:hint="eastAsia"/>
          <w:color w:val="auto"/>
          <w:highlight w:val="none"/>
        </w:rPr>
        <w:t>五、重点项目清单和《三年行动计划》基本内容</w:t>
      </w:r>
    </w:p>
    <w:p w14:paraId="49ADE577">
      <w:pPr>
        <w:ind w:firstLine="640"/>
        <w:rPr>
          <w:color w:val="auto"/>
          <w:highlight w:val="none"/>
        </w:rPr>
      </w:pPr>
      <w:r>
        <w:rPr>
          <w:rFonts w:hint="eastAsia"/>
          <w:color w:val="auto"/>
          <w:highlight w:val="none"/>
        </w:rPr>
        <w:t>《规划》谋划了</w:t>
      </w:r>
      <w:r>
        <w:rPr>
          <w:rFonts w:hint="eastAsia"/>
          <w:color w:val="auto"/>
          <w:highlight w:val="none"/>
          <w:lang w:eastAsia="zh-CN"/>
        </w:rPr>
        <w:t>2</w:t>
      </w:r>
      <w:r>
        <w:rPr>
          <w:rFonts w:hint="eastAsia"/>
          <w:color w:val="auto"/>
          <w:highlight w:val="none"/>
          <w:lang w:val="en-US" w:eastAsia="zh-CN"/>
        </w:rPr>
        <w:t>0</w:t>
      </w:r>
      <w:r>
        <w:rPr>
          <w:rFonts w:hint="eastAsia"/>
          <w:color w:val="auto"/>
          <w:highlight w:val="none"/>
        </w:rPr>
        <w:t>项重点任务，计划投资</w:t>
      </w:r>
      <w:r>
        <w:rPr>
          <w:rFonts w:hint="eastAsia"/>
          <w:color w:val="auto"/>
          <w:highlight w:val="none"/>
          <w:lang w:val="en-US" w:eastAsia="zh-CN"/>
        </w:rPr>
        <w:t>45.84</w:t>
      </w:r>
      <w:r>
        <w:rPr>
          <w:color w:val="auto"/>
          <w:highlight w:val="none"/>
        </w:rPr>
        <w:t>亿元</w:t>
      </w:r>
      <w:r>
        <w:rPr>
          <w:rFonts w:hint="eastAsia"/>
          <w:color w:val="auto"/>
          <w:highlight w:val="none"/>
        </w:rPr>
        <w:t>，</w:t>
      </w:r>
      <w:r>
        <w:rPr>
          <w:color w:val="auto"/>
          <w:highlight w:val="none"/>
        </w:rPr>
        <w:t>其中：</w:t>
      </w:r>
    </w:p>
    <w:tbl>
      <w:tblPr>
        <w:tblStyle w:val="18"/>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8"/>
        <w:gridCol w:w="1450"/>
        <w:gridCol w:w="1338"/>
        <w:gridCol w:w="1338"/>
        <w:gridCol w:w="1338"/>
      </w:tblGrid>
      <w:tr w14:paraId="54AB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858" w:type="dxa"/>
            <w:vAlign w:val="center"/>
          </w:tcPr>
          <w:p w14:paraId="2F48D834">
            <w:pPr>
              <w:pStyle w:val="21"/>
              <w:jc w:val="center"/>
              <w:rPr>
                <w:b/>
                <w:bCs/>
                <w:highlight w:val="none"/>
              </w:rPr>
            </w:pPr>
            <w:r>
              <w:rPr>
                <w:b/>
                <w:bCs/>
                <w:highlight w:val="none"/>
              </w:rPr>
              <w:t>类别</w:t>
            </w:r>
          </w:p>
        </w:tc>
        <w:tc>
          <w:tcPr>
            <w:tcW w:w="1450" w:type="dxa"/>
            <w:vAlign w:val="center"/>
          </w:tcPr>
          <w:p w14:paraId="189B11CB">
            <w:pPr>
              <w:pStyle w:val="21"/>
              <w:jc w:val="center"/>
              <w:rPr>
                <w:b/>
                <w:bCs/>
                <w:highlight w:val="none"/>
              </w:rPr>
            </w:pPr>
            <w:r>
              <w:rPr>
                <w:b/>
                <w:bCs/>
                <w:highlight w:val="none"/>
              </w:rPr>
              <w:t>计划</w:t>
            </w:r>
            <w:r>
              <w:rPr>
                <w:rFonts w:hint="eastAsia"/>
                <w:b/>
                <w:bCs/>
                <w:highlight w:val="none"/>
              </w:rPr>
              <w:t>总</w:t>
            </w:r>
            <w:r>
              <w:rPr>
                <w:b/>
                <w:bCs/>
                <w:highlight w:val="none"/>
              </w:rPr>
              <w:t>投资（亿元）</w:t>
            </w:r>
          </w:p>
        </w:tc>
        <w:tc>
          <w:tcPr>
            <w:tcW w:w="1338" w:type="dxa"/>
            <w:vAlign w:val="center"/>
          </w:tcPr>
          <w:p w14:paraId="1006567E">
            <w:pPr>
              <w:pStyle w:val="21"/>
              <w:jc w:val="center"/>
              <w:rPr>
                <w:b/>
                <w:bCs/>
                <w:highlight w:val="none"/>
              </w:rPr>
            </w:pPr>
            <w:r>
              <w:rPr>
                <w:b/>
                <w:bCs/>
                <w:highlight w:val="none"/>
              </w:rPr>
              <w:t>2026年（万元）</w:t>
            </w:r>
          </w:p>
        </w:tc>
        <w:tc>
          <w:tcPr>
            <w:tcW w:w="0" w:type="auto"/>
            <w:vAlign w:val="center"/>
          </w:tcPr>
          <w:p w14:paraId="5E30C6A9">
            <w:pPr>
              <w:pStyle w:val="21"/>
              <w:jc w:val="center"/>
              <w:rPr>
                <w:b/>
                <w:bCs/>
                <w:highlight w:val="none"/>
              </w:rPr>
            </w:pPr>
            <w:r>
              <w:rPr>
                <w:b/>
                <w:bCs/>
                <w:highlight w:val="none"/>
              </w:rPr>
              <w:t>2027年（万元）</w:t>
            </w:r>
          </w:p>
        </w:tc>
        <w:tc>
          <w:tcPr>
            <w:tcW w:w="0" w:type="auto"/>
            <w:vAlign w:val="center"/>
          </w:tcPr>
          <w:p w14:paraId="104225A7">
            <w:pPr>
              <w:pStyle w:val="21"/>
              <w:jc w:val="center"/>
              <w:rPr>
                <w:b/>
                <w:bCs/>
                <w:highlight w:val="none"/>
              </w:rPr>
            </w:pPr>
            <w:r>
              <w:rPr>
                <w:b/>
                <w:bCs/>
                <w:highlight w:val="none"/>
              </w:rPr>
              <w:t>2028年（万元）</w:t>
            </w:r>
          </w:p>
        </w:tc>
      </w:tr>
      <w:tr w14:paraId="31DC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vAlign w:val="center"/>
          </w:tcPr>
          <w:p w14:paraId="6DEFA819">
            <w:pPr>
              <w:pStyle w:val="21"/>
              <w:jc w:val="center"/>
              <w:rPr>
                <w:rFonts w:hint="eastAsia"/>
                <w:highlight w:val="none"/>
              </w:rPr>
            </w:pPr>
            <w:r>
              <w:rPr>
                <w:rFonts w:hint="eastAsia"/>
                <w:highlight w:val="none"/>
              </w:rPr>
              <w:t>“</w:t>
            </w:r>
            <w:r>
              <w:rPr>
                <w:rFonts w:hint="eastAsia"/>
                <w:highlight w:val="none"/>
                <w:lang w:val="en-US" w:eastAsia="zh-CN"/>
              </w:rPr>
              <w:t>江门</w:t>
            </w:r>
            <w:r>
              <w:rPr>
                <w:rFonts w:hint="eastAsia"/>
                <w:highlight w:val="none"/>
              </w:rPr>
              <w:t>粮仓”</w:t>
            </w:r>
            <w:r>
              <w:rPr>
                <w:highlight w:val="none"/>
              </w:rPr>
              <w:t>建设行动</w:t>
            </w:r>
          </w:p>
        </w:tc>
        <w:tc>
          <w:tcPr>
            <w:tcW w:w="1450" w:type="dxa"/>
            <w:vAlign w:val="center"/>
          </w:tcPr>
          <w:p w14:paraId="0A701A47">
            <w:pPr>
              <w:pStyle w:val="21"/>
              <w:jc w:val="center"/>
              <w:rPr>
                <w:rFonts w:hint="default" w:eastAsia="仿宋_GB2312"/>
                <w:highlight w:val="none"/>
                <w:lang w:val="en-US" w:eastAsia="zh-CN"/>
              </w:rPr>
            </w:pPr>
            <w:r>
              <w:rPr>
                <w:rFonts w:hint="eastAsia"/>
                <w:highlight w:val="none"/>
                <w:lang w:val="en-US" w:eastAsia="zh-CN"/>
              </w:rPr>
              <w:t>1.54</w:t>
            </w:r>
          </w:p>
        </w:tc>
        <w:tc>
          <w:tcPr>
            <w:tcW w:w="1338" w:type="dxa"/>
            <w:vAlign w:val="center"/>
          </w:tcPr>
          <w:p w14:paraId="559AFEF3">
            <w:pPr>
              <w:pStyle w:val="21"/>
              <w:jc w:val="center"/>
              <w:rPr>
                <w:rFonts w:hint="default" w:eastAsia="仿宋_GB2312"/>
                <w:highlight w:val="none"/>
                <w:lang w:val="en-US" w:eastAsia="zh-CN"/>
              </w:rPr>
            </w:pPr>
            <w:r>
              <w:rPr>
                <w:rFonts w:hint="eastAsia"/>
                <w:highlight w:val="none"/>
                <w:lang w:val="en-US" w:eastAsia="zh-CN"/>
              </w:rPr>
              <w:t>2290</w:t>
            </w:r>
          </w:p>
        </w:tc>
        <w:tc>
          <w:tcPr>
            <w:tcW w:w="0" w:type="auto"/>
            <w:vAlign w:val="center"/>
          </w:tcPr>
          <w:p w14:paraId="49D13C0B">
            <w:pPr>
              <w:pStyle w:val="21"/>
              <w:jc w:val="center"/>
              <w:rPr>
                <w:rFonts w:hint="eastAsia" w:eastAsia="仿宋_GB2312"/>
                <w:highlight w:val="none"/>
                <w:lang w:val="en-US" w:eastAsia="zh-CN"/>
              </w:rPr>
            </w:pPr>
            <w:r>
              <w:rPr>
                <w:rFonts w:hint="eastAsia"/>
                <w:highlight w:val="none"/>
                <w:lang w:val="en-US" w:eastAsia="zh-CN"/>
              </w:rPr>
              <w:t>0</w:t>
            </w:r>
          </w:p>
        </w:tc>
        <w:tc>
          <w:tcPr>
            <w:tcW w:w="0" w:type="auto"/>
            <w:vAlign w:val="center"/>
          </w:tcPr>
          <w:p w14:paraId="11058474">
            <w:pPr>
              <w:pStyle w:val="21"/>
              <w:jc w:val="center"/>
              <w:rPr>
                <w:rFonts w:hint="eastAsia" w:eastAsia="仿宋_GB2312"/>
                <w:highlight w:val="none"/>
                <w:lang w:val="en-US" w:eastAsia="zh-CN"/>
              </w:rPr>
            </w:pPr>
            <w:r>
              <w:rPr>
                <w:rFonts w:hint="eastAsia"/>
                <w:highlight w:val="none"/>
                <w:lang w:val="en-US" w:eastAsia="zh-CN"/>
              </w:rPr>
              <w:t>0</w:t>
            </w:r>
          </w:p>
        </w:tc>
      </w:tr>
      <w:tr w14:paraId="6FAC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vAlign w:val="center"/>
          </w:tcPr>
          <w:p w14:paraId="4E469CFC">
            <w:pPr>
              <w:pStyle w:val="21"/>
              <w:jc w:val="center"/>
              <w:rPr>
                <w:rFonts w:hint="eastAsia"/>
                <w:highlight w:val="none"/>
              </w:rPr>
            </w:pPr>
            <w:r>
              <w:rPr>
                <w:highlight w:val="none"/>
              </w:rPr>
              <w:t>农业新质生产力培育行动</w:t>
            </w:r>
          </w:p>
        </w:tc>
        <w:tc>
          <w:tcPr>
            <w:tcW w:w="1450" w:type="dxa"/>
            <w:vAlign w:val="center"/>
          </w:tcPr>
          <w:p w14:paraId="6936C5F7">
            <w:pPr>
              <w:pStyle w:val="21"/>
              <w:jc w:val="center"/>
              <w:rPr>
                <w:rFonts w:hint="default" w:eastAsia="仿宋_GB2312"/>
                <w:highlight w:val="none"/>
                <w:lang w:val="en-US" w:eastAsia="zh-CN"/>
              </w:rPr>
            </w:pPr>
            <w:r>
              <w:rPr>
                <w:rFonts w:hint="eastAsia"/>
                <w:highlight w:val="none"/>
                <w:lang w:val="en-US" w:eastAsia="zh-CN"/>
              </w:rPr>
              <w:t>3.2</w:t>
            </w:r>
          </w:p>
        </w:tc>
        <w:tc>
          <w:tcPr>
            <w:tcW w:w="1338" w:type="dxa"/>
            <w:vAlign w:val="center"/>
          </w:tcPr>
          <w:p w14:paraId="66799766">
            <w:pPr>
              <w:pStyle w:val="21"/>
              <w:jc w:val="center"/>
              <w:rPr>
                <w:rFonts w:hint="default" w:eastAsia="仿宋_GB2312"/>
                <w:highlight w:val="none"/>
                <w:lang w:val="en-US" w:eastAsia="zh-CN"/>
              </w:rPr>
            </w:pPr>
            <w:r>
              <w:rPr>
                <w:rFonts w:hint="eastAsia"/>
                <w:highlight w:val="none"/>
                <w:lang w:val="en-US" w:eastAsia="zh-CN"/>
              </w:rPr>
              <w:t>14863</w:t>
            </w:r>
          </w:p>
        </w:tc>
        <w:tc>
          <w:tcPr>
            <w:tcW w:w="0" w:type="auto"/>
            <w:vAlign w:val="center"/>
          </w:tcPr>
          <w:p w14:paraId="039F633C">
            <w:pPr>
              <w:pStyle w:val="21"/>
              <w:jc w:val="center"/>
              <w:rPr>
                <w:rFonts w:hint="default" w:eastAsia="仿宋_GB2312"/>
                <w:highlight w:val="none"/>
                <w:lang w:val="en-US" w:eastAsia="zh-CN"/>
              </w:rPr>
            </w:pPr>
            <w:r>
              <w:rPr>
                <w:rFonts w:hint="eastAsia"/>
                <w:highlight w:val="none"/>
                <w:lang w:val="en-US" w:eastAsia="zh-CN"/>
              </w:rPr>
              <w:t>27591</w:t>
            </w:r>
          </w:p>
        </w:tc>
        <w:tc>
          <w:tcPr>
            <w:tcW w:w="0" w:type="auto"/>
            <w:vAlign w:val="center"/>
          </w:tcPr>
          <w:p w14:paraId="2BA00DE1">
            <w:pPr>
              <w:pStyle w:val="21"/>
              <w:jc w:val="center"/>
              <w:rPr>
                <w:rFonts w:hint="default" w:eastAsia="仿宋_GB2312"/>
                <w:highlight w:val="none"/>
                <w:lang w:val="en-US" w:eastAsia="zh-CN"/>
              </w:rPr>
            </w:pPr>
            <w:r>
              <w:rPr>
                <w:rFonts w:hint="eastAsia"/>
                <w:highlight w:val="none"/>
                <w:lang w:val="en-US" w:eastAsia="zh-CN"/>
              </w:rPr>
              <w:t>5960</w:t>
            </w:r>
          </w:p>
        </w:tc>
      </w:tr>
      <w:tr w14:paraId="6DF7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vAlign w:val="center"/>
          </w:tcPr>
          <w:p w14:paraId="27E14B06">
            <w:pPr>
              <w:pStyle w:val="21"/>
              <w:jc w:val="center"/>
              <w:rPr>
                <w:rFonts w:hint="default" w:eastAsia="仿宋_GB2312"/>
                <w:highlight w:val="none"/>
                <w:lang w:val="en-US" w:eastAsia="zh-CN"/>
              </w:rPr>
            </w:pPr>
            <w:r>
              <w:rPr>
                <w:rFonts w:hint="eastAsia"/>
                <w:highlight w:val="none"/>
                <w:lang w:val="en-US" w:eastAsia="zh-CN"/>
              </w:rPr>
              <w:t>现代农业产业集群培育行动</w:t>
            </w:r>
          </w:p>
        </w:tc>
        <w:tc>
          <w:tcPr>
            <w:tcW w:w="1450" w:type="dxa"/>
            <w:vAlign w:val="center"/>
          </w:tcPr>
          <w:p w14:paraId="1B4F9FE5">
            <w:pPr>
              <w:pStyle w:val="21"/>
              <w:jc w:val="center"/>
              <w:rPr>
                <w:rFonts w:hint="default" w:eastAsia="仿宋_GB2312"/>
                <w:highlight w:val="none"/>
                <w:lang w:val="en-US" w:eastAsia="zh-CN"/>
              </w:rPr>
            </w:pPr>
            <w:r>
              <w:rPr>
                <w:rFonts w:hint="eastAsia"/>
                <w:highlight w:val="none"/>
                <w:lang w:val="en-US" w:eastAsia="zh-CN"/>
              </w:rPr>
              <w:t>27.34</w:t>
            </w:r>
          </w:p>
        </w:tc>
        <w:tc>
          <w:tcPr>
            <w:tcW w:w="1338" w:type="dxa"/>
            <w:vAlign w:val="center"/>
          </w:tcPr>
          <w:p w14:paraId="463DFADB">
            <w:pPr>
              <w:pStyle w:val="21"/>
              <w:jc w:val="center"/>
              <w:rPr>
                <w:rFonts w:hint="default" w:eastAsia="仿宋_GB2312"/>
                <w:highlight w:val="none"/>
                <w:lang w:val="en-US" w:eastAsia="zh-CN"/>
              </w:rPr>
            </w:pPr>
            <w:r>
              <w:rPr>
                <w:rFonts w:hint="eastAsia"/>
                <w:highlight w:val="none"/>
                <w:lang w:val="en-US" w:eastAsia="zh-CN"/>
              </w:rPr>
              <w:t>26703</w:t>
            </w:r>
          </w:p>
        </w:tc>
        <w:tc>
          <w:tcPr>
            <w:tcW w:w="0" w:type="auto"/>
            <w:vAlign w:val="center"/>
          </w:tcPr>
          <w:p w14:paraId="4F938ED3">
            <w:pPr>
              <w:pStyle w:val="21"/>
              <w:jc w:val="center"/>
              <w:rPr>
                <w:rFonts w:hint="default" w:eastAsia="仿宋_GB2312"/>
                <w:highlight w:val="none"/>
                <w:lang w:val="en-US" w:eastAsia="zh-CN"/>
              </w:rPr>
            </w:pPr>
            <w:r>
              <w:rPr>
                <w:rFonts w:hint="eastAsia"/>
                <w:highlight w:val="none"/>
                <w:lang w:val="en-US" w:eastAsia="zh-CN"/>
              </w:rPr>
              <w:t>21588</w:t>
            </w:r>
          </w:p>
        </w:tc>
        <w:tc>
          <w:tcPr>
            <w:tcW w:w="0" w:type="auto"/>
            <w:vAlign w:val="center"/>
          </w:tcPr>
          <w:p w14:paraId="2F0B3ED8">
            <w:pPr>
              <w:pStyle w:val="21"/>
              <w:jc w:val="center"/>
              <w:rPr>
                <w:rFonts w:hint="default" w:eastAsia="仿宋_GB2312"/>
                <w:highlight w:val="none"/>
                <w:lang w:val="en-US" w:eastAsia="zh-CN"/>
              </w:rPr>
            </w:pPr>
            <w:r>
              <w:rPr>
                <w:rFonts w:hint="eastAsia"/>
                <w:highlight w:val="none"/>
                <w:lang w:val="en-US" w:eastAsia="zh-CN"/>
              </w:rPr>
              <w:t>14988</w:t>
            </w:r>
          </w:p>
        </w:tc>
      </w:tr>
      <w:tr w14:paraId="5BF0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vAlign w:val="center"/>
          </w:tcPr>
          <w:p w14:paraId="31DC6902">
            <w:pPr>
              <w:pStyle w:val="21"/>
              <w:jc w:val="center"/>
              <w:rPr>
                <w:rFonts w:hint="default" w:eastAsia="仿宋_GB2312"/>
                <w:highlight w:val="none"/>
                <w:lang w:val="en-US" w:eastAsia="zh-CN"/>
              </w:rPr>
            </w:pPr>
            <w:r>
              <w:rPr>
                <w:rFonts w:hint="eastAsia"/>
                <w:highlight w:val="none"/>
                <w:lang w:val="en-US" w:eastAsia="zh-CN"/>
              </w:rPr>
              <w:t>现代化岭南新乡村建设提升行动</w:t>
            </w:r>
          </w:p>
        </w:tc>
        <w:tc>
          <w:tcPr>
            <w:tcW w:w="1450" w:type="dxa"/>
            <w:vAlign w:val="center"/>
          </w:tcPr>
          <w:p w14:paraId="3D086351">
            <w:pPr>
              <w:pStyle w:val="21"/>
              <w:jc w:val="center"/>
              <w:rPr>
                <w:rFonts w:hint="default" w:eastAsia="仿宋_GB2312"/>
                <w:highlight w:val="none"/>
                <w:lang w:val="en-US" w:eastAsia="zh-CN"/>
              </w:rPr>
            </w:pPr>
            <w:r>
              <w:rPr>
                <w:rFonts w:hint="eastAsia"/>
                <w:highlight w:val="none"/>
                <w:lang w:val="en-US" w:eastAsia="zh-CN"/>
              </w:rPr>
              <w:t>10.79</w:t>
            </w:r>
          </w:p>
        </w:tc>
        <w:tc>
          <w:tcPr>
            <w:tcW w:w="1338" w:type="dxa"/>
            <w:vAlign w:val="center"/>
          </w:tcPr>
          <w:p w14:paraId="6B44BC7E">
            <w:pPr>
              <w:pStyle w:val="21"/>
              <w:jc w:val="center"/>
              <w:rPr>
                <w:rFonts w:hint="default" w:eastAsia="仿宋_GB2312"/>
                <w:highlight w:val="none"/>
                <w:lang w:val="en-US" w:eastAsia="zh-CN"/>
              </w:rPr>
            </w:pPr>
            <w:r>
              <w:rPr>
                <w:rFonts w:hint="eastAsia"/>
                <w:highlight w:val="none"/>
                <w:lang w:val="en-US" w:eastAsia="zh-CN"/>
              </w:rPr>
              <w:t>41984</w:t>
            </w:r>
          </w:p>
        </w:tc>
        <w:tc>
          <w:tcPr>
            <w:tcW w:w="0" w:type="auto"/>
            <w:vAlign w:val="center"/>
          </w:tcPr>
          <w:p w14:paraId="22E74CDF">
            <w:pPr>
              <w:pStyle w:val="21"/>
              <w:jc w:val="center"/>
              <w:rPr>
                <w:rFonts w:hint="default" w:eastAsia="仿宋_GB2312"/>
                <w:highlight w:val="none"/>
                <w:lang w:val="en-US" w:eastAsia="zh-CN"/>
              </w:rPr>
            </w:pPr>
            <w:r>
              <w:rPr>
                <w:rFonts w:hint="eastAsia"/>
                <w:highlight w:val="none"/>
                <w:lang w:val="en-US" w:eastAsia="zh-CN"/>
              </w:rPr>
              <w:t>39355</w:t>
            </w:r>
          </w:p>
        </w:tc>
        <w:tc>
          <w:tcPr>
            <w:tcW w:w="0" w:type="auto"/>
            <w:vAlign w:val="center"/>
          </w:tcPr>
          <w:p w14:paraId="3DFC3EA1">
            <w:pPr>
              <w:pStyle w:val="21"/>
              <w:jc w:val="center"/>
              <w:rPr>
                <w:rFonts w:hint="default" w:eastAsia="仿宋_GB2312"/>
                <w:highlight w:val="none"/>
                <w:lang w:val="en-US" w:eastAsia="zh-CN"/>
              </w:rPr>
            </w:pPr>
            <w:r>
              <w:rPr>
                <w:rFonts w:hint="eastAsia"/>
                <w:highlight w:val="none"/>
                <w:lang w:val="en-US" w:eastAsia="zh-CN"/>
              </w:rPr>
              <w:t>24600</w:t>
            </w:r>
          </w:p>
        </w:tc>
      </w:tr>
      <w:tr w14:paraId="2871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vAlign w:val="center"/>
          </w:tcPr>
          <w:p w14:paraId="0CF436BF">
            <w:pPr>
              <w:pStyle w:val="21"/>
              <w:jc w:val="center"/>
              <w:rPr>
                <w:rFonts w:hint="default" w:eastAsia="仿宋_GB2312"/>
                <w:highlight w:val="none"/>
                <w:lang w:val="en-US" w:eastAsia="zh-CN"/>
              </w:rPr>
            </w:pPr>
            <w:r>
              <w:rPr>
                <w:rFonts w:hint="eastAsia"/>
                <w:highlight w:val="none"/>
                <w:lang w:val="en-US" w:eastAsia="zh-CN"/>
              </w:rPr>
              <w:t>和美乡村治理提效行动</w:t>
            </w:r>
          </w:p>
        </w:tc>
        <w:tc>
          <w:tcPr>
            <w:tcW w:w="1450" w:type="dxa"/>
            <w:vAlign w:val="center"/>
          </w:tcPr>
          <w:p w14:paraId="49FDF053">
            <w:pPr>
              <w:pStyle w:val="21"/>
              <w:jc w:val="center"/>
              <w:rPr>
                <w:rFonts w:hint="default" w:eastAsia="仿宋_GB2312"/>
                <w:highlight w:val="none"/>
                <w:lang w:val="en-US" w:eastAsia="zh-CN"/>
              </w:rPr>
            </w:pPr>
            <w:r>
              <w:rPr>
                <w:rFonts w:hint="eastAsia"/>
                <w:highlight w:val="none"/>
                <w:lang w:val="en-US" w:eastAsia="zh-CN"/>
              </w:rPr>
              <w:t>2.8</w:t>
            </w:r>
          </w:p>
        </w:tc>
        <w:tc>
          <w:tcPr>
            <w:tcW w:w="1338" w:type="dxa"/>
            <w:vAlign w:val="center"/>
          </w:tcPr>
          <w:p w14:paraId="6C0DE4C3">
            <w:pPr>
              <w:pStyle w:val="21"/>
              <w:jc w:val="center"/>
              <w:rPr>
                <w:rFonts w:hint="default" w:eastAsia="仿宋_GB2312"/>
                <w:highlight w:val="none"/>
                <w:lang w:val="en-US" w:eastAsia="zh-CN"/>
              </w:rPr>
            </w:pPr>
            <w:r>
              <w:rPr>
                <w:rFonts w:hint="eastAsia"/>
                <w:highlight w:val="none"/>
                <w:lang w:val="en-US" w:eastAsia="zh-CN"/>
              </w:rPr>
              <w:t>8000</w:t>
            </w:r>
          </w:p>
        </w:tc>
        <w:tc>
          <w:tcPr>
            <w:tcW w:w="0" w:type="auto"/>
            <w:vAlign w:val="center"/>
          </w:tcPr>
          <w:p w14:paraId="677519B0">
            <w:pPr>
              <w:pStyle w:val="21"/>
              <w:jc w:val="center"/>
              <w:rPr>
                <w:rFonts w:hint="default" w:eastAsia="仿宋_GB2312"/>
                <w:highlight w:val="none"/>
                <w:lang w:val="en-US" w:eastAsia="zh-CN"/>
              </w:rPr>
            </w:pPr>
            <w:r>
              <w:rPr>
                <w:rFonts w:hint="eastAsia"/>
                <w:highlight w:val="none"/>
                <w:lang w:val="en-US" w:eastAsia="zh-CN"/>
              </w:rPr>
              <w:t>10000</w:t>
            </w:r>
          </w:p>
        </w:tc>
        <w:tc>
          <w:tcPr>
            <w:tcW w:w="0" w:type="auto"/>
            <w:vAlign w:val="center"/>
          </w:tcPr>
          <w:p w14:paraId="7C64853C">
            <w:pPr>
              <w:pStyle w:val="21"/>
              <w:jc w:val="center"/>
              <w:rPr>
                <w:rFonts w:hint="default" w:eastAsia="仿宋_GB2312"/>
                <w:highlight w:val="none"/>
                <w:lang w:val="en-US" w:eastAsia="zh-CN"/>
              </w:rPr>
            </w:pPr>
            <w:r>
              <w:rPr>
                <w:rFonts w:hint="eastAsia"/>
                <w:highlight w:val="none"/>
                <w:lang w:val="en-US" w:eastAsia="zh-CN"/>
              </w:rPr>
              <w:t>10000</w:t>
            </w:r>
          </w:p>
        </w:tc>
      </w:tr>
      <w:tr w14:paraId="4FA4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vAlign w:val="center"/>
          </w:tcPr>
          <w:p w14:paraId="033CDD4F">
            <w:pPr>
              <w:pStyle w:val="21"/>
              <w:jc w:val="center"/>
              <w:rPr>
                <w:rFonts w:hint="default" w:eastAsia="仿宋_GB2312"/>
                <w:highlight w:val="none"/>
                <w:lang w:val="en-US" w:eastAsia="zh-CN"/>
              </w:rPr>
            </w:pPr>
            <w:r>
              <w:rPr>
                <w:rFonts w:hint="eastAsia"/>
                <w:highlight w:val="none"/>
                <w:lang w:val="en-US" w:eastAsia="zh-CN"/>
              </w:rPr>
              <w:t>城乡融合发展促进行动</w:t>
            </w:r>
          </w:p>
        </w:tc>
        <w:tc>
          <w:tcPr>
            <w:tcW w:w="1450" w:type="dxa"/>
            <w:vAlign w:val="center"/>
          </w:tcPr>
          <w:p w14:paraId="456949CE">
            <w:pPr>
              <w:pStyle w:val="21"/>
              <w:jc w:val="center"/>
              <w:rPr>
                <w:rFonts w:hint="default" w:eastAsia="仿宋_GB2312"/>
                <w:highlight w:val="none"/>
                <w:lang w:val="en-US" w:eastAsia="zh-CN"/>
              </w:rPr>
            </w:pPr>
            <w:r>
              <w:rPr>
                <w:rFonts w:hint="eastAsia"/>
                <w:highlight w:val="none"/>
                <w:lang w:val="en-US" w:eastAsia="zh-CN"/>
              </w:rPr>
              <w:t>0.17</w:t>
            </w:r>
          </w:p>
        </w:tc>
        <w:tc>
          <w:tcPr>
            <w:tcW w:w="1338" w:type="dxa"/>
            <w:vAlign w:val="center"/>
          </w:tcPr>
          <w:p w14:paraId="6F7E8789">
            <w:pPr>
              <w:pStyle w:val="21"/>
              <w:jc w:val="center"/>
              <w:rPr>
                <w:rFonts w:hint="default" w:eastAsia="仿宋_GB2312"/>
                <w:highlight w:val="none"/>
                <w:lang w:val="en-US" w:eastAsia="zh-CN"/>
              </w:rPr>
            </w:pPr>
            <w:r>
              <w:rPr>
                <w:rFonts w:hint="eastAsia"/>
                <w:highlight w:val="none"/>
                <w:lang w:val="en-US" w:eastAsia="zh-CN"/>
              </w:rPr>
              <w:t>570</w:t>
            </w:r>
          </w:p>
        </w:tc>
        <w:tc>
          <w:tcPr>
            <w:tcW w:w="0" w:type="auto"/>
            <w:vAlign w:val="center"/>
          </w:tcPr>
          <w:p w14:paraId="4A186FBD">
            <w:pPr>
              <w:pStyle w:val="21"/>
              <w:jc w:val="center"/>
              <w:rPr>
                <w:rFonts w:hint="default" w:eastAsia="仿宋_GB2312"/>
                <w:highlight w:val="none"/>
                <w:lang w:val="en-US" w:eastAsia="zh-CN"/>
              </w:rPr>
            </w:pPr>
            <w:r>
              <w:rPr>
                <w:rFonts w:hint="eastAsia"/>
                <w:highlight w:val="none"/>
                <w:lang w:val="en-US" w:eastAsia="zh-CN"/>
              </w:rPr>
              <w:t>550</w:t>
            </w:r>
          </w:p>
        </w:tc>
        <w:tc>
          <w:tcPr>
            <w:tcW w:w="0" w:type="auto"/>
            <w:vAlign w:val="center"/>
          </w:tcPr>
          <w:p w14:paraId="04EA0195">
            <w:pPr>
              <w:pStyle w:val="21"/>
              <w:jc w:val="center"/>
              <w:rPr>
                <w:rFonts w:hint="default" w:eastAsia="仿宋_GB2312"/>
                <w:highlight w:val="none"/>
                <w:lang w:val="en-US" w:eastAsia="zh-CN"/>
              </w:rPr>
            </w:pPr>
            <w:r>
              <w:rPr>
                <w:rFonts w:hint="eastAsia"/>
                <w:highlight w:val="none"/>
                <w:lang w:val="en-US" w:eastAsia="zh-CN"/>
              </w:rPr>
              <w:t>430</w:t>
            </w:r>
          </w:p>
        </w:tc>
      </w:tr>
      <w:tr w14:paraId="77FA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vAlign w:val="center"/>
          </w:tcPr>
          <w:p w14:paraId="45194483">
            <w:pPr>
              <w:pStyle w:val="21"/>
              <w:jc w:val="center"/>
              <w:rPr>
                <w:rFonts w:hint="eastAsia" w:eastAsia="仿宋_GB2312"/>
                <w:highlight w:val="none"/>
                <w:lang w:val="en-US" w:eastAsia="zh-CN"/>
              </w:rPr>
            </w:pPr>
            <w:r>
              <w:rPr>
                <w:rFonts w:hint="eastAsia"/>
                <w:highlight w:val="none"/>
                <w:lang w:val="en-US" w:eastAsia="zh-CN"/>
              </w:rPr>
              <w:t>合计</w:t>
            </w:r>
          </w:p>
        </w:tc>
        <w:tc>
          <w:tcPr>
            <w:tcW w:w="1450" w:type="dxa"/>
            <w:vAlign w:val="center"/>
          </w:tcPr>
          <w:p w14:paraId="0D5E2375">
            <w:pPr>
              <w:pStyle w:val="21"/>
              <w:jc w:val="center"/>
              <w:rPr>
                <w:rFonts w:hint="default" w:eastAsia="仿宋_GB2312"/>
                <w:highlight w:val="none"/>
                <w:lang w:val="en-US" w:eastAsia="zh-CN"/>
              </w:rPr>
            </w:pPr>
            <w:r>
              <w:rPr>
                <w:rFonts w:hint="eastAsia"/>
                <w:highlight w:val="none"/>
                <w:lang w:val="en-US" w:eastAsia="zh-CN"/>
              </w:rPr>
              <w:t>45.84</w:t>
            </w:r>
          </w:p>
        </w:tc>
        <w:tc>
          <w:tcPr>
            <w:tcW w:w="1338" w:type="dxa"/>
            <w:vAlign w:val="center"/>
          </w:tcPr>
          <w:p w14:paraId="444E71E5">
            <w:pPr>
              <w:pStyle w:val="21"/>
              <w:jc w:val="center"/>
              <w:rPr>
                <w:rFonts w:hint="default" w:eastAsia="仿宋_GB2312"/>
                <w:highlight w:val="none"/>
                <w:lang w:val="en-US" w:eastAsia="zh-CN"/>
              </w:rPr>
            </w:pPr>
            <w:r>
              <w:rPr>
                <w:rFonts w:hint="eastAsia"/>
                <w:highlight w:val="none"/>
                <w:lang w:val="en-US" w:eastAsia="zh-CN"/>
              </w:rPr>
              <w:t>94410</w:t>
            </w:r>
          </w:p>
        </w:tc>
        <w:tc>
          <w:tcPr>
            <w:tcW w:w="0" w:type="auto"/>
            <w:vAlign w:val="center"/>
          </w:tcPr>
          <w:p w14:paraId="7F98205D">
            <w:pPr>
              <w:pStyle w:val="21"/>
              <w:jc w:val="center"/>
              <w:rPr>
                <w:rFonts w:hint="default" w:eastAsia="仿宋_GB2312"/>
                <w:highlight w:val="none"/>
                <w:lang w:val="en-US" w:eastAsia="zh-CN"/>
              </w:rPr>
            </w:pPr>
            <w:r>
              <w:rPr>
                <w:rFonts w:hint="eastAsia"/>
                <w:highlight w:val="none"/>
                <w:lang w:val="en-US" w:eastAsia="zh-CN"/>
              </w:rPr>
              <w:t>99084</w:t>
            </w:r>
          </w:p>
        </w:tc>
        <w:tc>
          <w:tcPr>
            <w:tcW w:w="0" w:type="auto"/>
            <w:vAlign w:val="center"/>
          </w:tcPr>
          <w:p w14:paraId="216A078E">
            <w:pPr>
              <w:pStyle w:val="21"/>
              <w:jc w:val="center"/>
              <w:rPr>
                <w:rFonts w:hint="default" w:eastAsia="仿宋_GB2312"/>
                <w:highlight w:val="none"/>
                <w:lang w:val="en-US" w:eastAsia="zh-CN"/>
              </w:rPr>
            </w:pPr>
            <w:r>
              <w:rPr>
                <w:rFonts w:hint="eastAsia"/>
                <w:highlight w:val="none"/>
                <w:lang w:val="en-US" w:eastAsia="zh-CN"/>
              </w:rPr>
              <w:t>55978</w:t>
            </w:r>
          </w:p>
        </w:tc>
      </w:tr>
    </w:tbl>
    <w:p w14:paraId="777CF438">
      <w:pPr>
        <w:pStyle w:val="21"/>
        <w:rPr>
          <w:highlight w:val="none"/>
        </w:rPr>
      </w:pPr>
    </w:p>
    <w:p w14:paraId="3B10D9F9">
      <w:pPr>
        <w:ind w:firstLine="640"/>
        <w:rPr>
          <w:color w:val="auto"/>
          <w:highlight w:val="none"/>
        </w:rPr>
      </w:pPr>
      <w:r>
        <w:rPr>
          <w:color w:val="auto"/>
          <w:highlight w:val="none"/>
        </w:rPr>
        <w:t>配套编制《开平市农业农村现代化</w:t>
      </w:r>
      <w:r>
        <w:rPr>
          <w:rFonts w:hint="eastAsia"/>
          <w:color w:val="auto"/>
          <w:highlight w:val="none"/>
        </w:rPr>
        <w:t>“十五五”</w:t>
      </w:r>
      <w:r>
        <w:rPr>
          <w:color w:val="auto"/>
          <w:highlight w:val="none"/>
        </w:rPr>
        <w:t>三年行动计划（2026—2028年）》，围绕</w:t>
      </w:r>
      <w:r>
        <w:rPr>
          <w:rFonts w:hint="eastAsia"/>
          <w:color w:val="auto"/>
          <w:highlight w:val="none"/>
          <w:lang w:val="en-US" w:eastAsia="zh-CN"/>
        </w:rPr>
        <w:t>六</w:t>
      </w:r>
      <w:r>
        <w:rPr>
          <w:color w:val="auto"/>
          <w:highlight w:val="none"/>
        </w:rPr>
        <w:t>大行动领域系统部署阶段性重点任务，共谋划重点项目34个。该行动计划作为</w:t>
      </w:r>
      <w:r>
        <w:rPr>
          <w:rFonts w:hint="eastAsia"/>
          <w:color w:val="auto"/>
          <w:highlight w:val="none"/>
        </w:rPr>
        <w:t>“十五五”</w:t>
      </w:r>
      <w:r>
        <w:rPr>
          <w:color w:val="auto"/>
          <w:highlight w:val="none"/>
        </w:rPr>
        <w:t>总体规划的中期落地抓手，将总体规划目标拆解为可落地、可量化的三年实操举措，通过分阶段攻坚、分年度推进，打通规划从蓝图到实践的转化通道，形成</w:t>
      </w:r>
      <w:r>
        <w:rPr>
          <w:rFonts w:hint="eastAsia"/>
          <w:color w:val="auto"/>
          <w:highlight w:val="none"/>
        </w:rPr>
        <w:t>“总体规划定方向、三年行动抓落实”</w:t>
      </w:r>
      <w:r>
        <w:rPr>
          <w:color w:val="auto"/>
          <w:highlight w:val="none"/>
        </w:rPr>
        <w:t>的梯次推进格局，以保障</w:t>
      </w:r>
      <w:r>
        <w:rPr>
          <w:rFonts w:hint="eastAsia"/>
          <w:color w:val="auto"/>
          <w:highlight w:val="none"/>
        </w:rPr>
        <w:t>“十五五”</w:t>
      </w:r>
      <w:r>
        <w:rPr>
          <w:color w:val="auto"/>
          <w:highlight w:val="none"/>
        </w:rPr>
        <w:t>农业农村现代化各项目标任务如期完成。</w:t>
      </w:r>
    </w:p>
    <w:p w14:paraId="5EC859B6">
      <w:pPr>
        <w:pStyle w:val="21"/>
        <w:rPr>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435" w:charSpace="0"/>
    </w:sectPr>
  </w:body>
</w:document>
</file>

<file path=word/customizations.xml><?xml version="1.0" encoding="utf-8"?>
<wne:tcg xmlns:r="http://schemas.openxmlformats.org/officeDocument/2006/relationships" xmlns:wne="http://schemas.microsoft.com/office/word/2006/wordml">
  <wne:keymaps>
    <wne:keymap wne:kcmPrimary="0755">
      <wne:fci wne:fciName="Help"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1" w:fontKey="{4560ECB8-66A5-4BA8-90C3-05B19C5881F4}"/>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楷体简体">
    <w:panose1 w:val="02000000000000000000"/>
    <w:charset w:val="86"/>
    <w:family w:val="auto"/>
    <w:pitch w:val="default"/>
    <w:sig w:usb0="A00002BF" w:usb1="184F6CFA" w:usb2="00000012" w:usb3="00000000" w:csb0="00040001" w:csb1="00000000"/>
    <w:embedRegular r:id="rId2" w:fontKey="{187EE079-859D-4676-9914-525A6B1E8CB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C645E">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62D84">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0E017">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3F49">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A6D27">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2F8B8">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1"/>
  <w:bordersDoNotSurroundFooter w:val="1"/>
  <w:trackRevisions w:val="1"/>
  <w:documentProtection w:enforcement="0"/>
  <w:defaultTabStop w:val="42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BlMWNmODE5NWU5OTIwZDNiZTViNTM3ODc1MTBjMzQifQ=="/>
  </w:docVars>
  <w:rsids>
    <w:rsidRoot w:val="00F96494"/>
    <w:rsid w:val="00015EC4"/>
    <w:rsid w:val="00052C9F"/>
    <w:rsid w:val="000650E5"/>
    <w:rsid w:val="00074824"/>
    <w:rsid w:val="000B34F2"/>
    <w:rsid w:val="001321FE"/>
    <w:rsid w:val="00157CE2"/>
    <w:rsid w:val="00185386"/>
    <w:rsid w:val="00232CEE"/>
    <w:rsid w:val="00322776"/>
    <w:rsid w:val="003C79E7"/>
    <w:rsid w:val="003E3395"/>
    <w:rsid w:val="00473FFE"/>
    <w:rsid w:val="004F0AD9"/>
    <w:rsid w:val="004F7772"/>
    <w:rsid w:val="004F7D30"/>
    <w:rsid w:val="00576A69"/>
    <w:rsid w:val="00577BF4"/>
    <w:rsid w:val="00604B36"/>
    <w:rsid w:val="006D1558"/>
    <w:rsid w:val="006F2BE9"/>
    <w:rsid w:val="006F6C15"/>
    <w:rsid w:val="00735198"/>
    <w:rsid w:val="007A1AA1"/>
    <w:rsid w:val="007C0292"/>
    <w:rsid w:val="007D4E29"/>
    <w:rsid w:val="00821BDB"/>
    <w:rsid w:val="00840656"/>
    <w:rsid w:val="00894B6F"/>
    <w:rsid w:val="009406EC"/>
    <w:rsid w:val="009755D9"/>
    <w:rsid w:val="009766B8"/>
    <w:rsid w:val="00976FC1"/>
    <w:rsid w:val="009D10FF"/>
    <w:rsid w:val="009D39EE"/>
    <w:rsid w:val="00B41C5F"/>
    <w:rsid w:val="00C44490"/>
    <w:rsid w:val="00C82F55"/>
    <w:rsid w:val="00CC4971"/>
    <w:rsid w:val="00D30DD2"/>
    <w:rsid w:val="00DA77A0"/>
    <w:rsid w:val="00DB1AB1"/>
    <w:rsid w:val="00E3728F"/>
    <w:rsid w:val="00E9517D"/>
    <w:rsid w:val="00EB56C0"/>
    <w:rsid w:val="00F032B0"/>
    <w:rsid w:val="00F16AA2"/>
    <w:rsid w:val="00F53368"/>
    <w:rsid w:val="00F90EA4"/>
    <w:rsid w:val="00F96494"/>
    <w:rsid w:val="00FD04BD"/>
    <w:rsid w:val="011A421D"/>
    <w:rsid w:val="015C2B0C"/>
    <w:rsid w:val="01783086"/>
    <w:rsid w:val="017D726E"/>
    <w:rsid w:val="01837043"/>
    <w:rsid w:val="01E54AEA"/>
    <w:rsid w:val="02076D9D"/>
    <w:rsid w:val="0236335D"/>
    <w:rsid w:val="02671606"/>
    <w:rsid w:val="029226E2"/>
    <w:rsid w:val="02D511CD"/>
    <w:rsid w:val="02D722C6"/>
    <w:rsid w:val="0351557D"/>
    <w:rsid w:val="03570538"/>
    <w:rsid w:val="039854C1"/>
    <w:rsid w:val="039A3047"/>
    <w:rsid w:val="042F6A85"/>
    <w:rsid w:val="049D5122"/>
    <w:rsid w:val="04A975FC"/>
    <w:rsid w:val="04BC22F0"/>
    <w:rsid w:val="04D71266"/>
    <w:rsid w:val="0533305C"/>
    <w:rsid w:val="0561453D"/>
    <w:rsid w:val="059A7D06"/>
    <w:rsid w:val="05CF7AF1"/>
    <w:rsid w:val="05FE0636"/>
    <w:rsid w:val="0642209E"/>
    <w:rsid w:val="06532893"/>
    <w:rsid w:val="06695AAF"/>
    <w:rsid w:val="06986303"/>
    <w:rsid w:val="06CC603E"/>
    <w:rsid w:val="06E64E71"/>
    <w:rsid w:val="06F72E1C"/>
    <w:rsid w:val="071E09B0"/>
    <w:rsid w:val="07342098"/>
    <w:rsid w:val="075E4BB8"/>
    <w:rsid w:val="077A4612"/>
    <w:rsid w:val="078B0168"/>
    <w:rsid w:val="07B97E87"/>
    <w:rsid w:val="07F72C7A"/>
    <w:rsid w:val="081A70BE"/>
    <w:rsid w:val="082A6116"/>
    <w:rsid w:val="08311D41"/>
    <w:rsid w:val="08651A70"/>
    <w:rsid w:val="086D16CA"/>
    <w:rsid w:val="088625E8"/>
    <w:rsid w:val="088E12DA"/>
    <w:rsid w:val="08AF40E0"/>
    <w:rsid w:val="08C24D06"/>
    <w:rsid w:val="09450F64"/>
    <w:rsid w:val="098933B6"/>
    <w:rsid w:val="09946057"/>
    <w:rsid w:val="09D10829"/>
    <w:rsid w:val="09E24686"/>
    <w:rsid w:val="09ED2E9B"/>
    <w:rsid w:val="0A1C672E"/>
    <w:rsid w:val="0A535F7F"/>
    <w:rsid w:val="0A911157"/>
    <w:rsid w:val="0AE110B8"/>
    <w:rsid w:val="0AE85CC6"/>
    <w:rsid w:val="0AF33F36"/>
    <w:rsid w:val="0B1A7CC0"/>
    <w:rsid w:val="0B1E0598"/>
    <w:rsid w:val="0B4526FC"/>
    <w:rsid w:val="0B667573"/>
    <w:rsid w:val="0B7E5372"/>
    <w:rsid w:val="0B8549BF"/>
    <w:rsid w:val="0BBE65BA"/>
    <w:rsid w:val="0C475FEC"/>
    <w:rsid w:val="0C753F55"/>
    <w:rsid w:val="0C8D265A"/>
    <w:rsid w:val="0CC36D44"/>
    <w:rsid w:val="0D652BD6"/>
    <w:rsid w:val="0D887501"/>
    <w:rsid w:val="0DBE6C43"/>
    <w:rsid w:val="0DC46FE5"/>
    <w:rsid w:val="0DE02C56"/>
    <w:rsid w:val="0DEC099A"/>
    <w:rsid w:val="0E30100A"/>
    <w:rsid w:val="0E434840"/>
    <w:rsid w:val="0E7F4983"/>
    <w:rsid w:val="0F5662C3"/>
    <w:rsid w:val="0F88165B"/>
    <w:rsid w:val="0FA66F8F"/>
    <w:rsid w:val="0FC331B1"/>
    <w:rsid w:val="10455020"/>
    <w:rsid w:val="1078549F"/>
    <w:rsid w:val="1089507F"/>
    <w:rsid w:val="108E41FD"/>
    <w:rsid w:val="10C23015"/>
    <w:rsid w:val="10D018CD"/>
    <w:rsid w:val="113E20B7"/>
    <w:rsid w:val="11B3186C"/>
    <w:rsid w:val="11EA47CC"/>
    <w:rsid w:val="123C676E"/>
    <w:rsid w:val="1283439D"/>
    <w:rsid w:val="12EF558E"/>
    <w:rsid w:val="12F51B4B"/>
    <w:rsid w:val="132B4901"/>
    <w:rsid w:val="13C23A80"/>
    <w:rsid w:val="13CB4CFB"/>
    <w:rsid w:val="13F97158"/>
    <w:rsid w:val="140611C6"/>
    <w:rsid w:val="140D3664"/>
    <w:rsid w:val="14101F8C"/>
    <w:rsid w:val="144909C1"/>
    <w:rsid w:val="147B6C33"/>
    <w:rsid w:val="14E95FDD"/>
    <w:rsid w:val="152F5258"/>
    <w:rsid w:val="155D5C33"/>
    <w:rsid w:val="15893EB4"/>
    <w:rsid w:val="159B2BA9"/>
    <w:rsid w:val="15D62A35"/>
    <w:rsid w:val="1656103C"/>
    <w:rsid w:val="16731C58"/>
    <w:rsid w:val="16E573D4"/>
    <w:rsid w:val="174A36DB"/>
    <w:rsid w:val="176C3C09"/>
    <w:rsid w:val="17DA5973"/>
    <w:rsid w:val="182D3E24"/>
    <w:rsid w:val="185B4238"/>
    <w:rsid w:val="192C2782"/>
    <w:rsid w:val="19EB386F"/>
    <w:rsid w:val="19EE36BF"/>
    <w:rsid w:val="19F6484E"/>
    <w:rsid w:val="1A5664A4"/>
    <w:rsid w:val="1A820A5A"/>
    <w:rsid w:val="1AD132ED"/>
    <w:rsid w:val="1AF75928"/>
    <w:rsid w:val="1AF97C44"/>
    <w:rsid w:val="1B955136"/>
    <w:rsid w:val="1B986024"/>
    <w:rsid w:val="1BA07D6D"/>
    <w:rsid w:val="1BCF07C8"/>
    <w:rsid w:val="1BE70667"/>
    <w:rsid w:val="1C5A2426"/>
    <w:rsid w:val="1C841733"/>
    <w:rsid w:val="1C853821"/>
    <w:rsid w:val="1CD73184"/>
    <w:rsid w:val="1D0B70CF"/>
    <w:rsid w:val="1D1C65C6"/>
    <w:rsid w:val="1D887DB3"/>
    <w:rsid w:val="1D9C28E7"/>
    <w:rsid w:val="1DBE6558"/>
    <w:rsid w:val="1DC752E1"/>
    <w:rsid w:val="1DEF352E"/>
    <w:rsid w:val="1E17152C"/>
    <w:rsid w:val="1F02062A"/>
    <w:rsid w:val="1F5F3DA2"/>
    <w:rsid w:val="1F8A2171"/>
    <w:rsid w:val="1F91326A"/>
    <w:rsid w:val="1FA83A69"/>
    <w:rsid w:val="1FC506A9"/>
    <w:rsid w:val="1FE3316F"/>
    <w:rsid w:val="1FEE540B"/>
    <w:rsid w:val="202268AC"/>
    <w:rsid w:val="20587CBE"/>
    <w:rsid w:val="209519C4"/>
    <w:rsid w:val="20D61F32"/>
    <w:rsid w:val="20DF4EDC"/>
    <w:rsid w:val="215060A4"/>
    <w:rsid w:val="217C5857"/>
    <w:rsid w:val="21860BD4"/>
    <w:rsid w:val="21EF4232"/>
    <w:rsid w:val="22036A6A"/>
    <w:rsid w:val="221A2809"/>
    <w:rsid w:val="22804BEA"/>
    <w:rsid w:val="22B51E9B"/>
    <w:rsid w:val="22CA6542"/>
    <w:rsid w:val="22D66385"/>
    <w:rsid w:val="22DC376E"/>
    <w:rsid w:val="22E04243"/>
    <w:rsid w:val="23717F8E"/>
    <w:rsid w:val="239D1A48"/>
    <w:rsid w:val="23EC71FF"/>
    <w:rsid w:val="2418621A"/>
    <w:rsid w:val="242C1665"/>
    <w:rsid w:val="246C0CB4"/>
    <w:rsid w:val="247F246A"/>
    <w:rsid w:val="24D76D73"/>
    <w:rsid w:val="257B2587"/>
    <w:rsid w:val="25D32AED"/>
    <w:rsid w:val="26404774"/>
    <w:rsid w:val="264A4BDB"/>
    <w:rsid w:val="264F2161"/>
    <w:rsid w:val="265754CC"/>
    <w:rsid w:val="270C4509"/>
    <w:rsid w:val="271933B4"/>
    <w:rsid w:val="275F1D85"/>
    <w:rsid w:val="27887013"/>
    <w:rsid w:val="27887A0E"/>
    <w:rsid w:val="27C84928"/>
    <w:rsid w:val="27F5047C"/>
    <w:rsid w:val="283A0AB9"/>
    <w:rsid w:val="28C72330"/>
    <w:rsid w:val="290A6E99"/>
    <w:rsid w:val="297E4DBC"/>
    <w:rsid w:val="298A521C"/>
    <w:rsid w:val="298D6041"/>
    <w:rsid w:val="2998449B"/>
    <w:rsid w:val="2A1E5EDC"/>
    <w:rsid w:val="2A2C07C3"/>
    <w:rsid w:val="2A8B2D5C"/>
    <w:rsid w:val="2A953424"/>
    <w:rsid w:val="2AAD3E6F"/>
    <w:rsid w:val="2AB06433"/>
    <w:rsid w:val="2B2358F1"/>
    <w:rsid w:val="2B5D1E7C"/>
    <w:rsid w:val="2B6810D0"/>
    <w:rsid w:val="2B7832FF"/>
    <w:rsid w:val="2B896D2F"/>
    <w:rsid w:val="2B8F39B3"/>
    <w:rsid w:val="2BDD2E51"/>
    <w:rsid w:val="2C370BE7"/>
    <w:rsid w:val="2C5C1A8E"/>
    <w:rsid w:val="2C6E61C2"/>
    <w:rsid w:val="2C85403C"/>
    <w:rsid w:val="2CA26C30"/>
    <w:rsid w:val="2CB67C62"/>
    <w:rsid w:val="2D32459D"/>
    <w:rsid w:val="2D375814"/>
    <w:rsid w:val="2D4A53CB"/>
    <w:rsid w:val="2D500D33"/>
    <w:rsid w:val="2D597D7C"/>
    <w:rsid w:val="2D5F4DF5"/>
    <w:rsid w:val="2D601339"/>
    <w:rsid w:val="2DB25AC0"/>
    <w:rsid w:val="2DD229D6"/>
    <w:rsid w:val="2E3362FD"/>
    <w:rsid w:val="2F557EA6"/>
    <w:rsid w:val="2F6669A3"/>
    <w:rsid w:val="2FBF1DEE"/>
    <w:rsid w:val="3008775D"/>
    <w:rsid w:val="3029235A"/>
    <w:rsid w:val="30B4083E"/>
    <w:rsid w:val="30BD1EA8"/>
    <w:rsid w:val="30EF09F4"/>
    <w:rsid w:val="3103697D"/>
    <w:rsid w:val="3149589F"/>
    <w:rsid w:val="318E4DD0"/>
    <w:rsid w:val="31CF51FC"/>
    <w:rsid w:val="323924EF"/>
    <w:rsid w:val="32444D00"/>
    <w:rsid w:val="32563444"/>
    <w:rsid w:val="33363662"/>
    <w:rsid w:val="336A1494"/>
    <w:rsid w:val="33B46AA3"/>
    <w:rsid w:val="342B448B"/>
    <w:rsid w:val="34C94E76"/>
    <w:rsid w:val="34CC046D"/>
    <w:rsid w:val="34DA0880"/>
    <w:rsid w:val="34F42445"/>
    <w:rsid w:val="351E4BC7"/>
    <w:rsid w:val="35447564"/>
    <w:rsid w:val="35771BC5"/>
    <w:rsid w:val="35A818A1"/>
    <w:rsid w:val="35B912F3"/>
    <w:rsid w:val="36F26C6C"/>
    <w:rsid w:val="36F964A3"/>
    <w:rsid w:val="36FA37CD"/>
    <w:rsid w:val="37277B0C"/>
    <w:rsid w:val="37311FA2"/>
    <w:rsid w:val="374D18DD"/>
    <w:rsid w:val="374E71F9"/>
    <w:rsid w:val="376B097B"/>
    <w:rsid w:val="37D2470D"/>
    <w:rsid w:val="37D7735F"/>
    <w:rsid w:val="37FD5E31"/>
    <w:rsid w:val="381849D8"/>
    <w:rsid w:val="382E379E"/>
    <w:rsid w:val="384508FF"/>
    <w:rsid w:val="387D6E41"/>
    <w:rsid w:val="389F6485"/>
    <w:rsid w:val="38A95734"/>
    <w:rsid w:val="38D72D52"/>
    <w:rsid w:val="39550FBB"/>
    <w:rsid w:val="3A11187A"/>
    <w:rsid w:val="3B340503"/>
    <w:rsid w:val="3B467B23"/>
    <w:rsid w:val="3B4C6D7D"/>
    <w:rsid w:val="3C6A3978"/>
    <w:rsid w:val="3C823A29"/>
    <w:rsid w:val="3CB1078E"/>
    <w:rsid w:val="3CB209A8"/>
    <w:rsid w:val="3CBD2E69"/>
    <w:rsid w:val="3D1A7FF5"/>
    <w:rsid w:val="3D553714"/>
    <w:rsid w:val="3DB06612"/>
    <w:rsid w:val="3DD84CED"/>
    <w:rsid w:val="3E2816B2"/>
    <w:rsid w:val="3E45729F"/>
    <w:rsid w:val="3E500124"/>
    <w:rsid w:val="3EC90069"/>
    <w:rsid w:val="3F0E1B11"/>
    <w:rsid w:val="3F1E799E"/>
    <w:rsid w:val="3F227A17"/>
    <w:rsid w:val="3F604F9A"/>
    <w:rsid w:val="3F705A39"/>
    <w:rsid w:val="3FDA64CD"/>
    <w:rsid w:val="40514223"/>
    <w:rsid w:val="40CB7B39"/>
    <w:rsid w:val="40D52D65"/>
    <w:rsid w:val="40FE4250"/>
    <w:rsid w:val="40FE4C6F"/>
    <w:rsid w:val="410666BD"/>
    <w:rsid w:val="414F6F99"/>
    <w:rsid w:val="415E19AD"/>
    <w:rsid w:val="41EB5AEA"/>
    <w:rsid w:val="42061260"/>
    <w:rsid w:val="425B4FAD"/>
    <w:rsid w:val="426A00F8"/>
    <w:rsid w:val="42B4482C"/>
    <w:rsid w:val="42DF0CF2"/>
    <w:rsid w:val="433C3C4F"/>
    <w:rsid w:val="43601A0D"/>
    <w:rsid w:val="43907BD6"/>
    <w:rsid w:val="43AE7F82"/>
    <w:rsid w:val="43CE5E32"/>
    <w:rsid w:val="43F11DD4"/>
    <w:rsid w:val="440B62C9"/>
    <w:rsid w:val="44616CE5"/>
    <w:rsid w:val="44932F02"/>
    <w:rsid w:val="44C1202A"/>
    <w:rsid w:val="44F173C9"/>
    <w:rsid w:val="45092D66"/>
    <w:rsid w:val="4536491B"/>
    <w:rsid w:val="45502162"/>
    <w:rsid w:val="45E314A4"/>
    <w:rsid w:val="45F436A1"/>
    <w:rsid w:val="460D2F95"/>
    <w:rsid w:val="4618174F"/>
    <w:rsid w:val="46183945"/>
    <w:rsid w:val="462173C2"/>
    <w:rsid w:val="46375677"/>
    <w:rsid w:val="46740799"/>
    <w:rsid w:val="468302C7"/>
    <w:rsid w:val="46A63710"/>
    <w:rsid w:val="46EA16A5"/>
    <w:rsid w:val="47193518"/>
    <w:rsid w:val="474653BD"/>
    <w:rsid w:val="47863A0C"/>
    <w:rsid w:val="47F56314"/>
    <w:rsid w:val="47FF75DD"/>
    <w:rsid w:val="48D84DB3"/>
    <w:rsid w:val="49703273"/>
    <w:rsid w:val="4A595C86"/>
    <w:rsid w:val="4A9063A4"/>
    <w:rsid w:val="4A9A60C2"/>
    <w:rsid w:val="4AAE4960"/>
    <w:rsid w:val="4B693428"/>
    <w:rsid w:val="4B693B65"/>
    <w:rsid w:val="4B6F69B8"/>
    <w:rsid w:val="4C114C85"/>
    <w:rsid w:val="4C6C219B"/>
    <w:rsid w:val="4D1378E5"/>
    <w:rsid w:val="4D405502"/>
    <w:rsid w:val="4D733DD8"/>
    <w:rsid w:val="4E0217AE"/>
    <w:rsid w:val="4E3C79A4"/>
    <w:rsid w:val="4F3D01B0"/>
    <w:rsid w:val="4F3F31C3"/>
    <w:rsid w:val="4F647BED"/>
    <w:rsid w:val="4F911E3B"/>
    <w:rsid w:val="4FD03344"/>
    <w:rsid w:val="4FEC41FB"/>
    <w:rsid w:val="5013760D"/>
    <w:rsid w:val="5017280E"/>
    <w:rsid w:val="503D709F"/>
    <w:rsid w:val="50D97B6F"/>
    <w:rsid w:val="51033E12"/>
    <w:rsid w:val="516F4BE7"/>
    <w:rsid w:val="51711289"/>
    <w:rsid w:val="51A21CB0"/>
    <w:rsid w:val="51D7397B"/>
    <w:rsid w:val="51E8779D"/>
    <w:rsid w:val="52506EE9"/>
    <w:rsid w:val="527E1EAF"/>
    <w:rsid w:val="528D3244"/>
    <w:rsid w:val="52E003C3"/>
    <w:rsid w:val="52E273F8"/>
    <w:rsid w:val="533F44B9"/>
    <w:rsid w:val="538D1E45"/>
    <w:rsid w:val="538E1E34"/>
    <w:rsid w:val="53B042EA"/>
    <w:rsid w:val="544607AB"/>
    <w:rsid w:val="547C241E"/>
    <w:rsid w:val="5499550F"/>
    <w:rsid w:val="54C1346A"/>
    <w:rsid w:val="54F601F4"/>
    <w:rsid w:val="550319DE"/>
    <w:rsid w:val="551E61D5"/>
    <w:rsid w:val="552C47D7"/>
    <w:rsid w:val="553B184B"/>
    <w:rsid w:val="553B5284"/>
    <w:rsid w:val="55415D32"/>
    <w:rsid w:val="555E5FC1"/>
    <w:rsid w:val="55915A56"/>
    <w:rsid w:val="5595259F"/>
    <w:rsid w:val="55FB1A6D"/>
    <w:rsid w:val="55FD48D0"/>
    <w:rsid w:val="562303E6"/>
    <w:rsid w:val="563C422D"/>
    <w:rsid w:val="56D45BC5"/>
    <w:rsid w:val="57274216"/>
    <w:rsid w:val="5737168D"/>
    <w:rsid w:val="57866340"/>
    <w:rsid w:val="57BB514E"/>
    <w:rsid w:val="57BC18D6"/>
    <w:rsid w:val="58003319"/>
    <w:rsid w:val="58063CA6"/>
    <w:rsid w:val="58AA753E"/>
    <w:rsid w:val="58AC008B"/>
    <w:rsid w:val="58BC1E2A"/>
    <w:rsid w:val="58BF449A"/>
    <w:rsid w:val="58D0041B"/>
    <w:rsid w:val="590C2AF4"/>
    <w:rsid w:val="5926738D"/>
    <w:rsid w:val="59512B55"/>
    <w:rsid w:val="598D09FE"/>
    <w:rsid w:val="5A270804"/>
    <w:rsid w:val="5A3E416B"/>
    <w:rsid w:val="5B200D48"/>
    <w:rsid w:val="5B2823C0"/>
    <w:rsid w:val="5B6B6ABA"/>
    <w:rsid w:val="5B793D95"/>
    <w:rsid w:val="5B8B6155"/>
    <w:rsid w:val="5BC34BFF"/>
    <w:rsid w:val="5C374CBA"/>
    <w:rsid w:val="5C3E1787"/>
    <w:rsid w:val="5C78171D"/>
    <w:rsid w:val="5CE9261B"/>
    <w:rsid w:val="5CF9106F"/>
    <w:rsid w:val="5D18726A"/>
    <w:rsid w:val="5D232C2A"/>
    <w:rsid w:val="5D283143"/>
    <w:rsid w:val="5D9702C9"/>
    <w:rsid w:val="5DAA3B58"/>
    <w:rsid w:val="5DFC0F87"/>
    <w:rsid w:val="5DFE2677"/>
    <w:rsid w:val="5E684A2E"/>
    <w:rsid w:val="5EC74AF7"/>
    <w:rsid w:val="5EDC6BDB"/>
    <w:rsid w:val="5F332532"/>
    <w:rsid w:val="604159EE"/>
    <w:rsid w:val="604A0D7B"/>
    <w:rsid w:val="6178247E"/>
    <w:rsid w:val="61C32D5A"/>
    <w:rsid w:val="61E420C2"/>
    <w:rsid w:val="620C01FC"/>
    <w:rsid w:val="621537F9"/>
    <w:rsid w:val="624C5DB5"/>
    <w:rsid w:val="624F4522"/>
    <w:rsid w:val="62505FA4"/>
    <w:rsid w:val="626868C9"/>
    <w:rsid w:val="62EB3745"/>
    <w:rsid w:val="62F30C76"/>
    <w:rsid w:val="631A0F71"/>
    <w:rsid w:val="63251390"/>
    <w:rsid w:val="633E6421"/>
    <w:rsid w:val="635D1F12"/>
    <w:rsid w:val="63852653"/>
    <w:rsid w:val="63862924"/>
    <w:rsid w:val="63A75A74"/>
    <w:rsid w:val="63EE3CCB"/>
    <w:rsid w:val="64243C17"/>
    <w:rsid w:val="647C54E3"/>
    <w:rsid w:val="648016B2"/>
    <w:rsid w:val="64D92F75"/>
    <w:rsid w:val="64E80F35"/>
    <w:rsid w:val="651A7D8F"/>
    <w:rsid w:val="65292086"/>
    <w:rsid w:val="658B24C1"/>
    <w:rsid w:val="65D22F96"/>
    <w:rsid w:val="65D466EC"/>
    <w:rsid w:val="661A50AD"/>
    <w:rsid w:val="661E6EDB"/>
    <w:rsid w:val="66685B44"/>
    <w:rsid w:val="66B7413C"/>
    <w:rsid w:val="676907E9"/>
    <w:rsid w:val="67AE6B89"/>
    <w:rsid w:val="67B851B0"/>
    <w:rsid w:val="67F01DB0"/>
    <w:rsid w:val="67FC4C70"/>
    <w:rsid w:val="683F0064"/>
    <w:rsid w:val="685400C8"/>
    <w:rsid w:val="68552207"/>
    <w:rsid w:val="687F0856"/>
    <w:rsid w:val="68CF2DE0"/>
    <w:rsid w:val="69460DFA"/>
    <w:rsid w:val="694638A8"/>
    <w:rsid w:val="69683177"/>
    <w:rsid w:val="69DA525A"/>
    <w:rsid w:val="69E74B9C"/>
    <w:rsid w:val="6A180535"/>
    <w:rsid w:val="6A34323A"/>
    <w:rsid w:val="6A3D7B29"/>
    <w:rsid w:val="6A8D08FE"/>
    <w:rsid w:val="6AC30569"/>
    <w:rsid w:val="6ADC488C"/>
    <w:rsid w:val="6B355484"/>
    <w:rsid w:val="6B397FBC"/>
    <w:rsid w:val="6B5505BD"/>
    <w:rsid w:val="6B847439"/>
    <w:rsid w:val="6B9C0122"/>
    <w:rsid w:val="6BBE0807"/>
    <w:rsid w:val="6BC33527"/>
    <w:rsid w:val="6BEE26B4"/>
    <w:rsid w:val="6BF27DE1"/>
    <w:rsid w:val="6C090DE4"/>
    <w:rsid w:val="6CD45628"/>
    <w:rsid w:val="6CEC7DBC"/>
    <w:rsid w:val="6D0C52F0"/>
    <w:rsid w:val="6D815627"/>
    <w:rsid w:val="6DA359D1"/>
    <w:rsid w:val="6DAF6E02"/>
    <w:rsid w:val="6DFB18CE"/>
    <w:rsid w:val="6E5255D8"/>
    <w:rsid w:val="6E8C45EA"/>
    <w:rsid w:val="6EA74599"/>
    <w:rsid w:val="6EB614C4"/>
    <w:rsid w:val="6EC209C0"/>
    <w:rsid w:val="6ED22CDD"/>
    <w:rsid w:val="6EEF7F9D"/>
    <w:rsid w:val="6FD56D75"/>
    <w:rsid w:val="70603549"/>
    <w:rsid w:val="70743E3F"/>
    <w:rsid w:val="70B106F5"/>
    <w:rsid w:val="717635D7"/>
    <w:rsid w:val="71BB2E95"/>
    <w:rsid w:val="71CF1988"/>
    <w:rsid w:val="71D102FF"/>
    <w:rsid w:val="71DE6752"/>
    <w:rsid w:val="72383112"/>
    <w:rsid w:val="72B91C82"/>
    <w:rsid w:val="72E573A6"/>
    <w:rsid w:val="735B2ABC"/>
    <w:rsid w:val="73E34E06"/>
    <w:rsid w:val="73E8128E"/>
    <w:rsid w:val="73F42184"/>
    <w:rsid w:val="73F44539"/>
    <w:rsid w:val="741F31BC"/>
    <w:rsid w:val="74202CCC"/>
    <w:rsid w:val="75086ADE"/>
    <w:rsid w:val="75A0153F"/>
    <w:rsid w:val="75EF43A6"/>
    <w:rsid w:val="75FB0D5D"/>
    <w:rsid w:val="76501058"/>
    <w:rsid w:val="76886E4F"/>
    <w:rsid w:val="76B83A3A"/>
    <w:rsid w:val="76BF2FA0"/>
    <w:rsid w:val="76C45102"/>
    <w:rsid w:val="76D11A58"/>
    <w:rsid w:val="76D4359C"/>
    <w:rsid w:val="773D35D6"/>
    <w:rsid w:val="77CB40BF"/>
    <w:rsid w:val="77CF227F"/>
    <w:rsid w:val="77DC13E3"/>
    <w:rsid w:val="77DE2925"/>
    <w:rsid w:val="77E3357B"/>
    <w:rsid w:val="77E640F2"/>
    <w:rsid w:val="77F03269"/>
    <w:rsid w:val="77F349F4"/>
    <w:rsid w:val="781870FD"/>
    <w:rsid w:val="783F14A3"/>
    <w:rsid w:val="787816DC"/>
    <w:rsid w:val="788765A7"/>
    <w:rsid w:val="789170DA"/>
    <w:rsid w:val="78B51B1E"/>
    <w:rsid w:val="78C65E71"/>
    <w:rsid w:val="78D6153F"/>
    <w:rsid w:val="797649AD"/>
    <w:rsid w:val="797A54B2"/>
    <w:rsid w:val="798512A8"/>
    <w:rsid w:val="79F16886"/>
    <w:rsid w:val="7A335968"/>
    <w:rsid w:val="7A7146D1"/>
    <w:rsid w:val="7ADA43B0"/>
    <w:rsid w:val="7BA33001"/>
    <w:rsid w:val="7BD1084A"/>
    <w:rsid w:val="7C6333F8"/>
    <w:rsid w:val="7CD60894"/>
    <w:rsid w:val="7CDB1C84"/>
    <w:rsid w:val="7CE4657C"/>
    <w:rsid w:val="7D00278C"/>
    <w:rsid w:val="7D1E1724"/>
    <w:rsid w:val="7D443E63"/>
    <w:rsid w:val="7D6C1398"/>
    <w:rsid w:val="7DC9530D"/>
    <w:rsid w:val="7E075CEE"/>
    <w:rsid w:val="7E3B1F9A"/>
    <w:rsid w:val="7F001904"/>
    <w:rsid w:val="7F24020A"/>
    <w:rsid w:val="7F546A43"/>
    <w:rsid w:val="7F8D2547"/>
    <w:rsid w:val="7F8E0530"/>
    <w:rsid w:val="7FB3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0" w:lineRule="exact"/>
      <w:ind w:firstLine="420" w:firstLineChars="200"/>
      <w:jc w:val="both"/>
    </w:pPr>
    <w:rPr>
      <w:rFonts w:ascii="Times New Roman" w:hAnsi="Times New Roman" w:eastAsia="仿宋_GB2312" w:cs="Times New Roman"/>
      <w:color w:val="000000" w:themeColor="text1"/>
      <w:kern w:val="2"/>
      <w:sz w:val="32"/>
      <w:szCs w:val="32"/>
      <w:lang w:val="en-US" w:eastAsia="zh-CN" w:bidi="ar-SA"/>
      <w14:textFill>
        <w14:solidFill>
          <w14:schemeClr w14:val="tx1"/>
        </w14:solidFill>
      </w14:textFill>
    </w:rPr>
  </w:style>
  <w:style w:type="paragraph" w:styleId="2">
    <w:name w:val="heading 1"/>
    <w:basedOn w:val="1"/>
    <w:next w:val="1"/>
    <w:link w:val="23"/>
    <w:qFormat/>
    <w:uiPriority w:val="0"/>
    <w:pPr>
      <w:ind w:firstLine="640"/>
      <w:jc w:val="left"/>
      <w:outlineLvl w:val="0"/>
    </w:pPr>
    <w:rPr>
      <w:rFonts w:eastAsia="黑体"/>
    </w:rPr>
  </w:style>
  <w:style w:type="paragraph" w:styleId="3">
    <w:name w:val="heading 2"/>
    <w:basedOn w:val="1"/>
    <w:next w:val="1"/>
    <w:link w:val="41"/>
    <w:unhideWhenUsed/>
    <w:qFormat/>
    <w:uiPriority w:val="0"/>
    <w:pPr>
      <w:keepNext/>
      <w:keepLines/>
      <w:ind w:firstLine="640"/>
      <w:outlineLvl w:val="1"/>
    </w:pPr>
    <w:rPr>
      <w:rFonts w:eastAsia="楷体_GB2312" w:cstheme="majorBidi"/>
    </w:rPr>
  </w:style>
  <w:style w:type="paragraph" w:styleId="4">
    <w:name w:val="heading 3"/>
    <w:basedOn w:val="1"/>
    <w:next w:val="1"/>
    <w:link w:val="28"/>
    <w:semiHidden/>
    <w:unhideWhenUsed/>
    <w:qFormat/>
    <w:uiPriority w:val="0"/>
    <w:pPr>
      <w:ind w:firstLine="640"/>
      <w:jc w:val="left"/>
      <w:outlineLvl w:val="2"/>
    </w:pPr>
    <w:rPr>
      <w:rFonts w:hint="eastAsia"/>
      <w:b/>
      <w:bCs/>
      <w:kern w:val="0"/>
    </w:rPr>
  </w:style>
  <w:style w:type="paragraph" w:styleId="5">
    <w:name w:val="heading 4"/>
    <w:basedOn w:val="1"/>
    <w:next w:val="1"/>
    <w:link w:val="40"/>
    <w:semiHidden/>
    <w:unhideWhenUsed/>
    <w:qFormat/>
    <w:uiPriority w:val="0"/>
    <w:pPr>
      <w:keepNext/>
      <w:keepLines/>
      <w:outlineLvl w:val="3"/>
    </w:pPr>
    <w:rPr>
      <w:rFonts w:cstheme="majorBidi"/>
      <w:b/>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Normal Indent"/>
    <w:basedOn w:val="1"/>
    <w:qFormat/>
    <w:uiPriority w:val="0"/>
  </w:style>
  <w:style w:type="paragraph" w:styleId="8">
    <w:name w:val="Body Text Indent"/>
    <w:basedOn w:val="1"/>
    <w:qFormat/>
    <w:uiPriority w:val="0"/>
    <w:pPr>
      <w:spacing w:after="120"/>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Subtitle"/>
    <w:basedOn w:val="1"/>
    <w:next w:val="1"/>
    <w:link w:val="38"/>
    <w:qFormat/>
    <w:uiPriority w:val="0"/>
    <w:pPr>
      <w:ind w:firstLine="0" w:firstLineChars="0"/>
      <w:jc w:val="center"/>
    </w:pPr>
    <w:rPr>
      <w:rFonts w:eastAsia="方正小标宋简体" w:cstheme="majorBidi"/>
      <w:spacing w:val="17"/>
      <w:sz w:val="44"/>
      <w:szCs w:val="44"/>
    </w:rPr>
  </w:style>
  <w:style w:type="paragraph" w:styleId="12">
    <w:name w:val="footnote text"/>
    <w:basedOn w:val="1"/>
    <w:qFormat/>
    <w:uiPriority w:val="0"/>
    <w:pPr>
      <w:snapToGrid w:val="0"/>
      <w:spacing w:line="240" w:lineRule="atLeast"/>
      <w:jc w:val="left"/>
    </w:pPr>
    <w:rPr>
      <w:sz w:val="18"/>
    </w:rPr>
  </w:style>
  <w:style w:type="paragraph" w:styleId="13">
    <w:name w:val="toc 2"/>
    <w:basedOn w:val="1"/>
    <w:next w:val="1"/>
    <w:qFormat/>
    <w:uiPriority w:val="0"/>
    <w:pPr>
      <w:ind w:left="420" w:leftChars="200"/>
    </w:pPr>
  </w:style>
  <w:style w:type="paragraph" w:styleId="14">
    <w:name w:val="Title"/>
    <w:basedOn w:val="1"/>
    <w:next w:val="1"/>
    <w:link w:val="35"/>
    <w:qFormat/>
    <w:uiPriority w:val="0"/>
    <w:pPr>
      <w:ind w:firstLine="0" w:firstLineChars="0"/>
      <w:contextualSpacing/>
      <w:jc w:val="center"/>
    </w:pPr>
    <w:rPr>
      <w:rFonts w:eastAsia="方正小标宋简体" w:cstheme="majorBidi"/>
      <w:spacing w:val="-11"/>
      <w:kern w:val="28"/>
      <w:sz w:val="44"/>
      <w:szCs w:val="44"/>
    </w:rPr>
  </w:style>
  <w:style w:type="paragraph" w:styleId="15">
    <w:name w:val="Body Text First Indent"/>
    <w:basedOn w:val="1"/>
    <w:qFormat/>
    <w:uiPriority w:val="0"/>
    <w:pPr>
      <w:ind w:firstLine="100" w:firstLineChars="100"/>
    </w:pPr>
  </w:style>
  <w:style w:type="paragraph" w:styleId="16">
    <w:name w:val="Body Text First Indent 2"/>
    <w:basedOn w:val="8"/>
    <w:qFormat/>
    <w:uiPriority w:val="0"/>
    <w:pPr>
      <w:spacing w:line="420" w:lineRule="exact"/>
      <w:ind w:left="493"/>
    </w:pPr>
    <w:rPr>
      <w:rFonts w:ascii="仿宋_GB2312" w:hAnsi="仿宋_GB2312"/>
      <w:color w:val="000000"/>
      <w:kern w:val="0"/>
      <w:sz w:val="28"/>
      <w:szCs w:val="22"/>
    </w:rPr>
  </w:style>
  <w:style w:type="table" w:styleId="18">
    <w:name w:val="Table Grid"/>
    <w:basedOn w:val="17"/>
    <w:qFormat/>
    <w:uiPriority w:val="59"/>
    <w:rPr>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otnote reference"/>
    <w:basedOn w:val="19"/>
    <w:qFormat/>
    <w:uiPriority w:val="0"/>
    <w:rPr>
      <w:rFonts w:ascii="等线" w:hAnsi="等线" w:eastAsia="仿宋_GB2312" w:cs="仿宋_GB2312"/>
      <w:sz w:val="21"/>
      <w:szCs w:val="21"/>
      <w:vertAlign w:val="superscript"/>
    </w:rPr>
  </w:style>
  <w:style w:type="paragraph" w:customStyle="1" w:styleId="21">
    <w:name w:val="表格内容"/>
    <w:basedOn w:val="1"/>
    <w:next w:val="1"/>
    <w:link w:val="32"/>
    <w:qFormat/>
    <w:uiPriority w:val="0"/>
    <w:pPr>
      <w:spacing w:line="320" w:lineRule="exact"/>
      <w:ind w:firstLine="0" w:firstLineChars="0"/>
      <w:jc w:val="left"/>
    </w:pPr>
    <w:rPr>
      <w:sz w:val="24"/>
      <w:szCs w:val="24"/>
    </w:rPr>
  </w:style>
  <w:style w:type="paragraph" w:customStyle="1" w:styleId="22">
    <w:name w:val="表格标题"/>
    <w:basedOn w:val="1"/>
    <w:link w:val="30"/>
    <w:qFormat/>
    <w:uiPriority w:val="0"/>
    <w:pPr>
      <w:spacing w:line="500" w:lineRule="exact"/>
      <w:ind w:firstLine="0" w:firstLineChars="0"/>
      <w:jc w:val="center"/>
    </w:pPr>
    <w:rPr>
      <w:rFonts w:hint="eastAsia" w:eastAsia="黑体" w:cstheme="minorBidi"/>
      <w:sz w:val="28"/>
      <w:szCs w:val="22"/>
    </w:rPr>
  </w:style>
  <w:style w:type="character" w:customStyle="1" w:styleId="23">
    <w:name w:val="标题 1 字符"/>
    <w:basedOn w:val="19"/>
    <w:link w:val="2"/>
    <w:qFormat/>
    <w:uiPriority w:val="9"/>
    <w:rPr>
      <w:rFonts w:ascii="Times New Roman" w:hAnsi="Times New Roman" w:eastAsia="黑体" w:cs="Times New Roman"/>
      <w:sz w:val="32"/>
      <w:szCs w:val="32"/>
      <w14:ligatures w14:val="none"/>
    </w:rPr>
  </w:style>
  <w:style w:type="character" w:customStyle="1" w:styleId="24">
    <w:name w:val="标题 2 字符"/>
    <w:basedOn w:val="19"/>
    <w:semiHidden/>
    <w:qFormat/>
    <w:uiPriority w:val="9"/>
    <w:rPr>
      <w:rFonts w:ascii="Times New Roman" w:hAnsi="Times New Roman" w:eastAsia="黑体" w:cstheme="majorBidi"/>
      <w:color w:val="000000" w:themeColor="text1"/>
      <w:kern w:val="2"/>
      <w:sz w:val="32"/>
      <w:szCs w:val="32"/>
      <w14:textFill>
        <w14:solidFill>
          <w14:schemeClr w14:val="tx1"/>
        </w14:solidFill>
      </w14:textFill>
    </w:rPr>
  </w:style>
  <w:style w:type="paragraph" w:customStyle="1" w:styleId="25">
    <w:name w:val="中大标题"/>
    <w:basedOn w:val="1"/>
    <w:next w:val="1"/>
    <w:link w:val="26"/>
    <w:qFormat/>
    <w:uiPriority w:val="0"/>
    <w:pPr>
      <w:ind w:firstLine="0" w:firstLineChars="0"/>
      <w:jc w:val="center"/>
    </w:pPr>
    <w:rPr>
      <w:rFonts w:hint="eastAsia" w:ascii="方正小标宋简体" w:hAnsi="方正小标宋简体" w:eastAsia="方正小标宋简体" w:cs="方正小标宋简体"/>
      <w:sz w:val="44"/>
      <w:szCs w:val="44"/>
    </w:rPr>
  </w:style>
  <w:style w:type="character" w:customStyle="1" w:styleId="26">
    <w:name w:val="中大标题 字符"/>
    <w:basedOn w:val="19"/>
    <w:link w:val="25"/>
    <w:qFormat/>
    <w:uiPriority w:val="0"/>
    <w:rPr>
      <w:rFonts w:eastAsia="方正小标宋简体" w:cstheme="minorBidi"/>
      <w:sz w:val="44"/>
      <w:szCs w:val="21"/>
      <w14:ligatures w14:val="none"/>
    </w:rPr>
  </w:style>
  <w:style w:type="paragraph" w:customStyle="1" w:styleId="27">
    <w:name w:val="中大表格"/>
    <w:basedOn w:val="1"/>
    <w:next w:val="1"/>
    <w:qFormat/>
    <w:uiPriority w:val="0"/>
    <w:pPr>
      <w:spacing w:line="320" w:lineRule="exact"/>
      <w:ind w:firstLine="0" w:firstLineChars="0"/>
    </w:pPr>
    <w:rPr>
      <w:rFonts w:cs="仿宋_GB2312"/>
      <w:sz w:val="24"/>
    </w:rPr>
  </w:style>
  <w:style w:type="character" w:customStyle="1" w:styleId="28">
    <w:name w:val="标题 3 字符"/>
    <w:basedOn w:val="19"/>
    <w:link w:val="4"/>
    <w:semiHidden/>
    <w:qFormat/>
    <w:uiPriority w:val="9"/>
    <w:rPr>
      <w:rFonts w:ascii="Times New Roman" w:hAnsi="Times New Roman" w:eastAsia="仿宋_GB2312" w:cs="Times New Roman"/>
      <w:b/>
      <w:color w:val="000000" w:themeColor="text1"/>
      <w:sz w:val="32"/>
      <w:szCs w:val="32"/>
      <w14:textFill>
        <w14:solidFill>
          <w14:schemeClr w14:val="tx1"/>
        </w14:solidFill>
      </w14:textFill>
    </w:rPr>
  </w:style>
  <w:style w:type="paragraph" w:customStyle="1" w:styleId="29">
    <w:name w:val="中大正文"/>
    <w:basedOn w:val="1"/>
    <w:qFormat/>
    <w:uiPriority w:val="0"/>
    <w:pPr>
      <w:ind w:firstLine="640"/>
    </w:pPr>
  </w:style>
  <w:style w:type="character" w:customStyle="1" w:styleId="30">
    <w:name w:val="表格标题 字符"/>
    <w:link w:val="22"/>
    <w:qFormat/>
    <w:uiPriority w:val="0"/>
    <w:rPr>
      <w:rFonts w:hint="eastAsia" w:ascii="Times New Roman" w:hAnsi="Times New Roman" w:eastAsia="黑体" w:cstheme="minorBidi"/>
      <w:color w:val="262626" w:themeColor="text1" w:themeTint="D9"/>
      <w:kern w:val="2"/>
      <w:sz w:val="28"/>
      <w:szCs w:val="22"/>
      <w14:textFill>
        <w14:solidFill>
          <w14:schemeClr w14:val="tx1">
            <w14:lumMod w14:val="85000"/>
            <w14:lumOff w14:val="15000"/>
          </w14:schemeClr>
        </w14:solidFill>
      </w14:textFill>
      <w14:ligatures w14:val="none"/>
    </w:rPr>
  </w:style>
  <w:style w:type="character" w:customStyle="1" w:styleId="31">
    <w:name w:val="中大表格 字符"/>
    <w:basedOn w:val="19"/>
    <w:qFormat/>
    <w:uiPriority w:val="0"/>
    <w:rPr>
      <w:rFonts w:ascii="Times New Roman" w:hAnsi="Times New Roman" w:eastAsia="仿宋_GB2312"/>
      <w:bCs/>
      <w:sz w:val="24"/>
      <w14:ligatures w14:val="none"/>
    </w:rPr>
  </w:style>
  <w:style w:type="character" w:customStyle="1" w:styleId="32">
    <w:name w:val="中大表格 Char"/>
    <w:link w:val="21"/>
    <w:qFormat/>
    <w:uiPriority w:val="0"/>
    <w:rPr>
      <w:rFonts w:ascii="Times New Roman" w:hAnsi="Times New Roman" w:eastAsia="仿宋_GB2312" w:cs="Times New Roman"/>
      <w:sz w:val="24"/>
      <w:szCs w:val="24"/>
      <w14:ligatures w14:val="none"/>
    </w:rPr>
  </w:style>
  <w:style w:type="paragraph" w:customStyle="1" w:styleId="33">
    <w:name w:val="表格文字"/>
    <w:basedOn w:val="1"/>
    <w:qFormat/>
    <w:uiPriority w:val="0"/>
    <w:pPr>
      <w:adjustRightInd w:val="0"/>
      <w:snapToGrid w:val="0"/>
      <w:ind w:firstLine="0" w:firstLineChars="0"/>
      <w:jc w:val="left"/>
    </w:pPr>
    <w:rPr>
      <w:rFonts w:hint="eastAsia"/>
      <w:sz w:val="24"/>
      <w:szCs w:val="24"/>
    </w:rPr>
  </w:style>
  <w:style w:type="paragraph" w:customStyle="1" w:styleId="34">
    <w:name w:val="大标题"/>
    <w:basedOn w:val="1"/>
    <w:next w:val="1"/>
    <w:qFormat/>
    <w:uiPriority w:val="0"/>
    <w:pPr>
      <w:ind w:firstLine="0" w:firstLineChars="0"/>
      <w:jc w:val="center"/>
    </w:pPr>
    <w:rPr>
      <w:rFonts w:hint="eastAsia" w:eastAsia="方正小标宋简体"/>
      <w:sz w:val="44"/>
      <w:szCs w:val="44"/>
    </w:rPr>
  </w:style>
  <w:style w:type="character" w:customStyle="1" w:styleId="35">
    <w:name w:val="标题 字符"/>
    <w:basedOn w:val="19"/>
    <w:link w:val="14"/>
    <w:qFormat/>
    <w:uiPriority w:val="10"/>
    <w:rPr>
      <w:rFonts w:ascii="Times New Roman" w:hAnsi="Times New Roman" w:eastAsia="方正小标宋简体" w:cstheme="majorBidi"/>
      <w:spacing w:val="-11"/>
      <w:kern w:val="28"/>
      <w:sz w:val="44"/>
      <w:szCs w:val="44"/>
    </w:rPr>
  </w:style>
  <w:style w:type="paragraph" w:customStyle="1" w:styleId="36">
    <w:name w:val="报告标题"/>
    <w:basedOn w:val="1"/>
    <w:link w:val="37"/>
    <w:qFormat/>
    <w:uiPriority w:val="0"/>
    <w:pPr>
      <w:ind w:firstLine="0" w:firstLineChars="0"/>
      <w:jc w:val="center"/>
    </w:pPr>
    <w:rPr>
      <w:rFonts w:eastAsia="方正小标宋简体"/>
      <w:sz w:val="44"/>
      <w:szCs w:val="44"/>
    </w:rPr>
  </w:style>
  <w:style w:type="character" w:customStyle="1" w:styleId="37">
    <w:name w:val="报告标题 字符"/>
    <w:basedOn w:val="19"/>
    <w:link w:val="36"/>
    <w:qFormat/>
    <w:uiPriority w:val="0"/>
    <w:rPr>
      <w:rFonts w:ascii="Times New Roman" w:hAnsi="Times New Roman" w:eastAsia="方正小标宋简体" w:cs="Times New Roman"/>
      <w:sz w:val="44"/>
      <w:szCs w:val="44"/>
      <w14:ligatures w14:val="none"/>
    </w:rPr>
  </w:style>
  <w:style w:type="character" w:customStyle="1" w:styleId="38">
    <w:name w:val="副标题 字符"/>
    <w:basedOn w:val="19"/>
    <w:link w:val="11"/>
    <w:qFormat/>
    <w:uiPriority w:val="11"/>
    <w:rPr>
      <w:rFonts w:ascii="Times New Roman" w:hAnsi="Times New Roman" w:eastAsia="方正小标宋简体" w:cstheme="majorBidi"/>
      <w:color w:val="000000" w:themeColor="text1"/>
      <w:spacing w:val="17"/>
      <w:sz w:val="44"/>
      <w:szCs w:val="44"/>
      <w14:textFill>
        <w14:solidFill>
          <w14:schemeClr w14:val="tx1"/>
        </w14:solidFill>
      </w14:textFill>
    </w:rPr>
  </w:style>
  <w:style w:type="paragraph" w:customStyle="1" w:styleId="39">
    <w:name w:val="表中文字"/>
    <w:qFormat/>
    <w:uiPriority w:val="0"/>
    <w:pPr>
      <w:snapToGrid w:val="0"/>
      <w:spacing w:after="160" w:line="320" w:lineRule="exact"/>
    </w:pPr>
    <w:rPr>
      <w:rFonts w:ascii="Times New Roman" w:hAnsi="Times New Roman" w:eastAsia="仿宋_GB2312" w:cs="Times New Roman"/>
      <w:kern w:val="2"/>
      <w:sz w:val="24"/>
      <w:szCs w:val="24"/>
      <w:lang w:val="en-US" w:eastAsia="zh-CN" w:bidi="ar-SA"/>
    </w:rPr>
  </w:style>
  <w:style w:type="character" w:customStyle="1" w:styleId="40">
    <w:name w:val="标题 4 字符"/>
    <w:basedOn w:val="19"/>
    <w:link w:val="5"/>
    <w:semiHidden/>
    <w:qFormat/>
    <w:uiPriority w:val="9"/>
    <w:rPr>
      <w:rFonts w:ascii="Times New Roman" w:hAnsi="Times New Roman" w:eastAsia="仿宋_GB2312" w:cstheme="majorBidi"/>
      <w:b/>
      <w:color w:val="000000" w:themeColor="text1"/>
      <w:sz w:val="32"/>
      <w:szCs w:val="32"/>
      <w14:textFill>
        <w14:solidFill>
          <w14:schemeClr w14:val="tx1"/>
        </w14:solidFill>
      </w14:textFill>
    </w:rPr>
  </w:style>
  <w:style w:type="character" w:customStyle="1" w:styleId="41">
    <w:name w:val="标题 2 字符1"/>
    <w:basedOn w:val="19"/>
    <w:link w:val="3"/>
    <w:semiHidden/>
    <w:qFormat/>
    <w:uiPriority w:val="9"/>
    <w:rPr>
      <w:rFonts w:ascii="Times New Roman" w:hAnsi="Times New Roman" w:eastAsia="楷体_GB2312" w:cstheme="majorBidi"/>
      <w:color w:val="000000" w:themeColor="text1"/>
      <w:kern w:val="2"/>
      <w:sz w:val="32"/>
      <w:szCs w:val="32"/>
      <w14:textFill>
        <w14:solidFill>
          <w14:schemeClr w14:val="tx1"/>
        </w14:solidFill>
      </w14:textFill>
    </w:rPr>
  </w:style>
  <w:style w:type="paragraph" w:customStyle="1" w:styleId="42">
    <w:name w:val="修订1"/>
    <w:hidden/>
    <w:unhideWhenUsed/>
    <w:qFormat/>
    <w:uiPriority w:val="99"/>
    <w:rPr>
      <w:rFonts w:ascii="Times New Roman" w:hAnsi="Times New Roman" w:eastAsia="仿宋_GB2312" w:cs="Times New Roman"/>
      <w:color w:val="000000" w:themeColor="text1"/>
      <w:kern w:val="2"/>
      <w:sz w:val="32"/>
      <w:szCs w:val="32"/>
      <w:lang w:val="en-US" w:eastAsia="zh-CN" w:bidi="ar-SA"/>
      <w14:textFill>
        <w14:solidFill>
          <w14:schemeClr w14:val="tx1"/>
        </w14:solidFill>
      </w14:textFill>
    </w:rPr>
  </w:style>
  <w:style w:type="table" w:customStyle="1" w:styleId="43">
    <w:name w:val="TableGrid"/>
    <w:qFormat/>
    <w:uiPriority w:val="0"/>
    <w:tblPr>
      <w:tblCellMar>
        <w:top w:w="0" w:type="dxa"/>
        <w:left w:w="0" w:type="dxa"/>
        <w:bottom w:w="0" w:type="dxa"/>
        <w:right w:w="0" w:type="dxa"/>
      </w:tblCellMar>
    </w:tblPr>
  </w:style>
  <w:style w:type="table" w:customStyle="1" w:styleId="44">
    <w:name w:val="网格型浅色1"/>
    <w:basedOn w:val="17"/>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792dc546-8de5-429a-b930-f685c0c18e5d</errorID>
      <errorWord>确</errorWord>
      <group>L1_Word</group>
      <groupName>字词问题</groupName>
      <ability>L2_Typo</ability>
      <abilityName>字词错误</abilityName>
      <candidateList>
        <item>确了</item>
      </candidateList>
      <explain/>
      <paraID>2FCDB06F</paraID>
      <start>269</start>
      <end>270</end>
      <status>unmodified</status>
      <modifiedWord/>
      <trackRevisions>false</trackRevisions>
    </reviewItem>
    <reviewItem>
      <errorID>53dec3e0-7709-4284-8f0a-9a00fc102413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7D4F5C82</paraID>
      <start>7</start>
      <end>8</end>
      <status>unmodified</status>
      <modifiedWord/>
      <trackRevisions>false</trackRevisions>
    </reviewItem>
    <reviewItem>
      <errorID>b383eb85-772d-4e39-8e87-c7bf28f2d422</errorID>
      <errorWord>多元食物供给体系</errorWord>
      <group>L1_Political</group>
      <groupName>政治性问题</groupName>
      <ability>L2_Keyword</ability>
      <abilityName>固定表述</abilityName>
      <candidateList>
        <item>多元化食物供给体系</item>
      </candidateList>
      <explain>词汇“多元化食物供给体系”在特定场景下为固定表述形式，请确认此处的“多元食物供给体系”是否存在不当。</explain>
      <paraID>574AF177</paraID>
      <start>180</start>
      <end>188</end>
      <status>unmodified</status>
      <modifiedWord/>
      <trackRevisions>false</trackRevisions>
    </reviewItem>
  </reviewItems>
  <config/>
</contractReview>
</file>

<file path=customXml/itemProps1.xml><?xml version="1.0" encoding="utf-8"?>
<ds:datastoreItem xmlns:ds="http://schemas.openxmlformats.org/officeDocument/2006/customXml" ds:itemID="{be2407ed-9928-4a46-82e5-18abc38a2bdd}">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3023</Words>
  <Characters>3120</Characters>
  <Lines>30</Lines>
  <Paragraphs>8</Paragraphs>
  <TotalTime>11</TotalTime>
  <ScaleCrop>false</ScaleCrop>
  <LinksUpToDate>false</LinksUpToDate>
  <CharactersWithSpaces>3120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2026-06-23T08:18:00Z</dcterms:created>
  <dc:creator>MP</dc:creator>
  <cp:lastModifiedBy>WPS_1704903103</cp:lastModifiedBy>
  <cp:lastPrinted>2026-07-29T08:40:00Z</cp:lastPrinted>
  <dcterms:modified xsi:type="dcterms:W3CDTF">2026-07-30T01:25:13Z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69D94A45F9A44405BC1159AD5B6BC28E_13</vt:lpwstr>
  </property>
  <property fmtid="{D5CDD505-2E9C-101B-9397-08002B2CF9AE}" pid="4" name="KSOTemplateDocerSaveRecord">
    <vt:lpwstr>eyJoZGlkIjoiNTQwNzlmYTFlMjI3NDYyNmMxMzBiOTZlZDU4ZTg0ZDUiLCJ1c2VySWQiOiIxNTc0Mzc4ODIyIn0=</vt:lpwstr>
  </property>
</Properties>
</file>