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黑体" w:eastAsia="黑体" w:cs="黑体"/>
          <w:b w:val="0"/>
          <w:bCs w:val="0"/>
          <w:kern w:val="0"/>
          <w:sz w:val="32"/>
          <w:szCs w:val="32"/>
          <w:lang w:val="en-US" w:eastAsia="zh-CN"/>
        </w:rPr>
      </w:pPr>
      <w:bookmarkStart w:id="0" w:name="_Toc157946368"/>
      <w:r>
        <w:rPr>
          <w:rFonts w:hint="eastAsia" w:ascii="黑体" w:hAnsi="黑体" w:eastAsia="黑体" w:cs="黑体"/>
          <w:b w:val="0"/>
          <w:bCs w:val="0"/>
          <w:kern w:val="0"/>
          <w:sz w:val="32"/>
          <w:szCs w:val="32"/>
          <w:lang w:val="en-US" w:eastAsia="zh-CN"/>
        </w:rPr>
        <w:t>附件</w:t>
      </w:r>
      <w:bookmarkStart w:id="1" w:name="_GoBack"/>
      <w:bookmarkEnd w:id="1"/>
    </w:p>
    <w:p>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开平市人民政府行政服务中心</w:t>
      </w:r>
    </w:p>
    <w:p>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保安服务项目评定原则与评审方法</w:t>
      </w:r>
      <w:bookmarkEnd w:id="0"/>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kern w:val="0"/>
          <w:sz w:val="44"/>
          <w:szCs w:val="44"/>
        </w:rPr>
      </w:pPr>
    </w:p>
    <w:p>
      <w:pPr>
        <w:widowControl/>
        <w:spacing w:line="48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按能够最大限度地满足需求文件中规定的各项综合评价标准的响应人成交的原则定标。</w:t>
      </w:r>
    </w:p>
    <w:p>
      <w:pPr>
        <w:widowControl/>
        <w:spacing w:line="480" w:lineRule="exact"/>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由采购小组对所有响应文件进行响应性审查，未能响应需求文件要求的响应文件作无效响应处理，通过符合性审查的响应人才能进入评比阶段。</w:t>
      </w:r>
    </w:p>
    <w:p>
      <w:pPr>
        <w:widowControl/>
        <w:spacing w:line="480" w:lineRule="exact"/>
        <w:ind w:firstLine="640" w:firstLineChars="200"/>
        <w:jc w:val="left"/>
        <w:rPr>
          <w:rFonts w:hint="eastAsia"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由采购小组采用综合评分法对提交最后报价的供应商的响应文件和报价进行综合评分，评审以需求文件规定的条件为原则，最低报价不作为成交的唯一依据。</w:t>
      </w:r>
    </w:p>
    <w:p>
      <w:pPr>
        <w:widowControl/>
        <w:spacing w:line="480" w:lineRule="exact"/>
        <w:ind w:firstLine="643" w:firstLineChars="200"/>
        <w:jc w:val="left"/>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一、资格和符合性审查： </w:t>
      </w: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6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审查项目</w:t>
            </w:r>
          </w:p>
        </w:tc>
        <w:tc>
          <w:tcPr>
            <w:tcW w:w="6378"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审查要求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资格审查</w:t>
            </w:r>
          </w:p>
        </w:tc>
        <w:tc>
          <w:tcPr>
            <w:tcW w:w="6378" w:type="dxa"/>
            <w:tcBorders>
              <w:top w:val="single" w:color="auto" w:sz="4" w:space="0"/>
              <w:left w:val="single" w:color="auto" w:sz="4" w:space="0"/>
              <w:bottom w:val="single" w:color="auto" w:sz="4" w:space="0"/>
              <w:right w:val="single" w:color="auto" w:sz="4" w:space="0"/>
            </w:tcBorders>
          </w:tcPr>
          <w:p>
            <w:pPr>
              <w:widowControl/>
              <w:numPr>
                <w:ilvl w:val="0"/>
                <w:numId w:val="0"/>
              </w:numPr>
              <w:spacing w:line="480" w:lineRule="exact"/>
              <w:ind w:left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响应人应当具备《政府采购法》第二十二条规定的条件；</w:t>
            </w:r>
          </w:p>
          <w:p>
            <w:pPr>
              <w:widowControl/>
              <w:numPr>
                <w:ilvl w:val="0"/>
                <w:numId w:val="0"/>
              </w:numPr>
              <w:spacing w:line="480" w:lineRule="exact"/>
              <w:ind w:left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响应人应当是具合法经营资格的法人或者其他组织，且具有良好的信誉；</w:t>
            </w:r>
          </w:p>
          <w:p>
            <w:pPr>
              <w:widowControl/>
              <w:numPr>
                <w:ilvl w:val="0"/>
                <w:numId w:val="0"/>
              </w:numPr>
              <w:spacing w:line="480" w:lineRule="exact"/>
              <w:ind w:left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响应人未被列入“信用中国”网站（www.creditchina.gov.cn）“失信被执行人或重大税收违法案件当事人名单或政府采购严重违法失信行为”记录名单；不处于中国政府采购网（www.ccgp.gov.cn）“政府采购严重违法失信行为信息记录”中的禁止参加政府采购活动期间；</w:t>
            </w:r>
          </w:p>
          <w:p>
            <w:pPr>
              <w:widowControl/>
              <w:numPr>
                <w:ilvl w:val="0"/>
                <w:numId w:val="0"/>
              </w:numPr>
              <w:spacing w:line="480" w:lineRule="exact"/>
              <w:ind w:left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单位负责人为同一人或者存在直接控股、管理关系的不同供应商，不得参加同一合同项下的政府采购活动；</w:t>
            </w:r>
          </w:p>
          <w:p>
            <w:pPr>
              <w:widowControl/>
              <w:numPr>
                <w:ilvl w:val="0"/>
                <w:numId w:val="0"/>
              </w:numPr>
              <w:spacing w:line="480" w:lineRule="exact"/>
              <w:ind w:left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本项目不允许分包，不接受联合体响应。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符合性审查</w:t>
            </w:r>
          </w:p>
        </w:tc>
        <w:tc>
          <w:tcPr>
            <w:tcW w:w="6378" w:type="dxa"/>
            <w:tcBorders>
              <w:top w:val="single" w:color="auto" w:sz="4" w:space="0"/>
              <w:left w:val="single" w:color="auto" w:sz="4" w:space="0"/>
              <w:bottom w:val="single" w:color="auto" w:sz="4" w:space="0"/>
              <w:right w:val="single" w:color="auto" w:sz="4" w:space="0"/>
            </w:tcBorders>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响应文件按照需求文件规定要求签署、盖章。</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响应报价符合需求文件规定的报价要求。</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响应有效期符合需求文件要求。</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响应文件不存在需求文件或法规明确规定的其他无效响应情形。</w:t>
            </w:r>
          </w:p>
        </w:tc>
      </w:tr>
    </w:tbl>
    <w:p>
      <w:pPr>
        <w:widowControl/>
        <w:spacing w:line="480" w:lineRule="exact"/>
        <w:jc w:val="left"/>
        <w:rPr>
          <w:rFonts w:hint="eastAsia" w:ascii="仿宋_GB2312" w:hAnsi="仿宋_GB2312" w:eastAsia="仿宋_GB2312" w:cs="仿宋_GB2312"/>
          <w:b/>
          <w:kern w:val="0"/>
          <w:sz w:val="32"/>
          <w:szCs w:val="32"/>
        </w:rPr>
      </w:pPr>
    </w:p>
    <w:p>
      <w:pPr>
        <w:widowControl/>
        <w:spacing w:line="480" w:lineRule="exact"/>
        <w:ind w:firstLine="643" w:firstLineChars="200"/>
        <w:jc w:val="left"/>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二、本项目评分权重及评审因素如下：</w:t>
      </w:r>
    </w:p>
    <w:tbl>
      <w:tblPr>
        <w:tblStyle w:val="6"/>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1796"/>
        <w:gridCol w:w="5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49"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评分项目/权重</w:t>
            </w: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评审因素</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评审指标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6" w:hRule="atLeast"/>
          <w:jc w:val="center"/>
        </w:trPr>
        <w:tc>
          <w:tcPr>
            <w:tcW w:w="1349" w:type="dxa"/>
            <w:vMerge w:val="restart"/>
            <w:tcBorders>
              <w:top w:val="single" w:color="auto" w:sz="4" w:space="0"/>
              <w:left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技术评分（</w:t>
            </w:r>
            <w:r>
              <w:rPr>
                <w:rFonts w:hint="eastAsia" w:ascii="仿宋_GB2312" w:hAnsi="仿宋_GB2312" w:eastAsia="仿宋_GB2312" w:cs="仿宋_GB2312"/>
                <w:bCs/>
                <w:kern w:val="0"/>
                <w:sz w:val="32"/>
                <w:szCs w:val="32"/>
                <w:lang w:val="en-US" w:eastAsia="zh-CN"/>
              </w:rPr>
              <w:t>45</w:t>
            </w:r>
            <w:r>
              <w:rPr>
                <w:rFonts w:hint="eastAsia" w:ascii="仿宋_GB2312" w:hAnsi="仿宋_GB2312" w:eastAsia="仿宋_GB2312" w:cs="仿宋_GB2312"/>
                <w:bCs/>
                <w:kern w:val="0"/>
                <w:sz w:val="32"/>
                <w:szCs w:val="32"/>
              </w:rPr>
              <w:t>分）</w:t>
            </w: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对采购人需求的响应程度（投标服务方案）（5分）</w:t>
            </w:r>
          </w:p>
        </w:tc>
        <w:tc>
          <w:tcPr>
            <w:tcW w:w="5780" w:type="dxa"/>
            <w:tcBorders>
              <w:top w:val="single" w:color="auto" w:sz="4" w:space="0"/>
              <w:left w:val="single" w:color="auto" w:sz="4" w:space="0"/>
              <w:bottom w:val="single" w:color="auto" w:sz="4" w:space="0"/>
              <w:right w:val="single" w:color="auto" w:sz="4" w:space="0"/>
            </w:tcBorders>
            <w:vAlign w:val="top"/>
          </w:tcPr>
          <w:p>
            <w:pPr>
              <w:widowControl/>
              <w:spacing w:line="480" w:lineRule="exact"/>
              <w:jc w:val="both"/>
              <w:rPr>
                <w:rFonts w:hint="eastAsia" w:ascii="仿宋_GB2312" w:hAnsi="仿宋_GB2312" w:eastAsia="仿宋_GB2312" w:cs="仿宋_GB2312"/>
                <w:kern w:val="0"/>
                <w:sz w:val="32"/>
                <w:szCs w:val="32"/>
              </w:rPr>
            </w:pPr>
          </w:p>
          <w:p>
            <w:pPr>
              <w:widowControl/>
              <w:spacing w:line="480" w:lineRule="exact"/>
              <w:jc w:val="both"/>
              <w:rPr>
                <w:rFonts w:hint="eastAsia" w:ascii="仿宋_GB2312" w:hAnsi="仿宋_GB2312" w:eastAsia="仿宋_GB2312" w:cs="仿宋_GB2312"/>
                <w:kern w:val="0"/>
                <w:sz w:val="32"/>
                <w:szCs w:val="32"/>
              </w:rPr>
            </w:pPr>
          </w:p>
          <w:p>
            <w:pPr>
              <w:widowControl/>
              <w:spacing w:line="480" w:lineRule="exact"/>
              <w:jc w:val="both"/>
              <w:rPr>
                <w:rFonts w:hint="eastAsia" w:ascii="仿宋_GB2312" w:hAnsi="仿宋_GB2312" w:eastAsia="仿宋_GB2312" w:cs="仿宋_GB2312"/>
                <w:kern w:val="0"/>
                <w:sz w:val="32"/>
                <w:szCs w:val="32"/>
              </w:rPr>
            </w:pPr>
          </w:p>
          <w:p>
            <w:pPr>
              <w:widowControl/>
              <w:spacing w:line="480" w:lineRule="exact"/>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对有效投标人的总体服务模式进行评审:</w:t>
            </w:r>
          </w:p>
          <w:p>
            <w:pPr>
              <w:widowControl/>
              <w:spacing w:line="480" w:lineRule="exact"/>
              <w:jc w:val="both"/>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总体服务模式科学合理,亮点多,针对性强, 能完全满足采购人的需求的为最优得5分；总体服务模式有一定特点,亮点较多,针对性较强,基本能满足采购人的需求得3分；总体服务模式不合理,无具体措施得1分。</w:t>
            </w:r>
          </w:p>
          <w:p>
            <w:pPr>
              <w:widowControl/>
              <w:spacing w:line="480" w:lineRule="exact"/>
              <w:jc w:val="both"/>
              <w:rPr>
                <w:rFonts w:hint="eastAsia" w:ascii="仿宋_GB2312" w:hAnsi="仿宋_GB2312" w:eastAsia="仿宋_GB2312" w:cs="仿宋_GB2312"/>
                <w:kern w:val="0"/>
                <w:sz w:val="32"/>
                <w:szCs w:val="32"/>
              </w:rPr>
            </w:pPr>
          </w:p>
          <w:p>
            <w:pPr>
              <w:widowControl/>
              <w:spacing w:line="480" w:lineRule="exact"/>
              <w:jc w:val="both"/>
              <w:rPr>
                <w:rFonts w:hint="eastAsia" w:ascii="仿宋_GB2312" w:hAnsi="仿宋_GB2312" w:eastAsia="仿宋_GB2312" w:cs="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5" w:hRule="atLeast"/>
          <w:jc w:val="center"/>
        </w:trPr>
        <w:tc>
          <w:tcPr>
            <w:tcW w:w="1349" w:type="dxa"/>
            <w:vMerge w:val="continue"/>
            <w:tcBorders>
              <w:left w:val="single" w:color="auto" w:sz="4" w:space="0"/>
              <w:right w:val="single" w:color="auto" w:sz="4" w:space="0"/>
            </w:tcBorders>
            <w:vAlign w:val="center"/>
          </w:tcPr>
          <w:p>
            <w:pPr>
              <w:widowControl/>
              <w:jc w:val="left"/>
              <w:rPr>
                <w:rFonts w:hint="eastAsia" w:ascii="仿宋_GB2312" w:hAnsi="仿宋_GB2312" w:eastAsia="仿宋_GB2312" w:cs="仿宋_GB2312"/>
                <w:bCs/>
                <w:kern w:val="0"/>
                <w:sz w:val="32"/>
                <w:szCs w:val="32"/>
              </w:rPr>
            </w:pP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应对反恐，处理突发事件的方案          (</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对有效投标人的应对反恐，处理突发事件的方案进行评审: </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w:t>
            </w: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方案合理,内容详细,科学性强, 能完全满足采购人的需求的为最优得3分；方案基本合理,内容比较详细,科学性一般, 不能完全满足采购人实际需求的得2分；方案不合理,内容不详细,科学性较差得1分</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 xml:space="preserve"> </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t>投标人提供7座以上车辆数量达到3辆或以上全部自有得3分；部分租赁得1分；其它或无响应得0分。（自有车辆须提供机动车登记证书或行驶证扫描件，租赁车辆需提供租赁合同和行驶证扫描件）</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t>有政府部门颁发的“生产经营单位生产安全事故应急预案备案登记表”得4分，无提供得0分。</w:t>
            </w:r>
          </w:p>
          <w:p>
            <w:pPr>
              <w:widowControl/>
              <w:spacing w:line="480" w:lineRule="exact"/>
              <w:jc w:val="left"/>
              <w:rPr>
                <w:rFonts w:hint="eastAsia" w:ascii="仿宋_GB2312" w:hAnsi="仿宋_GB2312" w:eastAsia="仿宋_GB2312" w:cs="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jc w:val="center"/>
        </w:trPr>
        <w:tc>
          <w:tcPr>
            <w:tcW w:w="1349" w:type="dxa"/>
            <w:vMerge w:val="continue"/>
            <w:tcBorders>
              <w:left w:val="single" w:color="auto" w:sz="4" w:space="0"/>
              <w:right w:val="single" w:color="auto" w:sz="4" w:space="0"/>
            </w:tcBorders>
            <w:vAlign w:val="center"/>
          </w:tcPr>
          <w:p>
            <w:pPr>
              <w:widowControl/>
              <w:jc w:val="left"/>
              <w:rPr>
                <w:rFonts w:hint="eastAsia" w:ascii="仿宋_GB2312" w:hAnsi="仿宋_GB2312" w:eastAsia="仿宋_GB2312" w:cs="仿宋_GB2312"/>
                <w:bCs/>
                <w:kern w:val="0"/>
                <w:sz w:val="32"/>
                <w:szCs w:val="32"/>
              </w:rPr>
            </w:pP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服务质量保证措施        （</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根据投标人提供的质量保证体系及措施进行评审：</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体系完整，配套措施完善，得</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分；</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体系较为完整，配套措施较为完善，得</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分；</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未提供质量保证体系或措施的得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分。</w:t>
            </w:r>
          </w:p>
          <w:p>
            <w:pPr>
              <w:widowControl/>
              <w:spacing w:line="480" w:lineRule="exact"/>
              <w:jc w:val="left"/>
              <w:rPr>
                <w:rFonts w:hint="eastAsia" w:ascii="仿宋_GB2312" w:hAnsi="仿宋_GB2312" w:eastAsia="仿宋_GB2312" w:cs="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2" w:hRule="atLeast"/>
          <w:jc w:val="center"/>
        </w:trPr>
        <w:tc>
          <w:tcPr>
            <w:tcW w:w="1349" w:type="dxa"/>
            <w:vMerge w:val="continue"/>
            <w:tcBorders>
              <w:left w:val="single" w:color="auto" w:sz="4" w:space="0"/>
              <w:bottom w:val="nil"/>
              <w:right w:val="single" w:color="auto" w:sz="4" w:space="0"/>
            </w:tcBorders>
            <w:vAlign w:val="center"/>
          </w:tcPr>
          <w:p>
            <w:pPr>
              <w:widowControl/>
              <w:jc w:val="left"/>
              <w:rPr>
                <w:rFonts w:hint="eastAsia" w:ascii="仿宋_GB2312" w:hAnsi="仿宋_GB2312" w:eastAsia="仿宋_GB2312" w:cs="仿宋_GB2312"/>
                <w:bCs/>
                <w:kern w:val="0"/>
                <w:sz w:val="32"/>
                <w:szCs w:val="32"/>
              </w:rPr>
            </w:pP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培训及管理方案           （</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left"/>
              <w:rPr>
                <w:rFonts w:hint="eastAsia" w:ascii="仿宋_GB2312" w:hAnsi="仿宋_GB2312" w:eastAsia="仿宋_GB2312" w:cs="仿宋_GB2312"/>
                <w:kern w:val="0"/>
                <w:sz w:val="32"/>
                <w:szCs w:val="32"/>
              </w:rPr>
            </w:pP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对有效投标人的保安员培训及管理的方案进行评审: </w:t>
            </w:r>
          </w:p>
          <w:p>
            <w:pPr>
              <w:widowControl/>
              <w:spacing w:line="480" w:lineRule="exact"/>
              <w:jc w:val="left"/>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rPr>
              <w:t>1.</w:t>
            </w: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人员培训及管理合理可行,师资力量雄厚等能完全满足采购人的需求的为最优得3 分；人员培训及管理比较合理可行,师资力量基本能满足采购人的需求得2分；人员培训及管理，师资力量不能完全满足采购人实际需求的得1分；人员培训及管理不合理,最差得0分</w:t>
            </w:r>
            <w:r>
              <w:rPr>
                <w:rFonts w:hint="eastAsia" w:ascii="仿宋_GB2312" w:hAnsi="仿宋_GB2312" w:eastAsia="仿宋_GB2312" w:cs="仿宋_GB2312"/>
                <w:kern w:val="0"/>
                <w:sz w:val="32"/>
                <w:szCs w:val="32"/>
                <w:highlight w:val="none"/>
                <w:lang w:eastAsia="zh-CN"/>
              </w:rPr>
              <w:t>。</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t>投标人具有省级公安厅核发的《保安培训许可证》得</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分，无得0分。</w:t>
            </w:r>
          </w:p>
          <w:p>
            <w:pPr>
              <w:widowControl/>
              <w:spacing w:line="380" w:lineRule="exact"/>
              <w:jc w:val="left"/>
              <w:rPr>
                <w:rFonts w:hint="eastAsia" w:ascii="仿宋_GB2312" w:hAnsi="仿宋_GB2312" w:eastAsia="仿宋_GB2312" w:cs="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5" w:hRule="atLeast"/>
          <w:jc w:val="center"/>
        </w:trPr>
        <w:tc>
          <w:tcPr>
            <w:tcW w:w="1349" w:type="dxa"/>
            <w:tcBorders>
              <w:top w:val="nil"/>
              <w:left w:val="single" w:color="auto" w:sz="4" w:space="0"/>
              <w:bottom w:val="nil"/>
              <w:right w:val="single" w:color="auto" w:sz="4" w:space="0"/>
            </w:tcBorders>
            <w:vAlign w:val="center"/>
          </w:tcPr>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项目负责人资质           （</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left"/>
              <w:rPr>
                <w:rFonts w:hint="eastAsia" w:ascii="仿宋_GB2312" w:hAnsi="仿宋_GB2312" w:eastAsia="仿宋_GB2312" w:cs="仿宋_GB2312"/>
                <w:kern w:val="0"/>
                <w:sz w:val="32"/>
                <w:szCs w:val="32"/>
              </w:rPr>
            </w:pPr>
          </w:p>
          <w:p>
            <w:pPr>
              <w:widowControl/>
              <w:spacing w:line="380" w:lineRule="exact"/>
              <w:jc w:val="left"/>
              <w:rPr>
                <w:rFonts w:hint="eastAsia" w:ascii="仿宋_GB2312" w:hAnsi="仿宋_GB2312" w:eastAsia="仿宋_GB2312" w:cs="仿宋_GB2312"/>
                <w:kern w:val="0"/>
                <w:sz w:val="32"/>
                <w:szCs w:val="32"/>
              </w:rPr>
            </w:pP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t>项目负责人具有退伍军人证得1分；无得0分</w:t>
            </w:r>
            <w:r>
              <w:rPr>
                <w:rFonts w:hint="eastAsia" w:ascii="仿宋_GB2312" w:hAnsi="仿宋_GB2312" w:eastAsia="仿宋_GB2312" w:cs="仿宋_GB2312"/>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t>项目负责人持有人力资源和社会保障部门颁发的一级保安员（原高级保安师）得5分；持有二级保安员（原保安师）得2分；无得0分</w:t>
            </w:r>
            <w:r>
              <w:rPr>
                <w:rFonts w:hint="eastAsia" w:ascii="仿宋_GB2312" w:hAnsi="仿宋_GB2312" w:eastAsia="仿宋_GB2312" w:cs="仿宋_GB2312"/>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t>项目负责人持有人力资源和社会保障部门颁发的构建筑物消防员证/消防设施操作员（三级或以上）得</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分；持有构建筑物消防员证/消防设施操作员（四级或以下）得1分；无得0分</w:t>
            </w:r>
            <w:r>
              <w:rPr>
                <w:rFonts w:hint="eastAsia" w:ascii="仿宋_GB2312" w:hAnsi="仿宋_GB2312" w:eastAsia="仿宋_GB2312" w:cs="仿宋_GB2312"/>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rPr>
              <w:t>需提供相关证书或证明资料和202</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月连续的社保证明</w:t>
            </w:r>
            <w:r>
              <w:rPr>
                <w:rFonts w:hint="eastAsia" w:ascii="仿宋_GB2312" w:hAnsi="仿宋_GB2312" w:eastAsia="仿宋_GB2312" w:cs="仿宋_GB2312"/>
                <w:kern w:val="0"/>
                <w:sz w:val="32"/>
                <w:szCs w:val="32"/>
              </w:rPr>
              <w:t>，加盖投标人公章，不能完整提供证明的，不得分）</w:t>
            </w:r>
          </w:p>
          <w:p>
            <w:pPr>
              <w:widowControl/>
              <w:spacing w:line="380" w:lineRule="exact"/>
              <w:jc w:val="left"/>
              <w:rPr>
                <w:rFonts w:hint="eastAsia" w:ascii="仿宋_GB2312" w:hAnsi="仿宋_GB2312" w:eastAsia="仿宋_GB2312" w:cs="仿宋_GB2312"/>
                <w:kern w:val="0"/>
                <w:sz w:val="32"/>
                <w:szCs w:val="32"/>
              </w:rPr>
            </w:pPr>
          </w:p>
          <w:p>
            <w:pPr>
              <w:widowControl/>
              <w:spacing w:line="380" w:lineRule="exact"/>
              <w:jc w:val="left"/>
              <w:rPr>
                <w:rFonts w:hint="eastAsia" w:ascii="仿宋_GB2312" w:hAnsi="仿宋_GB2312" w:eastAsia="仿宋_GB2312" w:cs="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49"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bCs/>
                <w:kern w:val="0"/>
                <w:sz w:val="32"/>
                <w:szCs w:val="32"/>
              </w:rPr>
            </w:pP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项目管理人员（10分）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t>具有退伍军人证得1分；无得0分</w:t>
            </w:r>
            <w:r>
              <w:rPr>
                <w:rFonts w:hint="eastAsia" w:ascii="仿宋_GB2312" w:hAnsi="仿宋_GB2312" w:eastAsia="仿宋_GB2312" w:cs="仿宋_GB2312"/>
                <w:kern w:val="0"/>
                <w:sz w:val="32"/>
                <w:szCs w:val="32"/>
                <w:lang w:eastAsia="zh-CN"/>
              </w:rPr>
              <w:t>。</w:t>
            </w:r>
          </w:p>
          <w:p>
            <w:pPr>
              <w:widowControl/>
              <w:spacing w:line="480" w:lineRule="exact"/>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t>持有人力资源和社会保障部门颁发的二级保安员（原保安师）得2分；无得0分</w:t>
            </w:r>
            <w:r>
              <w:rPr>
                <w:rFonts w:hint="eastAsia" w:ascii="仿宋_GB2312" w:hAnsi="仿宋_GB2312" w:eastAsia="仿宋_GB2312" w:cs="仿宋_GB2312"/>
                <w:kern w:val="0"/>
                <w:sz w:val="32"/>
                <w:szCs w:val="32"/>
                <w:lang w:eastAsia="zh-CN"/>
              </w:rPr>
              <w:t>。</w:t>
            </w:r>
          </w:p>
          <w:p>
            <w:pPr>
              <w:widowControl/>
              <w:spacing w:line="480" w:lineRule="exact"/>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t>持有人力资源和社会保障部门颁发的高级建筑物消防员证/消防设施操作员（三级或以上）得3分；持有构建筑物消防员证/消防设施操作员（四级或以下）得1分；无得0分</w:t>
            </w:r>
            <w:r>
              <w:rPr>
                <w:rFonts w:hint="eastAsia" w:ascii="仿宋_GB2312" w:hAnsi="仿宋_GB2312" w:eastAsia="仿宋_GB2312" w:cs="仿宋_GB2312"/>
                <w:kern w:val="0"/>
                <w:sz w:val="32"/>
                <w:szCs w:val="32"/>
                <w:lang w:eastAsia="zh-CN"/>
              </w:rPr>
              <w:t>。</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t>具有硕士学历或以上得</w:t>
            </w:r>
            <w:r>
              <w:rPr>
                <w:rFonts w:hint="eastAsia" w:ascii="仿宋_GB2312" w:hAnsi="仿宋_GB2312" w:eastAsia="仿宋_GB2312" w:cs="仿宋_GB2312"/>
                <w:kern w:val="0"/>
                <w:sz w:val="32"/>
                <w:szCs w:val="32"/>
                <w:highlight w:val="none"/>
              </w:rPr>
              <w:t>4分；本科或以下学历得1分；无得0分</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（需提供相关证书或证明资料和202</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月连续的社保证明</w:t>
            </w:r>
            <w:r>
              <w:rPr>
                <w:rFonts w:hint="eastAsia" w:ascii="仿宋_GB2312" w:hAnsi="仿宋_GB2312" w:eastAsia="仿宋_GB2312" w:cs="仿宋_GB2312"/>
                <w:kern w:val="0"/>
                <w:sz w:val="32"/>
                <w:szCs w:val="32"/>
              </w:rPr>
              <w:t>，加盖投标人公章，不能完整提供证明的，不得分）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6" w:hRule="atLeast"/>
          <w:jc w:val="center"/>
        </w:trPr>
        <w:tc>
          <w:tcPr>
            <w:tcW w:w="134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商务评分（</w:t>
            </w:r>
            <w:r>
              <w:rPr>
                <w:rFonts w:hint="eastAsia" w:ascii="仿宋_GB2312" w:hAnsi="仿宋_GB2312" w:eastAsia="仿宋_GB2312" w:cs="仿宋_GB2312"/>
                <w:bCs/>
                <w:kern w:val="0"/>
                <w:sz w:val="32"/>
                <w:szCs w:val="32"/>
                <w:lang w:val="en-US" w:eastAsia="zh-CN"/>
              </w:rPr>
              <w:t>35</w:t>
            </w:r>
            <w:r>
              <w:rPr>
                <w:rFonts w:hint="eastAsia" w:ascii="仿宋_GB2312" w:hAnsi="仿宋_GB2312" w:eastAsia="仿宋_GB2312" w:cs="仿宋_GB2312"/>
                <w:bCs/>
                <w:kern w:val="0"/>
                <w:sz w:val="32"/>
                <w:szCs w:val="32"/>
              </w:rPr>
              <w:t>分）</w:t>
            </w:r>
          </w:p>
        </w:tc>
        <w:tc>
          <w:tcPr>
            <w:tcW w:w="1796" w:type="dxa"/>
            <w:tcBorders>
              <w:top w:val="single" w:color="auto" w:sz="4" w:space="0"/>
              <w:left w:val="single" w:color="auto" w:sz="4" w:space="0"/>
              <w:bottom w:val="single" w:color="auto" w:sz="4" w:space="0"/>
              <w:right w:val="single" w:color="auto" w:sz="4" w:space="0"/>
            </w:tcBorders>
          </w:tcPr>
          <w:p>
            <w:pPr>
              <w:widowControl/>
              <w:spacing w:line="480" w:lineRule="exact"/>
              <w:jc w:val="left"/>
              <w:rPr>
                <w:rFonts w:hint="eastAsia" w:ascii="仿宋_GB2312" w:hAnsi="仿宋_GB2312" w:eastAsia="仿宋_GB2312" w:cs="仿宋_GB2312"/>
                <w:kern w:val="0"/>
                <w:sz w:val="32"/>
                <w:szCs w:val="32"/>
              </w:rPr>
            </w:pPr>
          </w:p>
          <w:p>
            <w:pPr>
              <w:widowControl/>
              <w:spacing w:line="480" w:lineRule="exact"/>
              <w:jc w:val="left"/>
              <w:rPr>
                <w:rFonts w:hint="eastAsia" w:ascii="仿宋_GB2312" w:hAnsi="仿宋_GB2312" w:eastAsia="仿宋_GB2312" w:cs="仿宋_GB2312"/>
                <w:kern w:val="0"/>
                <w:sz w:val="32"/>
                <w:szCs w:val="32"/>
              </w:rPr>
            </w:pPr>
          </w:p>
          <w:p>
            <w:pPr>
              <w:widowControl/>
              <w:spacing w:line="480" w:lineRule="exact"/>
              <w:jc w:val="left"/>
              <w:rPr>
                <w:rFonts w:hint="eastAsia" w:ascii="仿宋_GB2312" w:hAnsi="仿宋_GB2312" w:eastAsia="仿宋_GB2312" w:cs="仿宋_GB2312"/>
                <w:kern w:val="0"/>
                <w:sz w:val="32"/>
                <w:szCs w:val="32"/>
              </w:rPr>
            </w:pPr>
          </w:p>
          <w:p>
            <w:pPr>
              <w:widowControl/>
              <w:spacing w:line="480" w:lineRule="exact"/>
              <w:jc w:val="left"/>
              <w:rPr>
                <w:rFonts w:hint="eastAsia" w:ascii="仿宋_GB2312" w:hAnsi="仿宋_GB2312" w:eastAsia="仿宋_GB2312" w:cs="仿宋_GB2312"/>
                <w:kern w:val="0"/>
                <w:sz w:val="32"/>
                <w:szCs w:val="32"/>
              </w:rPr>
            </w:pP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财务状况   (</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w:t>
            </w:r>
          </w:p>
        </w:tc>
        <w:tc>
          <w:tcPr>
            <w:tcW w:w="5780" w:type="dxa"/>
            <w:tcBorders>
              <w:top w:val="single" w:color="auto" w:sz="4" w:space="0"/>
              <w:left w:val="single" w:color="auto" w:sz="4" w:space="0"/>
              <w:bottom w:val="single" w:color="auto" w:sz="4" w:space="0"/>
              <w:right w:val="single" w:color="auto" w:sz="4" w:space="0"/>
            </w:tcBorders>
          </w:tcPr>
          <w:p>
            <w:pPr>
              <w:widowControl/>
              <w:spacing w:line="480" w:lineRule="exact"/>
              <w:jc w:val="left"/>
              <w:rPr>
                <w:rFonts w:hint="eastAsia" w:ascii="仿宋_GB2312" w:hAnsi="仿宋_GB2312" w:eastAsia="仿宋_GB2312" w:cs="仿宋_GB2312"/>
                <w:kern w:val="0"/>
                <w:sz w:val="32"/>
                <w:szCs w:val="32"/>
              </w:rPr>
            </w:pPr>
          </w:p>
          <w:p>
            <w:pPr>
              <w:widowControl/>
              <w:spacing w:line="480" w:lineRule="exact"/>
              <w:jc w:val="left"/>
              <w:rPr>
                <w:rFonts w:hint="eastAsia" w:ascii="仿宋_GB2312" w:hAnsi="仿宋_GB2312" w:eastAsia="仿宋_GB2312" w:cs="仿宋_GB2312"/>
                <w:kern w:val="0"/>
                <w:sz w:val="32"/>
                <w:szCs w:val="32"/>
              </w:rPr>
            </w:pPr>
          </w:p>
          <w:p>
            <w:pPr>
              <w:widowControl/>
              <w:spacing w:line="480" w:lineRule="exact"/>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根据投标人20</w:t>
            </w:r>
            <w:r>
              <w:rPr>
                <w:rFonts w:hint="eastAsia" w:ascii="仿宋_GB2312" w:hAnsi="仿宋_GB2312" w:eastAsia="仿宋_GB2312" w:cs="仿宋_GB2312"/>
                <w:kern w:val="0"/>
                <w:sz w:val="32"/>
                <w:szCs w:val="32"/>
                <w:lang w:val="en-US" w:eastAsia="zh-CN"/>
              </w:rPr>
              <w:t>23</w:t>
            </w:r>
            <w:r>
              <w:rPr>
                <w:rFonts w:hint="eastAsia" w:ascii="仿宋_GB2312" w:hAnsi="仿宋_GB2312" w:eastAsia="仿宋_GB2312" w:cs="仿宋_GB2312"/>
                <w:kern w:val="0"/>
                <w:sz w:val="32"/>
                <w:szCs w:val="32"/>
              </w:rPr>
              <w:t>年、20</w:t>
            </w:r>
            <w:r>
              <w:rPr>
                <w:rFonts w:hint="eastAsia" w:ascii="仿宋_GB2312" w:hAnsi="仿宋_GB2312" w:eastAsia="仿宋_GB2312" w:cs="仿宋_GB2312"/>
                <w:kern w:val="0"/>
                <w:sz w:val="32"/>
                <w:szCs w:val="32"/>
                <w:lang w:val="en-US" w:eastAsia="zh-CN"/>
              </w:rPr>
              <w:t>24</w:t>
            </w:r>
            <w:r>
              <w:rPr>
                <w:rFonts w:hint="eastAsia" w:ascii="仿宋_GB2312" w:hAnsi="仿宋_GB2312" w:eastAsia="仿宋_GB2312" w:cs="仿宋_GB2312"/>
                <w:kern w:val="0"/>
                <w:sz w:val="32"/>
                <w:szCs w:val="32"/>
              </w:rPr>
              <w:t>年、202</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年的财务状况进行评审，每一份得</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分，最高得</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分，不提供不得分</w:t>
            </w:r>
            <w:r>
              <w:rPr>
                <w:rFonts w:hint="eastAsia" w:ascii="仿宋_GB2312" w:hAnsi="仿宋_GB2312" w:eastAsia="仿宋_GB2312" w:cs="仿宋_GB2312"/>
                <w:kern w:val="0"/>
                <w:sz w:val="32"/>
                <w:szCs w:val="32"/>
                <w:lang w:eastAsia="zh-CN"/>
              </w:rPr>
              <w:t>。</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注：以经会计师事务所审计的财务报告复印件加盖投标人公章为准，因提供的证明材料不清晰等无法反映相关数据的，不得分。</w:t>
            </w:r>
          </w:p>
          <w:p>
            <w:pPr>
              <w:widowControl/>
              <w:spacing w:line="480" w:lineRule="exact"/>
              <w:jc w:val="left"/>
              <w:rPr>
                <w:rFonts w:hint="eastAsia" w:ascii="仿宋_GB2312" w:hAnsi="仿宋_GB2312" w:eastAsia="仿宋_GB2312" w:cs="仿宋_GB2312"/>
                <w:kern w:val="0"/>
                <w:sz w:val="32"/>
                <w:szCs w:val="32"/>
              </w:rPr>
            </w:pPr>
          </w:p>
          <w:p>
            <w:pPr>
              <w:widowControl/>
              <w:spacing w:line="480" w:lineRule="exact"/>
              <w:jc w:val="left"/>
              <w:rPr>
                <w:rFonts w:hint="eastAsia" w:ascii="仿宋_GB2312" w:hAnsi="仿宋_GB2312" w:eastAsia="仿宋_GB2312" w:cs="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2" w:hRule="atLeast"/>
          <w:jc w:val="center"/>
        </w:trPr>
        <w:tc>
          <w:tcPr>
            <w:tcW w:w="134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bCs/>
                <w:kern w:val="0"/>
                <w:sz w:val="32"/>
                <w:szCs w:val="32"/>
              </w:rPr>
            </w:pP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管理体系认证(10分)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投标人具有由国家认证认可监督管理部门批准设立的认证机构颁发并在有效期内的证书，每提供一个得2分，最高得10分。</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①质量管理体系认证证书；</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②职业健康安全管理体系认证证书；</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③环境管理体系认证证书；</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④信息安全管理体系认证证书；</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⑤诚信管理体系认证证书；</w:t>
            </w:r>
          </w:p>
          <w:p>
            <w:pPr>
              <w:widowControl/>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⑥社会责任管理体系认证证书。</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注：须提供有效证书复印件加盖投标人公章。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1" w:hRule="atLeast"/>
          <w:jc w:val="center"/>
        </w:trPr>
        <w:tc>
          <w:tcPr>
            <w:tcW w:w="134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bCs/>
                <w:kern w:val="0"/>
                <w:sz w:val="32"/>
                <w:szCs w:val="32"/>
              </w:rPr>
            </w:pP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项目业绩   （</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napToGrid w:val="0"/>
              <w:spacing w:line="480" w:lineRule="exact"/>
              <w:jc w:val="left"/>
              <w:rPr>
                <w:rFonts w:hint="eastAsia" w:ascii="仿宋_GB2312" w:hAnsi="仿宋_GB2312" w:eastAsia="仿宋_GB2312" w:cs="仿宋_GB2312"/>
                <w:kern w:val="0"/>
                <w:sz w:val="32"/>
                <w:szCs w:val="32"/>
              </w:rPr>
            </w:pPr>
          </w:p>
          <w:p>
            <w:pPr>
              <w:widowControl/>
              <w:snapToGrid w:val="0"/>
              <w:spacing w:line="48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w:t>
            </w:r>
            <w:r>
              <w:rPr>
                <w:rFonts w:hint="eastAsia" w:ascii="仿宋_GB2312" w:hAnsi="仿宋_GB2312" w:eastAsia="仿宋_GB2312" w:cs="仿宋_GB2312"/>
                <w:kern w:val="0"/>
                <w:sz w:val="32"/>
                <w:szCs w:val="32"/>
                <w:highlight w:val="none"/>
                <w:lang w:val="en-US" w:eastAsia="zh-CN"/>
              </w:rPr>
              <w:t>23</w:t>
            </w:r>
            <w:r>
              <w:rPr>
                <w:rFonts w:hint="eastAsia" w:ascii="仿宋_GB2312" w:hAnsi="仿宋_GB2312" w:eastAsia="仿宋_GB2312" w:cs="仿宋_GB2312"/>
                <w:kern w:val="0"/>
                <w:sz w:val="32"/>
                <w:szCs w:val="32"/>
                <w:highlight w:val="none"/>
              </w:rPr>
              <w:t>年至今的相关同类服务项目合同，每个得</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分,</w:t>
            </w:r>
            <w:r>
              <w:rPr>
                <w:rFonts w:hint="eastAsia" w:ascii="仿宋_GB2312" w:hAnsi="仿宋_GB2312" w:eastAsia="仿宋_GB2312" w:cs="仿宋_GB2312"/>
                <w:kern w:val="0"/>
                <w:sz w:val="32"/>
                <w:szCs w:val="32"/>
                <w:highlight w:val="none"/>
                <w:lang w:eastAsia="zh-CN"/>
              </w:rPr>
              <w:t>最高得</w:t>
            </w:r>
            <w:r>
              <w:rPr>
                <w:rFonts w:hint="eastAsia" w:ascii="仿宋_GB2312" w:hAnsi="仿宋_GB2312" w:eastAsia="仿宋_GB2312" w:cs="仿宋_GB2312"/>
                <w:kern w:val="0"/>
                <w:sz w:val="32"/>
                <w:szCs w:val="32"/>
                <w:highlight w:val="none"/>
                <w:lang w:val="en-US" w:eastAsia="zh-CN"/>
              </w:rPr>
              <w:t>10</w:t>
            </w:r>
            <w:r>
              <w:rPr>
                <w:rFonts w:hint="eastAsia" w:ascii="仿宋_GB2312" w:hAnsi="仿宋_GB2312" w:eastAsia="仿宋_GB2312" w:cs="仿宋_GB2312"/>
                <w:kern w:val="0"/>
                <w:sz w:val="32"/>
                <w:szCs w:val="32"/>
                <w:highlight w:val="none"/>
              </w:rPr>
              <w:t>分。（投标时提供合同复印件）</w:t>
            </w:r>
          </w:p>
          <w:p>
            <w:pPr>
              <w:widowControl/>
              <w:snapToGrid w:val="0"/>
              <w:spacing w:line="480" w:lineRule="exact"/>
              <w:jc w:val="left"/>
              <w:rPr>
                <w:rFonts w:hint="eastAsia" w:ascii="仿宋_GB2312" w:hAnsi="仿宋_GB2312" w:eastAsia="仿宋_GB2312" w:cs="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1" w:hRule="atLeast"/>
          <w:jc w:val="center"/>
        </w:trPr>
        <w:tc>
          <w:tcPr>
            <w:tcW w:w="134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bCs/>
                <w:kern w:val="0"/>
                <w:sz w:val="32"/>
                <w:szCs w:val="32"/>
              </w:rPr>
            </w:pP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客户评价    (</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napToGrid w:val="0"/>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w:t>
            </w:r>
            <w:r>
              <w:rPr>
                <w:rFonts w:hint="eastAsia" w:ascii="仿宋_GB2312" w:hAnsi="仿宋_GB2312" w:eastAsia="仿宋_GB2312" w:cs="仿宋_GB2312"/>
                <w:kern w:val="0"/>
                <w:sz w:val="32"/>
                <w:szCs w:val="32"/>
                <w:lang w:val="en-US" w:eastAsia="zh-CN"/>
              </w:rPr>
              <w:t>23</w:t>
            </w:r>
            <w:r>
              <w:rPr>
                <w:rFonts w:hint="eastAsia" w:ascii="仿宋_GB2312" w:hAnsi="仿宋_GB2312" w:eastAsia="仿宋_GB2312" w:cs="仿宋_GB2312"/>
                <w:kern w:val="0"/>
                <w:sz w:val="32"/>
                <w:szCs w:val="32"/>
              </w:rPr>
              <w:t>年以来的项目（必须为以上投标人业绩情况中的有效计分的业绩，须提供评价单位的联系人及联系方式）。获得项目用户考核评价为正面评价（优秀或满意或相当之类的评价）。每提供一份项目的正面评价得</w:t>
            </w:r>
            <w:r>
              <w:rPr>
                <w:rFonts w:hint="eastAsia" w:ascii="仿宋_GB2312" w:hAnsi="仿宋_GB2312" w:eastAsia="仿宋_GB2312" w:cs="仿宋_GB2312"/>
                <w:kern w:val="0"/>
                <w:sz w:val="32"/>
                <w:szCs w:val="32"/>
                <w:lang w:val="en-US" w:eastAsia="zh-CN"/>
              </w:rPr>
              <w:t>2.5</w:t>
            </w:r>
            <w:r>
              <w:rPr>
                <w:rFonts w:hint="eastAsia" w:ascii="仿宋_GB2312" w:hAnsi="仿宋_GB2312" w:eastAsia="仿宋_GB2312" w:cs="仿宋_GB2312"/>
                <w:kern w:val="0"/>
                <w:sz w:val="32"/>
                <w:szCs w:val="32"/>
              </w:rPr>
              <w:t>分，此项目最高</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分，同一项目不同年份的合同按一份计算，不重复计算分数。（注：提供合同甲方或甲方项目主管部门盖章的评价文件，不提供不得分）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1" w:hRule="atLeast"/>
          <w:jc w:val="center"/>
        </w:trPr>
        <w:tc>
          <w:tcPr>
            <w:tcW w:w="1349"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bCs/>
                <w:kern w:val="0"/>
                <w:sz w:val="32"/>
                <w:szCs w:val="32"/>
              </w:rPr>
            </w:pP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荣誉情况</w:t>
            </w:r>
          </w:p>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napToGrid w:val="0"/>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获得省级或以上保安行业协会颁发的荣誉证书得2分，最高得2分；</w:t>
            </w:r>
          </w:p>
          <w:p>
            <w:pPr>
              <w:widowControl/>
              <w:snapToGrid w:val="0"/>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获得市级保安行业协会颁发的荣誉证书得1分，最高得3分。</w:t>
            </w:r>
          </w:p>
          <w:p>
            <w:pPr>
              <w:widowControl/>
              <w:snapToGrid w:val="0"/>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（以上均需提供对应的证书复印件加盖投标人公章，无提供不得分）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2" w:hRule="atLeast"/>
          <w:jc w:val="center"/>
        </w:trPr>
        <w:tc>
          <w:tcPr>
            <w:tcW w:w="1349"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价格评分（20分）</w:t>
            </w:r>
          </w:p>
        </w:tc>
        <w:tc>
          <w:tcPr>
            <w:tcW w:w="1796"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报价情况    (20分）   </w:t>
            </w:r>
          </w:p>
        </w:tc>
        <w:tc>
          <w:tcPr>
            <w:tcW w:w="578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符合招标文件要求，报价排序，价低者满分20分，依次递减5分。</w:t>
            </w:r>
          </w:p>
        </w:tc>
      </w:tr>
    </w:tbl>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2B39F33-774C-4B3A-B1CF-44E6172BB6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A183B17A-2DFC-4A7A-B6DC-E9415E10CFCC}"/>
  </w:font>
  <w:font w:name="仿宋_GB2312">
    <w:panose1 w:val="02010609030101010101"/>
    <w:charset w:val="86"/>
    <w:family w:val="auto"/>
    <w:pitch w:val="default"/>
    <w:sig w:usb0="00000001" w:usb1="080E0000" w:usb2="00000000" w:usb3="00000000" w:csb0="00040000" w:csb1="00000000"/>
    <w:embedRegular r:id="rId3" w:fontKey="{29EF6285-8F64-4FDA-91CD-0C694AF793A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xZmJkNWViZWY0ZDg2YjM5MzM2N2RhMWM1OTAxZjgifQ=="/>
  </w:docVars>
  <w:rsids>
    <w:rsidRoot w:val="00AA65B9"/>
    <w:rsid w:val="001316CE"/>
    <w:rsid w:val="001F1235"/>
    <w:rsid w:val="00246969"/>
    <w:rsid w:val="00246A97"/>
    <w:rsid w:val="003160E2"/>
    <w:rsid w:val="00364627"/>
    <w:rsid w:val="00366A4F"/>
    <w:rsid w:val="00370ACB"/>
    <w:rsid w:val="00451920"/>
    <w:rsid w:val="004C36AC"/>
    <w:rsid w:val="004C4248"/>
    <w:rsid w:val="004C484A"/>
    <w:rsid w:val="0052232E"/>
    <w:rsid w:val="00550F54"/>
    <w:rsid w:val="00563CDE"/>
    <w:rsid w:val="00587F44"/>
    <w:rsid w:val="00632713"/>
    <w:rsid w:val="00672C9A"/>
    <w:rsid w:val="00673066"/>
    <w:rsid w:val="006C5ACD"/>
    <w:rsid w:val="006F1040"/>
    <w:rsid w:val="00734976"/>
    <w:rsid w:val="00757D81"/>
    <w:rsid w:val="00894003"/>
    <w:rsid w:val="008D31C7"/>
    <w:rsid w:val="008F7A60"/>
    <w:rsid w:val="00915C18"/>
    <w:rsid w:val="0093232A"/>
    <w:rsid w:val="00AA65B9"/>
    <w:rsid w:val="00B072AA"/>
    <w:rsid w:val="00B6542E"/>
    <w:rsid w:val="00C143DA"/>
    <w:rsid w:val="00C33B09"/>
    <w:rsid w:val="00C430DF"/>
    <w:rsid w:val="00CB0909"/>
    <w:rsid w:val="00CD6169"/>
    <w:rsid w:val="00DC1553"/>
    <w:rsid w:val="00E2502D"/>
    <w:rsid w:val="00F8563F"/>
    <w:rsid w:val="00F977CC"/>
    <w:rsid w:val="06DA6F12"/>
    <w:rsid w:val="0ADA3ADD"/>
    <w:rsid w:val="0C721A16"/>
    <w:rsid w:val="162926CE"/>
    <w:rsid w:val="1D5127E0"/>
    <w:rsid w:val="269F169B"/>
    <w:rsid w:val="35413E9B"/>
    <w:rsid w:val="36E47367"/>
    <w:rsid w:val="400C08E5"/>
    <w:rsid w:val="53393CE5"/>
    <w:rsid w:val="66BE1F25"/>
    <w:rsid w:val="73730542"/>
    <w:rsid w:val="74FA76FB"/>
    <w:rsid w:val="751D6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Balloon Text"/>
    <w:basedOn w:val="1"/>
    <w:link w:val="10"/>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批注框文本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DCA31-88DA-4CC8-8C4F-E1E5B0603BC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2352</Words>
  <Characters>2443</Characters>
  <Lines>18</Lines>
  <Paragraphs>5</Paragraphs>
  <TotalTime>45</TotalTime>
  <ScaleCrop>false</ScaleCrop>
  <LinksUpToDate>false</LinksUpToDate>
  <CharactersWithSpaces>2526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2021-05-19T00:19:00Z</dcterms:created>
  <dc:creator>AutoBVT</dc:creator>
  <cp:lastModifiedBy>柑* ~*</cp:lastModifiedBy>
  <cp:lastPrinted>2026-07-27T08:15:00Z</cp:lastPrinted>
  <dcterms:modified xsi:type="dcterms:W3CDTF">2026-08-04T08:31:05Z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8E725066735F49F0921652FB24901010_13</vt:lpwstr>
  </property>
  <property fmtid="{D5CDD505-2E9C-101B-9397-08002B2CF9AE}" pid="4" name="KSOTemplateDocerSaveRecord">
    <vt:lpwstr>eyJoZGlkIjoiYjhlOGUzMjNkZjE4MGVkNGFkZGI1YmYxOWIwMWQ4YmUiLCJ1c2VySWQiOiI0MDg5MDIyMjcifQ==</vt:lpwstr>
  </property>
</Properties>
</file>